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U.S. Securities and Exchange Commission on June 24, 2024.</w:t>
      </w:r>
    </w:p>
    <w:p>
      <w:pPr>
        <w:spacing w:after="0" w:line="4" w:lineRule="exact"/>
        <w:rPr>
          <w:sz w:val="24"/>
          <w:szCs w:val="24"/>
          <w:color w:val="auto"/>
        </w:rPr>
      </w:pPr>
    </w:p>
    <w:p>
      <w:pPr>
        <w:ind w:left="9360" w:right="40" w:hanging="8815"/>
        <w:spacing w:after="0" w:line="235" w:lineRule="auto"/>
        <w:rPr>
          <w:sz w:val="20"/>
          <w:szCs w:val="20"/>
          <w:color w:val="auto"/>
        </w:rPr>
      </w:pPr>
      <w:r>
        <w:rPr>
          <w:rFonts w:ascii="Times New Roman" w:cs="Times New Roman" w:eastAsia="Times New Roman" w:hAnsi="Times New Roman"/>
          <w:sz w:val="14"/>
          <w:szCs w:val="14"/>
          <w:b w:val="1"/>
          <w:bCs w:val="1"/>
          <w:color w:val="auto"/>
        </w:rPr>
        <w:t xml:space="preserve">This draft registration statement has not been publicly filed with the U.S. Securities and Exchange Commission and all information herein remains strictly confidential. 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59055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120650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5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1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128905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Omada Health, Inc.</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55"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8000</w:t>
            </w:r>
          </w:p>
        </w:tc>
        <w:tc>
          <w:tcPr>
            <w:tcW w:w="2400" w:type="dxa"/>
            <w:vAlign w:val="bottom"/>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45-2355015</w:t>
            </w:r>
          </w:p>
        </w:tc>
      </w:tr>
      <w:tr>
        <w:trPr>
          <w:trHeight w:val="147"/>
        </w:trPr>
        <w:tc>
          <w:tcPr>
            <w:tcW w:w="2820" w:type="dxa"/>
            <w:vAlign w:val="bottom"/>
          </w:tcPr>
          <w:p>
            <w:pPr>
              <w:jc w:val="center"/>
              <w:ind w:right="869"/>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00" w:type="dxa"/>
            <w:vAlign w:val="bottom"/>
          </w:tcPr>
          <w:p>
            <w:pPr>
              <w:jc w:val="center"/>
              <w:ind w:left="909"/>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82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0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500 Sansome Street, Suite 200</w:t>
      </w:r>
    </w:p>
    <w:p>
      <w:pPr>
        <w:jc w:val="center"/>
        <w:ind w:right="-159"/>
        <w:spacing w:after="0" w:line="225" w:lineRule="auto"/>
        <w:rPr>
          <w:sz w:val="20"/>
          <w:szCs w:val="20"/>
          <w:color w:val="auto"/>
        </w:rPr>
      </w:pPr>
      <w:r>
        <w:rPr>
          <w:rFonts w:ascii="Times New Roman" w:cs="Times New Roman" w:eastAsia="Times New Roman" w:hAnsi="Times New Roman"/>
          <w:sz w:val="14"/>
          <w:szCs w:val="14"/>
          <w:b w:val="1"/>
          <w:bCs w:val="1"/>
          <w:color w:val="auto"/>
        </w:rPr>
        <w:t>San Francisco, California 94111</w:t>
      </w:r>
    </w:p>
    <w:p>
      <w:pPr>
        <w:jc w:val="center"/>
        <w:ind w:right="-159"/>
        <w:spacing w:after="0" w:line="219" w:lineRule="auto"/>
        <w:rPr>
          <w:sz w:val="20"/>
          <w:szCs w:val="20"/>
          <w:color w:val="auto"/>
        </w:rPr>
      </w:pPr>
      <w:r>
        <w:rPr>
          <w:rFonts w:ascii="Times New Roman" w:cs="Times New Roman" w:eastAsia="Times New Roman" w:hAnsi="Times New Roman"/>
          <w:sz w:val="14"/>
          <w:szCs w:val="14"/>
          <w:b w:val="1"/>
          <w:bCs w:val="1"/>
          <w:color w:val="auto"/>
        </w:rPr>
        <w:t>(888) 987-8337</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122555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Sean Duffy</w:t>
      </w:r>
    </w:p>
    <w:p>
      <w:pPr>
        <w:jc w:val="center"/>
        <w:ind w:right="-159"/>
        <w:spacing w:after="0" w:line="225"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59"/>
        <w:spacing w:after="0" w:line="219" w:lineRule="auto"/>
        <w:rPr>
          <w:sz w:val="20"/>
          <w:szCs w:val="20"/>
          <w:color w:val="auto"/>
        </w:rPr>
      </w:pPr>
      <w:r>
        <w:rPr>
          <w:rFonts w:ascii="Times New Roman" w:cs="Times New Roman" w:eastAsia="Times New Roman" w:hAnsi="Times New Roman"/>
          <w:sz w:val="14"/>
          <w:szCs w:val="14"/>
          <w:b w:val="1"/>
          <w:bCs w:val="1"/>
          <w:color w:val="auto"/>
        </w:rPr>
        <w:t>Omada Health, Inc.</w:t>
      </w:r>
    </w:p>
    <w:p>
      <w:pPr>
        <w:jc w:val="center"/>
        <w:ind w:right="-159"/>
        <w:spacing w:after="0" w:line="220" w:lineRule="auto"/>
        <w:rPr>
          <w:sz w:val="20"/>
          <w:szCs w:val="20"/>
          <w:color w:val="auto"/>
        </w:rPr>
      </w:pPr>
      <w:r>
        <w:rPr>
          <w:rFonts w:ascii="Times New Roman" w:cs="Times New Roman" w:eastAsia="Times New Roman" w:hAnsi="Times New Roman"/>
          <w:sz w:val="14"/>
          <w:szCs w:val="14"/>
          <w:b w:val="1"/>
          <w:bCs w:val="1"/>
          <w:color w:val="auto"/>
        </w:rPr>
        <w:t>500 Sansome Street, Suite 200</w:t>
      </w:r>
    </w:p>
    <w:p>
      <w:pPr>
        <w:jc w:val="center"/>
        <w:ind w:right="-159"/>
        <w:spacing w:after="0" w:line="219" w:lineRule="auto"/>
        <w:rPr>
          <w:sz w:val="20"/>
          <w:szCs w:val="20"/>
          <w:color w:val="auto"/>
        </w:rPr>
      </w:pPr>
      <w:r>
        <w:rPr>
          <w:rFonts w:ascii="Times New Roman" w:cs="Times New Roman" w:eastAsia="Times New Roman" w:hAnsi="Times New Roman"/>
          <w:sz w:val="14"/>
          <w:szCs w:val="14"/>
          <w:b w:val="1"/>
          <w:bCs w:val="1"/>
          <w:color w:val="auto"/>
        </w:rPr>
        <w:t>San Francisco, California 94111</w:t>
      </w:r>
    </w:p>
    <w:p>
      <w:pPr>
        <w:jc w:val="center"/>
        <w:ind w:right="-159"/>
        <w:spacing w:after="0" w:line="219" w:lineRule="auto"/>
        <w:rPr>
          <w:sz w:val="20"/>
          <w:szCs w:val="20"/>
          <w:color w:val="auto"/>
        </w:rPr>
      </w:pPr>
      <w:r>
        <w:rPr>
          <w:rFonts w:ascii="Times New Roman" w:cs="Times New Roman" w:eastAsia="Times New Roman" w:hAnsi="Times New Roman"/>
          <w:sz w:val="14"/>
          <w:szCs w:val="14"/>
          <w:b w:val="1"/>
          <w:bCs w:val="1"/>
          <w:color w:val="auto"/>
        </w:rPr>
        <w:t>(888) 987-8337</w:t>
      </w: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76"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720" w:type="dxa"/>
            <w:vAlign w:val="bottom"/>
          </w:tcPr>
          <w:p>
            <w:pPr>
              <w:jc w:val="center"/>
              <w:ind w:right="849"/>
              <w:spacing w:after="0"/>
              <w:rPr>
                <w:sz w:val="20"/>
                <w:szCs w:val="20"/>
                <w:color w:val="auto"/>
              </w:rPr>
            </w:pPr>
            <w:r>
              <w:rPr>
                <w:rFonts w:ascii="Times New Roman" w:cs="Times New Roman" w:eastAsia="Times New Roman" w:hAnsi="Times New Roman"/>
                <w:sz w:val="14"/>
                <w:szCs w:val="14"/>
                <w:b w:val="1"/>
                <w:bCs w:val="1"/>
                <w:color w:val="auto"/>
              </w:rPr>
              <w:t>Kathleen M. Wells</w:t>
            </w: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Nathan Salha</w:t>
            </w:r>
          </w:p>
        </w:tc>
        <w:tc>
          <w:tcPr>
            <w:tcW w:w="2680" w:type="dxa"/>
            <w:vAlign w:val="bottom"/>
          </w:tcPr>
          <w:p>
            <w:pPr>
              <w:jc w:val="center"/>
              <w:ind w:left="789"/>
              <w:spacing w:after="0"/>
              <w:rPr>
                <w:sz w:val="20"/>
                <w:szCs w:val="20"/>
                <w:color w:val="auto"/>
              </w:rPr>
            </w:pPr>
            <w:r>
              <w:rPr>
                <w:rFonts w:ascii="Times New Roman" w:cs="Times New Roman" w:eastAsia="Times New Roman" w:hAnsi="Times New Roman"/>
                <w:sz w:val="14"/>
                <w:szCs w:val="14"/>
                <w:b w:val="1"/>
                <w:bCs w:val="1"/>
                <w:color w:val="auto"/>
              </w:rPr>
              <w:t>Alan F. Denenberg</w:t>
            </w:r>
          </w:p>
        </w:tc>
      </w:tr>
      <w:tr>
        <w:trPr>
          <w:trHeight w:val="147"/>
        </w:trPr>
        <w:tc>
          <w:tcPr>
            <w:tcW w:w="2720" w:type="dxa"/>
            <w:vAlign w:val="bottom"/>
          </w:tcPr>
          <w:p>
            <w:pPr>
              <w:jc w:val="center"/>
              <w:ind w:right="849"/>
              <w:spacing w:after="0" w:line="147" w:lineRule="exact"/>
              <w:rPr>
                <w:sz w:val="20"/>
                <w:szCs w:val="20"/>
                <w:color w:val="auto"/>
              </w:rPr>
            </w:pPr>
            <w:r>
              <w:rPr>
                <w:rFonts w:ascii="Times New Roman" w:cs="Times New Roman" w:eastAsia="Times New Roman" w:hAnsi="Times New Roman"/>
                <w:sz w:val="14"/>
                <w:szCs w:val="14"/>
                <w:b w:val="1"/>
                <w:bCs w:val="1"/>
                <w:color w:val="auto"/>
              </w:rPr>
              <w:t>Richard Kim</w:t>
            </w:r>
          </w:p>
        </w:tc>
        <w:tc>
          <w:tcPr>
            <w:tcW w:w="372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Omada Health, Inc.</w:t>
            </w:r>
          </w:p>
        </w:tc>
        <w:tc>
          <w:tcPr>
            <w:tcW w:w="2680" w:type="dxa"/>
            <w:vAlign w:val="bottom"/>
          </w:tcPr>
          <w:p>
            <w:pPr>
              <w:jc w:val="center"/>
              <w:ind w:left="809"/>
              <w:spacing w:after="0" w:line="147" w:lineRule="exact"/>
              <w:rPr>
                <w:sz w:val="20"/>
                <w:szCs w:val="20"/>
                <w:color w:val="auto"/>
              </w:rPr>
            </w:pPr>
            <w:r>
              <w:rPr>
                <w:rFonts w:ascii="Times New Roman" w:cs="Times New Roman" w:eastAsia="Times New Roman" w:hAnsi="Times New Roman"/>
                <w:sz w:val="14"/>
                <w:szCs w:val="14"/>
                <w:b w:val="1"/>
                <w:bCs w:val="1"/>
                <w:color w:val="auto"/>
              </w:rPr>
              <w:t>Emily Roberts</w:t>
            </w:r>
          </w:p>
        </w:tc>
      </w:tr>
      <w:tr>
        <w:trPr>
          <w:trHeight w:val="147"/>
        </w:trPr>
        <w:tc>
          <w:tcPr>
            <w:tcW w:w="2720" w:type="dxa"/>
            <w:vAlign w:val="bottom"/>
          </w:tcPr>
          <w:p>
            <w:pPr>
              <w:jc w:val="center"/>
              <w:ind w:right="849"/>
              <w:spacing w:after="0" w:line="147" w:lineRule="exact"/>
              <w:rPr>
                <w:sz w:val="20"/>
                <w:szCs w:val="20"/>
                <w:color w:val="auto"/>
              </w:rPr>
            </w:pPr>
            <w:r>
              <w:rPr>
                <w:rFonts w:ascii="Times New Roman" w:cs="Times New Roman" w:eastAsia="Times New Roman" w:hAnsi="Times New Roman"/>
                <w:sz w:val="14"/>
                <w:szCs w:val="14"/>
                <w:b w:val="1"/>
                <w:bCs w:val="1"/>
                <w:color w:val="auto"/>
              </w:rPr>
              <w:t>Latham &amp; Watkins LLP</w:t>
            </w:r>
          </w:p>
        </w:tc>
        <w:tc>
          <w:tcPr>
            <w:tcW w:w="372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500 Sansome Street, Suite 200</w:t>
            </w:r>
          </w:p>
        </w:tc>
        <w:tc>
          <w:tcPr>
            <w:tcW w:w="2680" w:type="dxa"/>
            <w:vAlign w:val="bottom"/>
          </w:tcPr>
          <w:p>
            <w:pPr>
              <w:jc w:val="center"/>
              <w:ind w:left="809"/>
              <w:spacing w:after="0" w:line="147"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7"/>
        </w:trPr>
        <w:tc>
          <w:tcPr>
            <w:tcW w:w="2720" w:type="dxa"/>
            <w:vAlign w:val="bottom"/>
          </w:tcPr>
          <w:p>
            <w:pPr>
              <w:jc w:val="center"/>
              <w:ind w:right="849"/>
              <w:spacing w:after="0" w:line="147" w:lineRule="exact"/>
              <w:rPr>
                <w:sz w:val="20"/>
                <w:szCs w:val="20"/>
                <w:color w:val="auto"/>
              </w:rPr>
            </w:pPr>
            <w:r>
              <w:rPr>
                <w:rFonts w:ascii="Times New Roman" w:cs="Times New Roman" w:eastAsia="Times New Roman" w:hAnsi="Times New Roman"/>
                <w:sz w:val="14"/>
                <w:szCs w:val="14"/>
                <w:b w:val="1"/>
                <w:bCs w:val="1"/>
                <w:color w:val="auto"/>
              </w:rPr>
              <w:t>140 Scott Drive</w:t>
            </w:r>
          </w:p>
        </w:tc>
        <w:tc>
          <w:tcPr>
            <w:tcW w:w="372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San Francisco, California 94111</w:t>
            </w:r>
          </w:p>
        </w:tc>
        <w:tc>
          <w:tcPr>
            <w:tcW w:w="2680" w:type="dxa"/>
            <w:vAlign w:val="bottom"/>
          </w:tcPr>
          <w:p>
            <w:pPr>
              <w:jc w:val="center"/>
              <w:ind w:left="809"/>
              <w:spacing w:after="0" w:line="147" w:lineRule="exact"/>
              <w:rPr>
                <w:sz w:val="20"/>
                <w:szCs w:val="20"/>
                <w:color w:val="auto"/>
              </w:rPr>
            </w:pPr>
            <w:r>
              <w:rPr>
                <w:rFonts w:ascii="Times New Roman" w:cs="Times New Roman" w:eastAsia="Times New Roman" w:hAnsi="Times New Roman"/>
                <w:sz w:val="14"/>
                <w:szCs w:val="14"/>
                <w:b w:val="1"/>
                <w:bCs w:val="1"/>
                <w:color w:val="auto"/>
              </w:rPr>
              <w:t>1600 El Camino Real</w:t>
            </w:r>
          </w:p>
        </w:tc>
      </w:tr>
      <w:tr>
        <w:trPr>
          <w:trHeight w:val="147"/>
        </w:trPr>
        <w:tc>
          <w:tcPr>
            <w:tcW w:w="2720" w:type="dxa"/>
            <w:vAlign w:val="bottom"/>
          </w:tcPr>
          <w:p>
            <w:pPr>
              <w:jc w:val="center"/>
              <w:ind w:right="849"/>
              <w:spacing w:after="0" w:line="147" w:lineRule="exact"/>
              <w:rPr>
                <w:sz w:val="20"/>
                <w:szCs w:val="20"/>
                <w:color w:val="auto"/>
              </w:rPr>
            </w:pPr>
            <w:r>
              <w:rPr>
                <w:rFonts w:ascii="Times New Roman" w:cs="Times New Roman" w:eastAsia="Times New Roman" w:hAnsi="Times New Roman"/>
                <w:sz w:val="14"/>
                <w:szCs w:val="14"/>
                <w:b w:val="1"/>
                <w:bCs w:val="1"/>
                <w:color w:val="auto"/>
              </w:rPr>
              <w:t>Menlo Park, California 94025</w:t>
            </w:r>
          </w:p>
        </w:tc>
        <w:tc>
          <w:tcPr>
            <w:tcW w:w="372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b w:val="1"/>
                <w:bCs w:val="1"/>
                <w:color w:val="auto"/>
              </w:rPr>
              <w:t>(888) 987-8337</w:t>
            </w:r>
          </w:p>
        </w:tc>
        <w:tc>
          <w:tcPr>
            <w:tcW w:w="2680" w:type="dxa"/>
            <w:vAlign w:val="bottom"/>
          </w:tcPr>
          <w:p>
            <w:pPr>
              <w:jc w:val="center"/>
              <w:ind w:left="789"/>
              <w:spacing w:after="0" w:line="147" w:lineRule="exact"/>
              <w:rPr>
                <w:sz w:val="20"/>
                <w:szCs w:val="20"/>
                <w:color w:val="auto"/>
              </w:rPr>
            </w:pPr>
            <w:r>
              <w:rPr>
                <w:rFonts w:ascii="Times New Roman" w:cs="Times New Roman" w:eastAsia="Times New Roman" w:hAnsi="Times New Roman"/>
                <w:sz w:val="14"/>
                <w:szCs w:val="14"/>
                <w:b w:val="1"/>
                <w:bCs w:val="1"/>
                <w:color w:val="auto"/>
              </w:rPr>
              <w:t>Menlo Park, California 94025</w:t>
            </w:r>
          </w:p>
        </w:tc>
      </w:tr>
      <w:tr>
        <w:trPr>
          <w:trHeight w:val="187"/>
        </w:trPr>
        <w:tc>
          <w:tcPr>
            <w:tcW w:w="2720" w:type="dxa"/>
            <w:vAlign w:val="bottom"/>
          </w:tcPr>
          <w:p>
            <w:pPr>
              <w:jc w:val="center"/>
              <w:ind w:right="849"/>
              <w:spacing w:after="0"/>
              <w:rPr>
                <w:sz w:val="20"/>
                <w:szCs w:val="20"/>
                <w:color w:val="auto"/>
              </w:rPr>
            </w:pPr>
            <w:r>
              <w:rPr>
                <w:rFonts w:ascii="Times New Roman" w:cs="Times New Roman" w:eastAsia="Times New Roman" w:hAnsi="Times New Roman"/>
                <w:sz w:val="14"/>
                <w:szCs w:val="14"/>
                <w:b w:val="1"/>
                <w:bCs w:val="1"/>
                <w:color w:val="auto"/>
              </w:rPr>
              <w:t>(650) 328-4600</w:t>
            </w:r>
          </w:p>
        </w:tc>
        <w:tc>
          <w:tcPr>
            <w:tcW w:w="3720" w:type="dxa"/>
            <w:vAlign w:val="bottom"/>
          </w:tcPr>
          <w:p>
            <w:pPr>
              <w:spacing w:after="0"/>
              <w:rPr>
                <w:sz w:val="16"/>
                <w:szCs w:val="16"/>
                <w:color w:val="auto"/>
              </w:rPr>
            </w:pPr>
          </w:p>
        </w:tc>
        <w:tc>
          <w:tcPr>
            <w:tcW w:w="2680" w:type="dxa"/>
            <w:vAlign w:val="bottom"/>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(650) 752-2000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117475</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50" w:lineRule="exact"/>
        <w:rPr>
          <w:sz w:val="24"/>
          <w:szCs w:val="24"/>
          <w:color w:val="auto"/>
        </w:rPr>
      </w:pPr>
    </w:p>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160"/>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left="160"/>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5" w:lineRule="exact"/>
        <w:rPr>
          <w:sz w:val="24"/>
          <w:szCs w:val="24"/>
          <w:color w:val="auto"/>
        </w:rPr>
      </w:pPr>
    </w:p>
    <w:p>
      <w:pPr>
        <w:jc w:val="both"/>
        <w:ind w:left="160" w:right="20"/>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left="160"/>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60" w:type="dxa"/>
        <w:tblCellMar>
          <w:top w:w="0" w:type="dxa"/>
          <w:left w:w="0" w:type="dxa"/>
          <w:bottom w:w="0" w:type="dxa"/>
          <w:right w:w="0" w:type="dxa"/>
        </w:tblCellMar>
      </w:tblPr>
      <w:tr>
        <w:trPr>
          <w:trHeight w:val="201"/>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14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2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4"/>
          <w:szCs w:val="24"/>
          <w:color w:val="auto"/>
        </w:rPr>
      </w:pPr>
    </w:p>
    <w:p>
      <w:pPr>
        <w:jc w:val="both"/>
        <w:ind w:left="16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113030</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4" w:lineRule="exact"/>
        <w:rPr>
          <w:sz w:val="24"/>
          <w:szCs w:val="24"/>
          <w:color w:val="auto"/>
        </w:rPr>
      </w:pPr>
    </w:p>
    <w:p>
      <w:pPr>
        <w:jc w:val="both"/>
        <w:ind w:left="160"/>
        <w:spacing w:after="0" w:line="239"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7"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Pursuant to the applicable provisions of the Fixing America’s Surface Transportation Act, we are omitting our unaudited consolidated financial statements as of March 31, 2024 and for the quarters ended March 31, 2023 and 2024 because they relate to historical periods that we believe will not be required to be included in the prospectus at the time of the contemplated offering. We intend to amend this registration statement to include all financial information required by Regulation S-X at the date of such amendment before publicly filing the registration statement.</w:t>
      </w:r>
    </w:p>
    <w:p>
      <w:pPr>
        <w:sectPr>
          <w:pgSz w:w="11900" w:h="16838" w:orient="portrait"/>
          <w:cols w:equalWidth="0" w:num="1">
            <w:col w:w="11080"/>
          </w:cols>
          <w:pgMar w:left="320" w:top="454"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9084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89084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89084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0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890016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89084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89084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9001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900176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9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An Introduction From Our Co-Founder and CEO</w:t>
            </w:r>
          </w:p>
        </w:tc>
        <w:tc>
          <w:tcPr>
            <w:tcW w:w="1320" w:type="dxa"/>
            <w:vAlign w:val="bottom"/>
            <w:gridSpan w:val="3"/>
            <w:vMerge w:val="restart"/>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9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7"/>
        </w:trPr>
        <w:tc>
          <w:tcPr>
            <w:tcW w:w="3500" w:type="dxa"/>
            <w:vAlign w:val="bottom"/>
            <w:gridSpan w:val="10"/>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i</w:t>
            </w:r>
          </w:p>
        </w:tc>
        <w:tc>
          <w:tcPr>
            <w:tcW w:w="420" w:type="dxa"/>
            <w:vAlign w:val="bottom"/>
          </w:tcPr>
          <w:p>
            <w:pPr>
              <w:spacing w:after="0"/>
              <w:rPr>
                <w:sz w:val="14"/>
                <w:szCs w:val="14"/>
                <w:color w:val="auto"/>
              </w:rPr>
            </w:pPr>
          </w:p>
        </w:tc>
        <w:tc>
          <w:tcPr>
            <w:tcW w:w="4960" w:type="dxa"/>
            <w:vAlign w:val="bottom"/>
            <w:gridSpan w:val="16"/>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Prospectus Summary</w:t>
            </w:r>
          </w:p>
        </w:tc>
        <w:tc>
          <w:tcPr>
            <w:tcW w:w="1320" w:type="dxa"/>
            <w:vAlign w:val="bottom"/>
            <w:gridSpan w:val="3"/>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49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The Offering</w:t>
            </w:r>
          </w:p>
        </w:tc>
        <w:tc>
          <w:tcPr>
            <w:tcW w:w="3320" w:type="dxa"/>
            <w:vAlign w:val="bottom"/>
            <w:gridSpan w:val="7"/>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49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Certain Relationships and Related-Party Transactions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76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Summary Consolidated Financial Data</w:t>
            </w:r>
          </w:p>
        </w:tc>
        <w:tc>
          <w:tcPr>
            <w:tcW w:w="2060" w:type="dxa"/>
            <w:vAlign w:val="bottom"/>
            <w:gridSpan w:val="4"/>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162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7"/>
              </w:rPr>
              <w:t>Principal Stockholders</w:t>
            </w:r>
          </w:p>
        </w:tc>
        <w:tc>
          <w:tcPr>
            <w:tcW w:w="3340" w:type="dxa"/>
            <w:vAlign w:val="bottom"/>
            <w:gridSpan w:val="9"/>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4"/>
        </w:trPr>
        <w:tc>
          <w:tcPr>
            <w:tcW w:w="48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49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Special Note Regarding Forward-Looking Statements</w:t>
            </w:r>
          </w:p>
        </w:tc>
        <w:tc>
          <w:tcPr>
            <w:tcW w:w="980" w:type="dxa"/>
            <w:vAlign w:val="bottom"/>
            <w:gridSpan w:val="2"/>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68</w:t>
            </w:r>
          </w:p>
        </w:tc>
        <w:tc>
          <w:tcPr>
            <w:tcW w:w="220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Shares Eligible for Future Sale</w:t>
            </w:r>
          </w:p>
        </w:tc>
        <w:tc>
          <w:tcPr>
            <w:tcW w:w="2760" w:type="dxa"/>
            <w:vAlign w:val="bottom"/>
            <w:gridSpan w:val="7"/>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94"/>
        </w:trPr>
        <w:tc>
          <w:tcPr>
            <w:tcW w:w="48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Market and Industry Data</w:t>
            </w: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71</w:t>
            </w:r>
          </w:p>
        </w:tc>
        <w:tc>
          <w:tcPr>
            <w:tcW w:w="49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Material U.S. Federal Income Tax Consequences to Non-U.S.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Use of Proceeds</w:t>
            </w:r>
          </w:p>
        </w:tc>
        <w:tc>
          <w:tcPr>
            <w:tcW w:w="660" w:type="dxa"/>
            <w:vAlign w:val="bottom"/>
            <w:tcBorders>
              <w:top w:val="single" w:sz="8" w:color="0000EE"/>
            </w:tcBorders>
            <w:gridSpan w:val="2"/>
          </w:tcPr>
          <w:p>
            <w:pPr>
              <w:spacing w:after="0"/>
              <w:rPr>
                <w:sz w:val="16"/>
                <w:szCs w:val="16"/>
                <w:color w:val="auto"/>
              </w:rPr>
            </w:pPr>
          </w:p>
        </w:tc>
        <w:tc>
          <w:tcPr>
            <w:tcW w:w="3000" w:type="dxa"/>
            <w:vAlign w:val="bottom"/>
            <w:gridSpan w:val="6"/>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0000EE"/>
            </w:tcBorders>
          </w:tcPr>
          <w:p>
            <w:pPr>
              <w:spacing w:after="0"/>
              <w:rPr>
                <w:sz w:val="16"/>
                <w:szCs w:val="16"/>
                <w:color w:val="auto"/>
              </w:rPr>
            </w:pPr>
          </w:p>
        </w:tc>
        <w:tc>
          <w:tcPr>
            <w:tcW w:w="4220" w:type="dxa"/>
            <w:vAlign w:val="bottom"/>
            <w:tcBorders>
              <w:top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Holders</w:t>
            </w:r>
          </w:p>
        </w:tc>
        <w:tc>
          <w:tcPr>
            <w:tcW w:w="5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6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6"/>
              </w:rPr>
              <w:t>Dividend Policy</w:t>
            </w:r>
          </w:p>
        </w:tc>
        <w:tc>
          <w:tcPr>
            <w:tcW w:w="3660" w:type="dxa"/>
            <w:vAlign w:val="bottom"/>
            <w:gridSpan w:val="8"/>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94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6"/>
              </w:rPr>
              <w:t>Underwriters</w:t>
            </w:r>
          </w:p>
        </w:tc>
        <w:tc>
          <w:tcPr>
            <w:tcW w:w="4020" w:type="dxa"/>
            <w:vAlign w:val="bottom"/>
            <w:gridSpan w:val="11"/>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194"/>
        </w:trPr>
        <w:tc>
          <w:tcPr>
            <w:tcW w:w="100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Capitalization</w:t>
            </w:r>
          </w:p>
        </w:tc>
        <w:tc>
          <w:tcPr>
            <w:tcW w:w="3820" w:type="dxa"/>
            <w:vAlign w:val="bottom"/>
            <w:gridSpan w:val="9"/>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76</w:t>
            </w:r>
          </w:p>
        </w:tc>
        <w:tc>
          <w:tcPr>
            <w:tcW w:w="100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7"/>
              </w:rPr>
              <w:t>Legal Matters</w:t>
            </w:r>
          </w:p>
        </w:tc>
        <w:tc>
          <w:tcPr>
            <w:tcW w:w="3960" w:type="dxa"/>
            <w:vAlign w:val="bottom"/>
            <w:gridSpan w:val="10"/>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4"/>
        </w:trPr>
        <w:tc>
          <w:tcPr>
            <w:tcW w:w="48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Dilution</w:t>
            </w: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78</w:t>
            </w:r>
          </w:p>
        </w:tc>
        <w:tc>
          <w:tcPr>
            <w:tcW w:w="49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Management’s Discussion and Analysis of Financial Condition</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9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Change in Independent Registered Public Accounting Firm</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1840" w:type="dxa"/>
            <w:vAlign w:val="bottom"/>
            <w:tcBorders>
              <w:top w:val="single" w:sz="8" w:color="0000EE"/>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7"/>
              </w:rPr>
              <w:t>and Results of Operations</w:t>
            </w:r>
          </w:p>
        </w:tc>
        <w:tc>
          <w:tcPr>
            <w:tcW w:w="2480" w:type="dxa"/>
            <w:vAlign w:val="bottom"/>
            <w:tcBorders>
              <w:top w:val="single" w:sz="8" w:color="0000EE"/>
            </w:tcBorders>
            <w:gridSpan w:val="4"/>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81</w:t>
            </w:r>
          </w:p>
        </w:tc>
        <w:tc>
          <w:tcPr>
            <w:tcW w:w="3220" w:type="dxa"/>
            <w:vAlign w:val="bottom"/>
            <w:tcBorders>
              <w:top w:val="single" w:sz="8" w:color="0000EE"/>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1000" w:type="dxa"/>
            <w:vAlign w:val="bottom"/>
            <w:tcBorders>
              <w:top w:val="single" w:sz="8" w:color="0000EE"/>
            </w:tcBorders>
            <w:gridSpan w:val="2"/>
          </w:tcPr>
          <w:p>
            <w:pPr>
              <w:spacing w:after="0"/>
              <w:rPr>
                <w:sz w:val="16"/>
                <w:szCs w:val="16"/>
                <w:color w:val="auto"/>
              </w:rPr>
            </w:pPr>
          </w:p>
        </w:tc>
        <w:tc>
          <w:tcPr>
            <w:tcW w:w="740" w:type="dxa"/>
            <w:vAlign w:val="bottom"/>
            <w:gridSpan w:val="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4"/>
        </w:trPr>
        <w:tc>
          <w:tcPr>
            <w:tcW w:w="48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7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49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331470</wp:posOffset>
            </wp:positionV>
            <wp:extent cx="1460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references to “Omada,” “Omada Health,” the “company,” “we,” “us,” and “our” refer to Omada Health, Inc. and, where appropriate, its subsidiaries, taken as a whole.</w:t>
      </w:r>
    </w:p>
    <w:p>
      <w:pPr>
        <w:spacing w:after="0" w:line="162" w:lineRule="exact"/>
        <w:rPr>
          <w:sz w:val="20"/>
          <w:szCs w:val="20"/>
          <w:color w:val="auto"/>
        </w:rPr>
      </w:pPr>
    </w:p>
    <w:p>
      <w:pPr>
        <w:jc w:val="both"/>
        <w:ind w:left="160" w:firstLine="436"/>
        <w:spacing w:after="0" w:line="234" w:lineRule="auto"/>
        <w:rPr>
          <w:sz w:val="20"/>
          <w:szCs w:val="20"/>
          <w:color w:val="auto"/>
        </w:rPr>
      </w:pPr>
      <w:r>
        <w:rPr>
          <w:rFonts w:ascii="Times New Roman" w:cs="Times New Roman" w:eastAsia="Times New Roman" w:hAnsi="Times New Roman"/>
          <w:sz w:val="18"/>
          <w:szCs w:val="18"/>
          <w:color w:val="auto"/>
        </w:rPr>
        <w:t xml:space="preserve">“Omada Health,” “Omada,” the Omada logos, and other trade names, trademarks, or service marks of Omada appearing in this prospectus are the property of Omada. Other trade names, trademarks, or service marks appearing in this prospectus are the property of their respective holders. We do not intend our use or display of other companies’ trade names, trademarks, or service marks to imply a relationship with, or endorsement or sponsorship of us by, these other companies. Solely for convenience, trade names, trademarks,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9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5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 not permitted. The information contained in this prospectus is accurate only as of the date of this prospectus, regardless of the time of delivery of this prospectus or any sale of the shares of our common stock. Our business, financial condition, and results of operations may have changed since that date.</w:t>
      </w:r>
    </w:p>
    <w:p>
      <w:pPr>
        <w:sectPr>
          <w:pgSz w:w="11900" w:h="16838" w:orient="portrait"/>
          <w:cols w:equalWidth="0" w:num="1">
            <w:col w:w="11080"/>
          </w:cols>
          <w:pgMar w:left="320" w:top="454"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and the underwriters have not, done anything that would permit this offering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the section titled “Underwriters.”</w:t>
      </w:r>
    </w:p>
    <w:p>
      <w:pPr>
        <w:spacing w:after="0" w:line="180"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2024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080"/>
          </w:cols>
          <w:pgMar w:left="320" w:top="454"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0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890016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348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63480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3" w:lineRule="exact"/>
        <w:rPr>
          <w:sz w:val="20"/>
          <w:szCs w:val="20"/>
          <w:color w:val="auto"/>
        </w:rPr>
      </w:pPr>
    </w:p>
    <w:p>
      <w:pPr>
        <w:jc w:val="both"/>
        <w:ind w:left="340" w:firstLine="42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5" w:lineRule="exact"/>
        <w:rPr>
          <w:sz w:val="20"/>
          <w:szCs w:val="20"/>
          <w:color w:val="auto"/>
        </w:rPr>
      </w:pPr>
    </w:p>
    <w:p>
      <w:pPr>
        <w:jc w:val="both"/>
        <w:ind w:left="340" w:firstLine="422"/>
        <w:spacing w:after="0" w:line="285" w:lineRule="auto"/>
        <w:rPr>
          <w:sz w:val="20"/>
          <w:szCs w:val="20"/>
          <w:color w:val="auto"/>
        </w:rPr>
      </w:pPr>
      <w:r>
        <w:rPr>
          <w:rFonts w:ascii="Times New Roman" w:cs="Times New Roman" w:eastAsia="Times New Roman" w:hAnsi="Times New Roman"/>
          <w:sz w:val="17"/>
          <w:szCs w:val="17"/>
          <w:color w:val="auto"/>
        </w:rPr>
        <w:t>Omada’s mission is to inspire and enable people to make lasting health changes on their own terms. We deliver virtual care between doctor’s visits, 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As of 2022, more than 156 million Americans suffered from one or more chronic conditions, like obesity, prediabetes, diabetes, hypertension, and musculoskeletal (“MSK”) conditions, and approximately 40% of U.S. adults suffered from two or more chronic conditions, based on data from the National Association of Chronic Disease Directors.</w:t>
      </w:r>
    </w:p>
    <w:p>
      <w:pPr>
        <w:spacing w:after="0" w:line="175" w:lineRule="exact"/>
        <w:rPr>
          <w:sz w:val="20"/>
          <w:szCs w:val="20"/>
          <w:color w:val="auto"/>
        </w:rPr>
      </w:pPr>
    </w:p>
    <w:p>
      <w:pPr>
        <w:jc w:val="both"/>
        <w:ind w:left="340" w:firstLine="422"/>
        <w:spacing w:after="0" w:line="254" w:lineRule="auto"/>
        <w:rPr>
          <w:sz w:val="20"/>
          <w:szCs w:val="20"/>
          <w:color w:val="auto"/>
        </w:rPr>
      </w:pPr>
      <w:r>
        <w:rPr>
          <w:rFonts w:ascii="Times New Roman" w:cs="Times New Roman" w:eastAsia="Times New Roman" w:hAnsi="Times New Roman"/>
          <w:sz w:val="18"/>
          <w:szCs w:val="18"/>
          <w:color w:val="auto"/>
        </w:rPr>
        <w:t xml:space="preserve">Managing these conditions—and treating the acute problems they can lead to—creates significant costs for employers, health plans, PBMs, and other entities that pay for the cost of care. According to the American Diabetes Association (the “ADA”)’s report “Economic Costs of Diabetes in the U.S. in 2022,” chronic diseases were the leading driver of U.S. medical spend, with diabetes alone accounting for $1 out of every $7 spent. According to research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in 2022, an employee with type 2 diabetes cost on average an additional $7,000 annually due to increased medical costs, absenteeism, and lost productivity. The direct medical cost of people living with diabetes increased by 35% from 2012 to 2022, despite stable diabetes prevalence.</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It doesn’t have to be that way.</w:t>
      </w:r>
    </w:p>
    <w:p>
      <w:pPr>
        <w:spacing w:after="0" w:line="221"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Many chronic conditions can be managed or prevented at a more reasonable cost. One reason these conditions are often not managed efficiently is that the U.S. healthcare system was built mainly on encounter-based reimbursement models that pay for specific services, primarily as issues arise. Between what can be short and infrequent office visits, patients are often left to manage their condition on their own. Many have a hard time sticking to care plans and health goals—losing weight, eating better, exercising more—and have few resources to turn to for ongoing questions, accountability, and support as they work to change their lifestyle.</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Behavior change is hard. Omada was created to make it easier.</w:t>
      </w:r>
    </w:p>
    <w:p>
      <w:pPr>
        <w:spacing w:after="0" w:line="221"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5"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and health systems that cover our programs for patients, among other types of customers. We also work closely with health plans and PBMs that either cover our programs for segments of their members as our customers or act as channel partners reselling our programs to their own end customers.</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4"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940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59404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MSK conditions; a newly launched glucagon-like peptide-1 agonists (“GLP-1”) Care Track; and behavioral health support across all programs.</w:t>
      </w:r>
    </w:p>
    <w:p>
      <w:pPr>
        <w:spacing w:after="0" w:line="184"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Since our founding, our programs have had a meaningful, positive impact. As of March 31, 2024, we had more than 2,000 customers, over 460,000 total members enrolled in one or more programs, and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2023, our average customer satisfaction rate for the year was over 90%. In 2023, more than 55% of members still engaged with our cardiometabolic programs at least once per month after a year in the program, and over 50% still engaged monthly after two years. On average, in 2023, members in a cardiometabolic program engaged more than 30 times per month throughout their first year. We are proud of our progress, and we are just getting started.</w:t>
      </w:r>
    </w:p>
    <w:p>
      <w:pPr>
        <w:spacing w:after="0" w:line="187"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38% from $89.2 million to $122.8 million for the years ended December 31, 2022 and 2023, respectively. We incurred net losses of $72.5 million and $67.5 million for the years ended December 31, 2022 and 2023, respectively.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104% and 108% for the years ended December 31, 2022 and 2023,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Industry Background and Opportunity</w:t>
      </w:r>
    </w:p>
    <w:p>
      <w:pPr>
        <w:spacing w:after="0" w:line="2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Chronic Condition Prevalence and Cost Continue to Rise Despite Traditional Approaches to Care</w:t>
      </w:r>
    </w:p>
    <w:p>
      <w:pPr>
        <w:spacing w:after="0" w:line="225"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Chronic condition prevalence has been rising for more than two decades and continues to rise. A RAND study from 2015 estimated that more than 170 million Americans could be living with one or more chronic conditions by 2030. According to the Centers for Disease Control and Prevention (the “CDC”), in 2023, chronic conditions were responsible for seven of every ten deaths in the U.S. and accounted for 90%, or $3.8 trillion, of annual medical spend in the U.S.</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Many Digital Health Solutions Have Fallen Short in Attempts to Address Chronic Conditions</w:t>
      </w:r>
    </w:p>
    <w:p>
      <w:pPr>
        <w:spacing w:after="0" w:line="225"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For more than a decade, digital health and virtual care solutions have promised to use technology to deliver greater access, lower costs, and provide a superior patient experience. While some gains have been made, when it comes to improving outcomes for those living with or at risk for chronic conditions, we believe many digital chronic condition management platforms have not meaningfully changed the trajectory.</w:t>
      </w:r>
    </w:p>
    <w:p>
      <w:pPr>
        <w:spacing w:after="0" w:line="1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225" w:lineRule="exact"/>
        <w:rPr>
          <w:sz w:val="20"/>
          <w:szCs w:val="20"/>
          <w:color w:val="auto"/>
        </w:rPr>
      </w:pPr>
    </w:p>
    <w:p>
      <w:pPr>
        <w:jc w:val="both"/>
        <w:ind w:left="340" w:right="20" w:firstLine="422"/>
        <w:spacing w:after="0" w:line="258" w:lineRule="auto"/>
        <w:rPr>
          <w:sz w:val="20"/>
          <w:szCs w:val="20"/>
          <w:color w:val="auto"/>
        </w:rPr>
      </w:pPr>
      <w:r>
        <w:rPr>
          <w:rFonts w:ascii="Times New Roman" w:cs="Times New Roman" w:eastAsia="Times New Roman" w:hAnsi="Times New Roman"/>
          <w:sz w:val="18"/>
          <w:szCs w:val="18"/>
          <w:color w:val="auto"/>
        </w:rPr>
        <w:t>People with chronic health conditions are the largest and highest-cost populations in the entire U.S. healthcare system. Our target population comprises individuals covered by commercial health insurance. Based on 2023 estimates of the number of individuals covered under employer health plans, the estimated prevalence of prediabetes and diabetes in the U.S., and the monthly list price of our programs per active member, multiplied by</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4"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263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62630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12, we estimate that the near-term addressable market size for prediabetes and diabetes is $44.3 billion and $18.5 billion, respectively. We estimate that our hypertension program represents a $33.8 billion near-term addressable market, based on our target population, the estimated prevalence of the disease, and the monthly list price of our program per active member, multiplied by 12. Based on the high prevalence of MSK conditions in our target population and the list price of our program per member for a single episode of care, assuming typical utilization, we estimate that MSK conditions represent a $47.8 billion near-term addressable market. </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Compassion Meets Intelligence</w:t>
      </w:r>
    </w:p>
    <w:p>
      <w:pPr>
        <w:spacing w:after="0" w:line="225"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Our virtual, Between-Visit Care model seeks to bring together the best of human care and technology. Our goal is to support people over time, with programs designed to be simple and engaging to use, accessible whenever and wherever people need them, and complementary and connected to the healthcare system at large. Our model is founded on three pillars:</w:t>
      </w:r>
    </w:p>
    <w:p>
      <w:pPr>
        <w:spacing w:after="0" w:line="198" w:lineRule="exact"/>
        <w:rPr>
          <w:sz w:val="20"/>
          <w:szCs w:val="20"/>
          <w:color w:val="auto"/>
        </w:rPr>
      </w:pPr>
    </w:p>
    <w:p>
      <w:pPr>
        <w:jc w:val="both"/>
        <w:ind w:left="1280" w:right="20" w:hanging="517"/>
        <w:spacing w:after="0" w:line="259"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human relationships and empathy are fundamental drivers of sustainable behavior change. Our Care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composed of health coaches, relevant specialists, and licensed physical therapists, are designed to remain with a member throughout their entire journey with Omada. They offer proactive and tailored support that builds trust with members and can contribute to positive outcomes.</w:t>
      </w:r>
    </w:p>
    <w:p>
      <w:pPr>
        <w:spacing w:after="0" w:line="203" w:lineRule="exact"/>
        <w:rPr>
          <w:rFonts w:ascii="Times New Roman" w:cs="Times New Roman" w:eastAsia="Times New Roman" w:hAnsi="Times New Roman"/>
          <w:sz w:val="18"/>
          <w:szCs w:val="18"/>
          <w:color w:val="auto"/>
        </w:rPr>
      </w:pPr>
    </w:p>
    <w:p>
      <w:pPr>
        <w:jc w:val="both"/>
        <w:ind w:left="1280" w:right="20" w:hanging="517"/>
        <w:spacing w:after="0" w:line="265"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integrated technology platform is built to support member engagement at scale. We use our platform and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enrollment, engagement, and connected third-party devices to amplify the impact of our Care Teams through data-driven personalization, connected experiences, and real-time outcomes monitoring.</w:t>
      </w:r>
    </w:p>
    <w:p>
      <w:pPr>
        <w:spacing w:after="0" w:line="197" w:lineRule="exact"/>
        <w:rPr>
          <w:rFonts w:ascii="Times New Roman" w:cs="Times New Roman" w:eastAsia="Times New Roman" w:hAnsi="Times New Roman"/>
          <w:sz w:val="18"/>
          <w:szCs w:val="18"/>
          <w:color w:val="auto"/>
        </w:rPr>
      </w:pPr>
    </w:p>
    <w:p>
      <w:pPr>
        <w:jc w:val="both"/>
        <w:ind w:left="1280" w:right="20" w:hanging="517"/>
        <w:spacing w:after="0" w:line="259"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Omada Insights Lab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scale, we invest in continuous innovation across our programs. The Omada Insights Lab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our cross-functional collaboration of clinical, product, design, engineering, and Care Team experts, which leverages the insights delivered by our Care Teams and technology platform to identify opportunities to drive even greater results and efficiencies in our programs and business.</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Multi-Condition Care</w:t>
      </w:r>
    </w:p>
    <w:p>
      <w:pPr>
        <w:spacing w:after="0" w:line="225"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The U.S. healthcare system has largely been designed to treat acute conditions that have clear windows of treatment and resolution. Chronic conditions, however, often require a variety of healthcare professionals across disciplines and modalities over indefinite periods of time. As our company grew, we observed a demand from our customers and channel partners for us to expand beyond diabetes prevention and weight health and into other conditions, such as the treatment and management of diabetes, hypertension, and MSK conditions. Based on the significant overlap across these chronic conditions, we believed there was an opportunity to better meet members where they were: often suffering from multiple comorbid conditions at once. Our coordinated, multi-condition experience allows us to tailor care plans to members based on their comorbidities, which can be a major advantage in achieving clinical outcomes and a positive member experience. Many of our customers and channel partners also appreciate having a single partner for chronic condition care because it can simplify contracting, account management, implementation, and member outreach.</w:t>
      </w:r>
    </w:p>
    <w:p>
      <w:pPr>
        <w:spacing w:after="0" w:line="1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Grounded in Evidence Since Day One</w:t>
      </w:r>
    </w:p>
    <w:p>
      <w:pPr>
        <w:spacing w:after="0" w:line="225"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In order to realize the full potential of our model, we sought to earn the trust of the existing healthcare ecosystem. Since our founding, we have worked to build bridges between the virtual and traditional (largely</w:t>
      </w: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4"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855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8553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spacing w:after="0" w:line="278" w:lineRule="auto"/>
        <w:rPr>
          <w:sz w:val="20"/>
          <w:szCs w:val="20"/>
          <w:color w:val="auto"/>
        </w:rPr>
      </w:pPr>
      <w:r>
        <w:rPr>
          <w:rFonts w:ascii="Times New Roman" w:cs="Times New Roman" w:eastAsia="Times New Roman" w:hAnsi="Times New Roman"/>
          <w:sz w:val="18"/>
          <w:szCs w:val="18"/>
          <w:color w:val="auto"/>
        </w:rPr>
        <w:t>in-person) care communities through our commitment to delivering evidence-based care, publishing our outcomes, and earning accreditations and credentials.</w:t>
      </w:r>
    </w:p>
    <w:p>
      <w:pPr>
        <w:spacing w:after="0" w:line="185" w:lineRule="exact"/>
        <w:rPr>
          <w:sz w:val="20"/>
          <w:szCs w:val="20"/>
          <w:color w:val="auto"/>
        </w:rPr>
      </w:pPr>
    </w:p>
    <w:p>
      <w:pPr>
        <w:jc w:val="both"/>
        <w:ind w:left="1280" w:right="20" w:hanging="517"/>
        <w:spacing w:after="0" w:line="265"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Start with Science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foundation of each of our programs is an evidence-based intervention that exists in the in-person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setting, such as the CDC’s Diabetes Prevention Program. We have taken—in collaboration with groups like the CDC or ADA—the foundational designs of these programs and built upon them to create technology-enabled solutions able to reach patients at scale.</w:t>
      </w:r>
    </w:p>
    <w:p>
      <w:pPr>
        <w:spacing w:after="0" w:line="197" w:lineRule="exact"/>
        <w:rPr>
          <w:rFonts w:ascii="Times New Roman" w:cs="Times New Roman" w:eastAsia="Times New Roman" w:hAnsi="Times New Roman"/>
          <w:sz w:val="18"/>
          <w:szCs w:val="18"/>
          <w:color w:val="auto"/>
        </w:rPr>
      </w:pPr>
    </w:p>
    <w:p>
      <w:pPr>
        <w:jc w:val="both"/>
        <w:ind w:left="1280" w:right="20" w:hanging="517"/>
        <w:spacing w:after="0" w:line="265"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demonstrated clinical outcomes and economic value across our multi-condition platform,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 published, peer-reviewed studies as of June 3, 2024. These quantified results and data allow us to improve our programs and serve as a key differentiator in both product development and sales and marketing efforts.</w:t>
      </w:r>
    </w:p>
    <w:p>
      <w:pPr>
        <w:spacing w:after="0" w:line="197" w:lineRule="exact"/>
        <w:rPr>
          <w:rFonts w:ascii="Times New Roman" w:cs="Times New Roman" w:eastAsia="Times New Roman" w:hAnsi="Times New Roman"/>
          <w:sz w:val="18"/>
          <w:szCs w:val="18"/>
          <w:color w:val="auto"/>
        </w:rPr>
      </w:pPr>
    </w:p>
    <w:p>
      <w:pPr>
        <w:jc w:val="both"/>
        <w:ind w:left="1280" w:right="20" w:hanging="517"/>
        <w:spacing w:after="0" w:line="255"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Validated by Experts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virtual care should be subject to many of the same quality control expectations as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in-person care. We have been at the forefront of seeking and achieving accreditations for our quality of care. We have received full recognition from the CDC’s Diabetes Prevention Recognition Program for certain deployments of our Omada for Prevention &amp; Weight Health program, as well as accreditations from the Association of Diabetes Care and Education Specialists for our Diabetes program, the National Committee for Quality Assurance for our type 2 Diabetes and combined Diabetes and Hypertension programs, and the Utilization Review Accreditation Commission for our MSK program.</w:t>
      </w:r>
    </w:p>
    <w:p>
      <w:pPr>
        <w:spacing w:after="0" w:line="1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Scaled, Diversified Go-to-Market Model</w:t>
      </w:r>
    </w:p>
    <w:p>
      <w:pPr>
        <w:spacing w:after="0" w:line="225" w:lineRule="exact"/>
        <w:rPr>
          <w:sz w:val="20"/>
          <w:szCs w:val="20"/>
          <w:color w:val="auto"/>
        </w:rPr>
      </w:pPr>
    </w:p>
    <w:p>
      <w:pPr>
        <w:jc w:val="both"/>
        <w:ind w:left="340" w:firstLine="422"/>
        <w:spacing w:after="0" w:line="254" w:lineRule="auto"/>
        <w:rPr>
          <w:sz w:val="20"/>
          <w:szCs w:val="20"/>
          <w:color w:val="auto"/>
        </w:rPr>
      </w:pPr>
      <w:r>
        <w:rPr>
          <w:rFonts w:ascii="Times New Roman" w:cs="Times New Roman" w:eastAsia="Times New Roman" w:hAnsi="Times New Roman"/>
          <w:sz w:val="18"/>
          <w:szCs w:val="18"/>
          <w:color w:val="auto"/>
        </w:rPr>
        <w:t>As of March 31, 2024, we had more than 2,000 customers, over 460,000 total members enrolled in one or more programs, and had served over one million members since launch. We believe that the breadth of our success is based in part on our diverse, customer-centric go-to-market strategy and our multi-condition approach. Our customers and channel partners are increasingly looking for solutions that effectively serve their members at scale and can be easily integrated within their existing benefits ecosystems. Representative customers include Costco, Intermountain Health, Honda, Louisiana Office of Group Benefits, and the State of Alaska. Our channel partner strategy also includes health plans and PBMs, such as Cigna Healthcare and Express Scripts by Evernorth.</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Competitive Advantage</w:t>
      </w:r>
    </w:p>
    <w:p>
      <w:pPr>
        <w:spacing w:after="0" w:line="225"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Our human-led, technology-enabled care approach—Compassionate Intelligence—and our ability to offer multi-condition, contextually relevant care, are core to our success with members—the foundation of our competitive advantage. We believe our multi-condition platform and our differentiated experience for members also resonate with customers and channel partners as a significant advantage. In addition, we believe our commitment to high clinical standards, our customer-centric experience, and the sophistication of our compliance and security programs have attracted customers and channel partners over the years.</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Compassionate Intelligence: Why Members Love Omada</w:t>
      </w:r>
    </w:p>
    <w:p>
      <w:pPr>
        <w:spacing w:after="0" w:line="225"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Our Compassionate Intelligence care is designed to resonate with members. We intentionally constructed our technology platform to help facilitate a trusted relationship between our members and their Care Teams. This ongoing, consistent, human relationship can create a sense of connection as members and Care Teams get to know each other over time. Members appreciate the ability to reach out with questions, to be held accountable, and to have dedicated support at their fingertips.</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4"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348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63480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Multi-Condition Platform: The Anti-Point Solution</w:t>
      </w:r>
    </w:p>
    <w:p>
      <w:pPr>
        <w:spacing w:after="0" w:line="225"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National Association of Chronic Disease Directors, in 2022, approximately 40% of adults in the U.S. were living with two or more chronic conditions, which can leave many individuals to struggle with a healthcare system that treats each one of their issues separately. The CDC reported in 2023 that people with diabetes were more than twice as likely to experience depression; a 2019 study published in the </w:t>
      </w:r>
      <w:r>
        <w:rPr>
          <w:rFonts w:ascii="Times New Roman" w:cs="Times New Roman" w:eastAsia="Times New Roman" w:hAnsi="Times New Roman"/>
          <w:sz w:val="18"/>
          <w:szCs w:val="18"/>
          <w:i w:val="1"/>
          <w:iCs w:val="1"/>
          <w:color w:val="auto"/>
        </w:rPr>
        <w:t xml:space="preserve">Journal of Back and Musculoskeletal Rehabilitation </w:t>
      </w:r>
      <w:r>
        <w:rPr>
          <w:rFonts w:ascii="Times New Roman" w:cs="Times New Roman" w:eastAsia="Times New Roman" w:hAnsi="Times New Roman"/>
          <w:sz w:val="18"/>
          <w:szCs w:val="18"/>
          <w:color w:val="auto"/>
        </w:rPr>
        <w:t>found that 58% of people with diabetes also experienced an MSK condition; and a 2021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Endotext</w:t>
      </w:r>
      <w:r>
        <w:rPr>
          <w:rFonts w:ascii="Times New Roman" w:cs="Times New Roman" w:eastAsia="Times New Roman" w:hAnsi="Times New Roman"/>
          <w:sz w:val="18"/>
          <w:szCs w:val="18"/>
          <w:color w:val="auto"/>
        </w:rPr>
        <w:t xml:space="preserve"> found that approximately 74% of adults with diabetes also had hypertension. We have carefully selected the conditions that we treat in an effort to address significant areas of comorbidity in an integrated member experience with one provider. We are able to deliver care to members diagnosed with prediabetes, obesity, type 1 or type 2 diabetes, and hypertension; members taking GLP-1 therapy; and members who suffer from MSK conditions. Additionally, all members may receive additional support for behavioral health challenges from anxiety or stress to depression to promote overall wellbeing and support their physical and mental health.</w:t>
      </w:r>
    </w:p>
    <w:p>
      <w:pPr>
        <w:spacing w:after="0" w:line="1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Commitment to Outcomes</w:t>
      </w:r>
    </w:p>
    <w:p>
      <w:pPr>
        <w:spacing w:after="0" w:line="225" w:lineRule="exact"/>
        <w:rPr>
          <w:sz w:val="20"/>
          <w:szCs w:val="20"/>
          <w:color w:val="auto"/>
        </w:rPr>
      </w:pPr>
    </w:p>
    <w:p>
      <w:pPr>
        <w:jc w:val="both"/>
        <w:ind w:left="340" w:firstLine="422"/>
        <w:spacing w:after="0" w:line="254" w:lineRule="auto"/>
        <w:rPr>
          <w:sz w:val="20"/>
          <w:szCs w:val="20"/>
          <w:color w:val="auto"/>
        </w:rPr>
      </w:pPr>
      <w:r>
        <w:rPr>
          <w:rFonts w:ascii="Times New Roman" w:cs="Times New Roman" w:eastAsia="Times New Roman" w:hAnsi="Times New Roman"/>
          <w:sz w:val="18"/>
          <w:szCs w:val="18"/>
          <w:color w:val="auto"/>
        </w:rPr>
        <w:t>We consider our commitment to outcomes a core competitive advantage in selling to our customers and channel partners. Each Omada program is based on clinical guidelines that inform an evidence-based approach. Our programs are designed to reflect clinical best practices, tracked against validated industry metrics, and embraced by important industry stakeholders. In holding ourselves to many of the same quality standards as other healthcare providers, we strive to be a trusted member of the healthcare ecosystem at large, valued by our customers and channel partners alike. Through our 29 published, peer-reviewed studies as of June 3, 2024, we have established and validated the health impact of our programs and their value for customers and channel partners.</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Flexible, Customer-Centric Experience</w:t>
      </w:r>
    </w:p>
    <w:p>
      <w:pPr>
        <w:spacing w:after="0" w:line="225"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Our diversified go-to-market strategy and connectivity with employers, health plans, and PBMs have created a channel-agnostic and flexible sales approach. As the number of point solutions increases, employers are streamlining benefit strategies through their health plans and PBMs in addition to contracting directly with digital health companies. Our relationships with health plans, PBMs, and other channel partners give employers the flexibility to contract with us in the way they prefer.</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Trusted to Deliver at Scale</w:t>
      </w:r>
    </w:p>
    <w:p>
      <w:pPr>
        <w:spacing w:after="0" w:line="225"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Our customers and channel partners are sophisticated, and when partnering with new digital solutions, they thoughtfully evaluate potential risks and seek lasting partnerships. We believe that we have established ourselves as a trusted partner with a strong track record for both longevity and security. We have scaled to more than 2,000 customers as of March 31, 2024, and have served more than one million members since launch. As a healthcare provider and covered entity under HIPAA, we value the trust of our customers, channel partners, and members. We have implemented safeguards designed to protect member privacy and to maintain high levels of data security and member safety.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Growth Opportunities</w:t>
      </w:r>
    </w:p>
    <w:p>
      <w:pPr>
        <w:spacing w:after="0" w:line="225"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We have several immediate and long-term growth opportunities that carry with them the potential to reach millions of new members and deliver greater impact at scale.</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Expand Our Channel Partnerships and Grow Our Customer Base</w:t>
      </w:r>
    </w:p>
    <w:p>
      <w:pPr>
        <w:spacing w:after="0" w:line="225"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We had more than 2,000 customers as of March 31, 2024, and we believe there is still a significant opportunity for us to grow our number of covered lives through existing channels. We also see opportunity with</w:t>
      </w: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4"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501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65011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new channels and in lines of business where we have yet to place significant focus, such as Medicare Advantage and fully insured lines of business, and we believe there is potential for growth in our more nascent channels like health systems and government programs. Additionally, we expect the attention and focus that GLP-1s bring to our industry, along with the launch of our GLP-1 Care Track to support individuals who take GLP-1 therapy, will help accelerate our growth.</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Sell Multiple Programs Into Existing Customer Base</w:t>
      </w:r>
    </w:p>
    <w:p>
      <w:pPr>
        <w:spacing w:after="0" w:line="225"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We have seen significant uptake of our multi-condition offering, both from existing customers and channel partners who initially entered into contracts for one program but later added others and from new customers and channel partners who enter into contracts for multi-condition solutions from day one. We believe there is still opportunity to continue multi-condition expansion. As of December 31, 2023, approximately 25% of our customers offered more than one Omada program, which leaves a sizable opportunity to sell additional programs.</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Increase Member Enrollment</w:t>
      </w:r>
    </w:p>
    <w:p>
      <w:pPr>
        <w:spacing w:after="0" w:line="225"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As of December 31, 2023, we estimate that 20 million individuals had benefits coverage for one or more Omada programs through their employers, health plans, PBMs, health systems, or other customers, where they have a clinical need. Having served over one million members since launch, there is still significant opportunity to enroll more members, and future efforts in a number of areas could increase enrollment rates.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 We also have a strong outreach optimization engine, and we continuously work to iterate and improve our tactics to drive higher enrollment rates. As the general state of artificial intelligence and machine learning technology continues to evolve, we plan to evaluate new ways in which these technologies could further optimize our outreach strategies.</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Enhance Member Engagement Within Existing Customer Base</w:t>
      </w:r>
    </w:p>
    <w:p>
      <w:pPr>
        <w:spacing w:after="0" w:line="225"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Given the engagement-based pricing models that we offer for cardiometabolic programs, increased member engagement can drive significant growth going forward. In 2023, more than 55% of members still engaged with our cardiometabolic programs at least once per month after a year in the program. Our data, Care Teams, and technology power our ability to drive increased engagement, through frequent touchpoints, reminders, and progress tracking tools.</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Future Innovation Horizons</w:t>
      </w:r>
    </w:p>
    <w:p>
      <w:pPr>
        <w:spacing w:after="0" w:line="225"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We have a demonstrated history of launching new offerings (Omada for Diabetes and Omada for Hypertension in 2018) on our current infrastructure and new Care Tracks within existing products (GLP-1 Care Track). We also successfully added MSK care to our program offerings through an acquisition in 2020. Though our focus remains on continued progress in our current care areas, we will continue to monitor the needs of our customers and channel partners, and we believe we are well positioned to respond to their requirements organically or, where appropriate, to add new capabilities through partnerships and potential acquisitions.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5"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02" w:lineRule="exact"/>
        <w:rPr>
          <w:sz w:val="20"/>
          <w:szCs w:val="20"/>
          <w:color w:val="auto"/>
        </w:rPr>
      </w:pPr>
    </w:p>
    <w:p>
      <w:pPr>
        <w:ind w:left="1280" w:right="20" w:hanging="517"/>
        <w:spacing w:after="0" w:line="27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grown significantly in a short period of time. If we fail to manage our growth effectively, our business could be materially and adversely affected.</w:t>
      </w: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4"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6878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66878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80" w:hanging="517"/>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achieve or maintain profitability in the future.</w:t>
      </w:r>
    </w:p>
    <w:p>
      <w:pPr>
        <w:spacing w:after="0" w:line="247"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189"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189" w:lineRule="exact"/>
        <w:rPr>
          <w:rFonts w:ascii="Times New Roman" w:cs="Times New Roman" w:eastAsia="Times New Roman" w:hAnsi="Times New Roman"/>
          <w:sz w:val="18"/>
          <w:szCs w:val="18"/>
          <w:color w:val="auto"/>
        </w:rPr>
      </w:pPr>
    </w:p>
    <w:p>
      <w:pPr>
        <w:jc w:val="both"/>
        <w:ind w:left="1280" w:hanging="517"/>
        <w:spacing w:after="0" w:line="263"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202"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solutions or other technological breakthroughs for the monitoring, treatment, or prevention of chronic conditions or technological developments may adversely affect demand for our programs.</w:t>
      </w:r>
    </w:p>
    <w:p>
      <w:pPr>
        <w:spacing w:after="0" w:line="189" w:lineRule="exact"/>
        <w:rPr>
          <w:rFonts w:ascii="Times New Roman" w:cs="Times New Roman" w:eastAsia="Times New Roman" w:hAnsi="Times New Roman"/>
          <w:sz w:val="18"/>
          <w:szCs w:val="18"/>
          <w:color w:val="auto"/>
        </w:rPr>
      </w:pPr>
    </w:p>
    <w:p>
      <w:pPr>
        <w:jc w:val="both"/>
        <w:ind w:left="1280" w:hanging="517"/>
        <w:spacing w:after="0" w:line="263"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business relies, in part, on the growth and success of our customers and channel partners like health plans, PBMs, and other resellers, and revenue from member enrollment, which are difficult to predict and are affected by factors outside of our control.</w:t>
      </w:r>
    </w:p>
    <w:p>
      <w:pPr>
        <w:spacing w:after="0" w:line="202" w:lineRule="exact"/>
        <w:rPr>
          <w:rFonts w:ascii="Times New Roman" w:cs="Times New Roman" w:eastAsia="Times New Roman" w:hAnsi="Times New Roman"/>
          <w:sz w:val="18"/>
          <w:szCs w:val="18"/>
          <w:color w:val="auto"/>
        </w:rPr>
      </w:pPr>
    </w:p>
    <w:p>
      <w:pPr>
        <w:jc w:val="both"/>
        <w:ind w:left="1280" w:hanging="517"/>
        <w:spacing w:after="0" w:line="285"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186" w:lineRule="exact"/>
        <w:rPr>
          <w:rFonts w:ascii="Times New Roman" w:cs="Times New Roman" w:eastAsia="Times New Roman" w:hAnsi="Times New Roman"/>
          <w:sz w:val="17"/>
          <w:szCs w:val="17"/>
          <w:color w:val="auto"/>
        </w:rPr>
      </w:pPr>
    </w:p>
    <w:p>
      <w:pPr>
        <w:jc w:val="both"/>
        <w:ind w:left="1280" w:hanging="517"/>
        <w:spacing w:after="0" w:line="263"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202" w:lineRule="exact"/>
        <w:rPr>
          <w:rFonts w:ascii="Times New Roman" w:cs="Times New Roman" w:eastAsia="Times New Roman" w:hAnsi="Times New Roman"/>
          <w:sz w:val="18"/>
          <w:szCs w:val="18"/>
          <w:color w:val="auto"/>
        </w:rPr>
      </w:pPr>
    </w:p>
    <w:p>
      <w:pPr>
        <w:jc w:val="both"/>
        <w:ind w:left="1280" w:hanging="517"/>
        <w:spacing w:after="0" w:line="25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upfront costs in establishing and expanding our relationships with employers, health plans, PBMs, health systems, government entities, and other existing or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206"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substantial portion of our sales comes from or through a limited number of customers and channel partners that operate as resellers.</w:t>
      </w:r>
    </w:p>
    <w:p>
      <w:pPr>
        <w:spacing w:after="0" w:line="259" w:lineRule="exact"/>
        <w:rPr>
          <w:rFonts w:ascii="Times New Roman" w:cs="Times New Roman" w:eastAsia="Times New Roman" w:hAnsi="Times New Roman"/>
          <w:sz w:val="17"/>
          <w:szCs w:val="17"/>
          <w:color w:val="auto"/>
        </w:rPr>
      </w:pPr>
    </w:p>
    <w:p>
      <w:pPr>
        <w:ind w:left="1280" w:hanging="517"/>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189" w:lineRule="exact"/>
        <w:rPr>
          <w:rFonts w:ascii="Times New Roman" w:cs="Times New Roman" w:eastAsia="Times New Roman" w:hAnsi="Times New Roman"/>
          <w:sz w:val="18"/>
          <w:szCs w:val="18"/>
          <w:color w:val="auto"/>
        </w:rPr>
      </w:pPr>
    </w:p>
    <w:p>
      <w:pPr>
        <w:jc w:val="both"/>
        <w:ind w:left="1280" w:hanging="517"/>
        <w:spacing w:after="0" w:line="263"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202" w:lineRule="exact"/>
        <w:rPr>
          <w:rFonts w:ascii="Times New Roman" w:cs="Times New Roman" w:eastAsia="Times New Roman" w:hAnsi="Times New Roman"/>
          <w:sz w:val="18"/>
          <w:szCs w:val="18"/>
          <w:color w:val="auto"/>
        </w:rPr>
      </w:pPr>
    </w:p>
    <w:p>
      <w:pPr>
        <w:jc w:val="both"/>
        <w:ind w:left="1280" w:hanging="517"/>
        <w:spacing w:after="0" w:line="255"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320" w:top="454"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670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66706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80" w:hanging="517"/>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seasonality in our business, which may cause fluctuations in our financial results.</w:t>
      </w:r>
    </w:p>
    <w:p>
      <w:pPr>
        <w:spacing w:after="0" w:line="247"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widespread brand awareness cost-effectively or are subject to widespread negative media coverage, our business may suffer.</w:t>
      </w:r>
    </w:p>
    <w:p>
      <w:pPr>
        <w:spacing w:after="0" w:line="189" w:lineRule="exact"/>
        <w:rPr>
          <w:rFonts w:ascii="Times New Roman" w:cs="Times New Roman" w:eastAsia="Times New Roman" w:hAnsi="Times New Roman"/>
          <w:sz w:val="18"/>
          <w:szCs w:val="18"/>
          <w:color w:val="auto"/>
        </w:rPr>
      </w:pPr>
    </w:p>
    <w:p>
      <w:pPr>
        <w:jc w:val="both"/>
        <w:ind w:left="1280" w:hanging="517"/>
        <w:spacing w:after="0" w:line="263"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spacing w:after="0" w:line="202" w:lineRule="exact"/>
        <w:rPr>
          <w:rFonts w:ascii="Times New Roman" w:cs="Times New Roman" w:eastAsia="Times New Roman" w:hAnsi="Times New Roman"/>
          <w:sz w:val="18"/>
          <w:szCs w:val="18"/>
          <w:color w:val="auto"/>
        </w:rPr>
      </w:pPr>
    </w:p>
    <w:p>
      <w:pPr>
        <w:jc w:val="both"/>
        <w:ind w:left="1280" w:hanging="517"/>
        <w:spacing w:after="0" w:line="271" w:lineRule="auto"/>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200" w:lineRule="exact"/>
        <w:rPr>
          <w:rFonts w:ascii="Times New Roman" w:cs="Times New Roman" w:eastAsia="Times New Roman" w:hAnsi="Times New Roman"/>
          <w:sz w:val="17"/>
          <w:szCs w:val="17"/>
          <w:color w:val="auto"/>
        </w:rPr>
      </w:pPr>
    </w:p>
    <w:p>
      <w:pPr>
        <w:ind w:left="128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upon the interoperability of our programs and related connected devices across a number of devices, operating systems, and third-party applications that we do not control.</w:t>
      </w:r>
    </w:p>
    <w:p>
      <w:pPr>
        <w:spacing w:after="0" w:line="189"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changes in regulations or the implementation of existing regulations could affect our operations.</w:t>
      </w:r>
    </w:p>
    <w:p>
      <w:pPr>
        <w:spacing w:after="0" w:line="189" w:lineRule="exact"/>
        <w:rPr>
          <w:rFonts w:ascii="Times New Roman" w:cs="Times New Roman" w:eastAsia="Times New Roman" w:hAnsi="Times New Roman"/>
          <w:sz w:val="18"/>
          <w:szCs w:val="18"/>
          <w:color w:val="auto"/>
        </w:rPr>
      </w:pPr>
    </w:p>
    <w:p>
      <w:pPr>
        <w:jc w:val="both"/>
        <w:ind w:left="1280" w:hanging="517"/>
        <w:spacing w:after="0" w:line="25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206" w:lineRule="exact"/>
        <w:rPr>
          <w:rFonts w:ascii="Times New Roman" w:cs="Times New Roman" w:eastAsia="Times New Roman" w:hAnsi="Times New Roman"/>
          <w:sz w:val="18"/>
          <w:szCs w:val="18"/>
          <w:color w:val="auto"/>
        </w:rPr>
      </w:pPr>
    </w:p>
    <w:p>
      <w:pPr>
        <w:jc w:val="both"/>
        <w:ind w:left="1280" w:hanging="517"/>
        <w:spacing w:after="0" w:line="25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206" w:lineRule="exact"/>
        <w:rPr>
          <w:rFonts w:ascii="Times New Roman" w:cs="Times New Roman" w:eastAsia="Times New Roman" w:hAnsi="Times New Roman"/>
          <w:sz w:val="18"/>
          <w:szCs w:val="18"/>
          <w:color w:val="auto"/>
        </w:rPr>
      </w:pPr>
    </w:p>
    <w:p>
      <w:pPr>
        <w:jc w:val="both"/>
        <w:ind w:left="1280" w:hanging="517"/>
        <w:spacing w:after="0" w:line="263"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spacing w:after="0" w:line="202" w:lineRule="exact"/>
        <w:rPr>
          <w:rFonts w:ascii="Times New Roman" w:cs="Times New Roman" w:eastAsia="Times New Roman" w:hAnsi="Times New Roman"/>
          <w:sz w:val="18"/>
          <w:szCs w:val="18"/>
          <w:color w:val="auto"/>
        </w:rPr>
      </w:pPr>
    </w:p>
    <w:p>
      <w:pPr>
        <w:jc w:val="both"/>
        <w:ind w:left="1280" w:hanging="517"/>
        <w:spacing w:after="0" w:line="25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spacing w:after="0" w:line="206"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healthcare reforms may make it more difficult and costly to produce, market, and distribute our programs or to do so profitably.</w:t>
      </w:r>
    </w:p>
    <w:p>
      <w:pPr>
        <w:spacing w:after="0" w:line="189"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of the material weaknesses is not effective, or if we experience additional material</w:t>
      </w:r>
    </w:p>
    <w:p>
      <w:pPr>
        <w:spacing w:after="0" w:line="2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320" w:top="454"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008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60083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left="1280" w:right="20"/>
        <w:spacing w:after="0" w:line="263" w:lineRule="auto"/>
        <w:rPr>
          <w:sz w:val="20"/>
          <w:szCs w:val="20"/>
          <w:color w:val="auto"/>
        </w:rPr>
      </w:pPr>
      <w:r>
        <w:rPr>
          <w:rFonts w:ascii="Times New Roman" w:cs="Times New Roman" w:eastAsia="Times New Roman" w:hAnsi="Times New Roman"/>
          <w:sz w:val="18"/>
          <w:szCs w:val="18"/>
          <w:color w:val="auto"/>
        </w:rPr>
        <w:t>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5"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April 25, 2011. Our principal executive offices are located at 500 Sansome Street, Suite 200, San Francisco, California 94111, and our telephone number is (888) 987-8337. Our corporate website address is www.omadahealth.com.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5"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 result, the information that we provide to our stockholders may be different than you might receive from other public reporting companies in which you hold equity interests.</w:t>
      </w:r>
    </w:p>
    <w:p>
      <w:pPr>
        <w:spacing w:after="0" w:line="192"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As an emerging growth company, we have elected to take advantage of certain of the reduced disclosure obligations in the registration statement of which this prospectus is a part and may elect to take advantage of other reduced reporting requirements in future filings. In particular:</w:t>
      </w:r>
    </w:p>
    <w:p>
      <w:pPr>
        <w:spacing w:after="0" w:line="189" w:lineRule="exact"/>
        <w:rPr>
          <w:sz w:val="20"/>
          <w:szCs w:val="20"/>
          <w:color w:val="auto"/>
        </w:rPr>
      </w:pPr>
    </w:p>
    <w:p>
      <w:pPr>
        <w:ind w:left="1280" w:right="20" w:hanging="517"/>
        <w:spacing w:after="0" w:line="278"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present in this prospectus only two years of audited consolidated financial statements, plus any required unaudited financial statements, and related management’s discussion and analysis of financial condition and results of operations;</w:t>
      </w:r>
    </w:p>
    <w:p>
      <w:pPr>
        <w:spacing w:after="0" w:line="189" w:lineRule="exact"/>
        <w:rPr>
          <w:rFonts w:ascii="Times New Roman" w:cs="Times New Roman" w:eastAsia="Times New Roman" w:hAnsi="Times New Roman"/>
          <w:sz w:val="18"/>
          <w:szCs w:val="18"/>
          <w:color w:val="auto"/>
        </w:rPr>
      </w:pPr>
    </w:p>
    <w:p>
      <w:pPr>
        <w:ind w:left="1280" w:right="20" w:hanging="517"/>
        <w:spacing w:after="0" w:line="308" w:lineRule="auto"/>
        <w:tabs>
          <w:tab w:leader="none" w:pos="12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166" w:lineRule="exact"/>
        <w:rPr>
          <w:rFonts w:ascii="Times New Roman" w:cs="Times New Roman" w:eastAsia="Times New Roman" w:hAnsi="Times New Roman"/>
          <w:sz w:val="17"/>
          <w:szCs w:val="17"/>
          <w:color w:val="auto"/>
        </w:rPr>
      </w:pPr>
    </w:p>
    <w:p>
      <w:pPr>
        <w:ind w:left="1280" w:hanging="517"/>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less extensive disclosure about our executive compensation arrangements; and</w:t>
      </w:r>
    </w:p>
    <w:p>
      <w:pPr>
        <w:spacing w:after="0" w:line="24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require stockholder non-binding advisory votes on executive compensation or golden parachute arrangements.</w:t>
      </w:r>
    </w:p>
    <w:p>
      <w:pPr>
        <w:spacing w:after="0" w:line="221"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4"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9404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59404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18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5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1460" w:type="dxa"/>
            <w:vAlign w:val="bottom"/>
          </w:tcPr>
          <w:p>
            <w:pPr>
              <w:ind w:left="12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8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1460" w:type="dxa"/>
            <w:vAlign w:val="bottom"/>
          </w:tcPr>
          <w:p>
            <w:pPr>
              <w:ind w:left="12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6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296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 xml:space="preserve">         shares (or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if the underwriters exercise in full</w:t>
            </w:r>
          </w:p>
        </w:tc>
      </w:tr>
      <w:tr>
        <w:trPr>
          <w:trHeight w:val="233"/>
        </w:trPr>
        <w:tc>
          <w:tcPr>
            <w:tcW w:w="4120" w:type="dxa"/>
            <w:vAlign w:val="bottom"/>
          </w:tcPr>
          <w:p>
            <w:pPr>
              <w:spacing w:after="0"/>
              <w:rPr>
                <w:sz w:val="20"/>
                <w:szCs w:val="20"/>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their option to purchase additional shares).</w:t>
            </w:r>
          </w:p>
        </w:tc>
      </w:tr>
      <w:tr>
        <w:trPr>
          <w:trHeight w:val="26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w:t>
            </w:r>
          </w:p>
        </w:tc>
      </w:tr>
      <w:tr>
        <w:trPr>
          <w:trHeight w:val="214"/>
        </w:trPr>
        <w:tc>
          <w:tcPr>
            <w:tcW w:w="4120" w:type="dxa"/>
            <w:vAlign w:val="bottom"/>
          </w:tcPr>
          <w:p>
            <w:pPr>
              <w:spacing w:after="0"/>
              <w:rPr>
                <w:sz w:val="18"/>
                <w:szCs w:val="18"/>
                <w:color w:val="auto"/>
              </w:rPr>
            </w:pPr>
          </w:p>
        </w:tc>
        <w:tc>
          <w:tcPr>
            <w:tcW w:w="296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(or approximately $      million if the</w:t>
            </w:r>
          </w:p>
        </w:tc>
      </w:tr>
      <w:tr>
        <w:trPr>
          <w:trHeight w:val="214"/>
        </w:trPr>
        <w:tc>
          <w:tcPr>
            <w:tcW w:w="4120" w:type="dxa"/>
            <w:vAlign w:val="bottom"/>
          </w:tcPr>
          <w:p>
            <w:pPr>
              <w:spacing w:after="0"/>
              <w:rPr>
                <w:sz w:val="18"/>
                <w:szCs w:val="18"/>
                <w:color w:val="auto"/>
              </w:rPr>
            </w:pPr>
          </w:p>
        </w:tc>
        <w:tc>
          <w:tcPr>
            <w:tcW w:w="296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underwriters exercise</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w:t>
            </w:r>
          </w:p>
        </w:tc>
        <w:tc>
          <w:tcPr>
            <w:tcW w:w="3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full their option to purchase up to    </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additional shares of common stock), based on an assumed initial</w:t>
            </w:r>
          </w:p>
        </w:tc>
      </w:tr>
      <w:tr>
        <w:trPr>
          <w:trHeight w:val="214"/>
        </w:trPr>
        <w:tc>
          <w:tcPr>
            <w:tcW w:w="4120" w:type="dxa"/>
            <w:vAlign w:val="bottom"/>
          </w:tcPr>
          <w:p>
            <w:pPr>
              <w:spacing w:after="0"/>
              <w:rPr>
                <w:sz w:val="18"/>
                <w:szCs w:val="18"/>
                <w:color w:val="auto"/>
              </w:rPr>
            </w:pPr>
          </w:p>
        </w:tc>
        <w:tc>
          <w:tcPr>
            <w:tcW w:w="328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rPr>
              <w:t xml:space="preserve">public offering price of $ </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per share, which is the midpoint of the</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and  after  deducting  estimated  underwriting  discounts  and</w:t>
            </w:r>
          </w:p>
        </w:tc>
      </w:tr>
      <w:tr>
        <w:trPr>
          <w:trHeight w:val="233"/>
        </w:trPr>
        <w:tc>
          <w:tcPr>
            <w:tcW w:w="4120" w:type="dxa"/>
            <w:vAlign w:val="bottom"/>
          </w:tcPr>
          <w:p>
            <w:pPr>
              <w:spacing w:after="0"/>
              <w:rPr>
                <w:sz w:val="20"/>
                <w:szCs w:val="20"/>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r>
      <w:tr>
        <w:trPr>
          <w:trHeight w:val="315"/>
        </w:trPr>
        <w:tc>
          <w:tcPr>
            <w:tcW w:w="4120" w:type="dxa"/>
            <w:vAlign w:val="bottom"/>
          </w:tcPr>
          <w:p>
            <w:pPr>
              <w:spacing w:after="0"/>
              <w:rPr>
                <w:sz w:val="24"/>
                <w:szCs w:val="24"/>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general  corporate  purposes,  including  working  capital,  operating</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expenses, and capital expenditures. We may also use a portion of the</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proceeds to repay outstanding borrowings under the MidCap Credit</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Agreement and/or to acquire complementary businesses, products,</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services,  or  technologies.  We  periodically  evaluate  strategic</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opportunities;  however,  we  have  no  current  understandings  or</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commitments to enter into any such acquisitions or make any such</w:t>
            </w:r>
          </w:p>
        </w:tc>
      </w:tr>
      <w:tr>
        <w:trPr>
          <w:trHeight w:val="233"/>
        </w:trPr>
        <w:tc>
          <w:tcPr>
            <w:tcW w:w="4120" w:type="dxa"/>
            <w:vAlign w:val="bottom"/>
          </w:tcPr>
          <w:p>
            <w:pPr>
              <w:spacing w:after="0"/>
              <w:rPr>
                <w:sz w:val="20"/>
                <w:szCs w:val="20"/>
                <w:color w:val="auto"/>
              </w:rPr>
            </w:pPr>
          </w:p>
        </w:tc>
        <w:tc>
          <w:tcPr>
            <w:tcW w:w="296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15"/>
        </w:trPr>
        <w:tc>
          <w:tcPr>
            <w:tcW w:w="4120" w:type="dxa"/>
            <w:vAlign w:val="bottom"/>
          </w:tcPr>
          <w:p>
            <w:pPr>
              <w:spacing w:after="0"/>
              <w:rPr>
                <w:sz w:val="24"/>
                <w:szCs w:val="24"/>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We will have broad discretion in the way that we use the net proceeds</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w w:val="99"/>
              </w:rPr>
              <w:t>of this offering. See the section titled “Use of Proceeds” for additional</w:t>
            </w:r>
          </w:p>
        </w:tc>
      </w:tr>
      <w:tr>
        <w:trPr>
          <w:trHeight w:val="233"/>
        </w:trPr>
        <w:tc>
          <w:tcPr>
            <w:tcW w:w="4120" w:type="dxa"/>
            <w:vAlign w:val="bottom"/>
          </w:tcPr>
          <w:p>
            <w:pPr>
              <w:spacing w:after="0"/>
              <w:rPr>
                <w:sz w:val="20"/>
                <w:szCs w:val="20"/>
                <w:color w:val="auto"/>
              </w:rPr>
            </w:pPr>
          </w:p>
        </w:tc>
        <w:tc>
          <w:tcPr>
            <w:tcW w:w="296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information.</w:t>
            </w:r>
          </w:p>
        </w:tc>
        <w:tc>
          <w:tcPr>
            <w:tcW w:w="3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7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You should read the section titled “Risk Factors” for a discussion of</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factors to consider carefully, together with all the other information</w:t>
            </w:r>
          </w:p>
        </w:tc>
      </w:tr>
      <w:tr>
        <w:trPr>
          <w:trHeight w:val="214"/>
        </w:trPr>
        <w:tc>
          <w:tcPr>
            <w:tcW w:w="4120" w:type="dxa"/>
            <w:vAlign w:val="bottom"/>
          </w:tcPr>
          <w:p>
            <w:pPr>
              <w:spacing w:after="0"/>
              <w:rPr>
                <w:sz w:val="18"/>
                <w:szCs w:val="18"/>
                <w:color w:val="auto"/>
              </w:rPr>
            </w:pPr>
          </w:p>
        </w:tc>
        <w:tc>
          <w:tcPr>
            <w:tcW w:w="642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included in this prospectus, before deciding to invest in our common</w:t>
            </w:r>
          </w:p>
        </w:tc>
      </w:tr>
      <w:tr>
        <w:trPr>
          <w:trHeight w:val="233"/>
        </w:trPr>
        <w:tc>
          <w:tcPr>
            <w:tcW w:w="4120" w:type="dxa"/>
            <w:vAlign w:val="bottom"/>
          </w:tcPr>
          <w:p>
            <w:pPr>
              <w:spacing w:after="0"/>
              <w:rPr>
                <w:sz w:val="20"/>
                <w:szCs w:val="20"/>
                <w:color w:val="auto"/>
              </w:rPr>
            </w:pPr>
          </w:p>
        </w:tc>
        <w:tc>
          <w:tcPr>
            <w:tcW w:w="186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8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Global Market trading symbol</w:t>
            </w:r>
          </w:p>
        </w:tc>
        <w:tc>
          <w:tcPr>
            <w:tcW w:w="296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“OMDA”</w:t>
            </w: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95"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shares of our common stock outstanding as of December 31, 2023 and reflects the Preferred Stock Conversion and the Series D Warrant Exercise described below.</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does not include:</w:t>
      </w:r>
    </w:p>
    <w:p>
      <w:pPr>
        <w:spacing w:after="0" w:line="248" w:lineRule="exact"/>
        <w:rPr>
          <w:sz w:val="20"/>
          <w:szCs w:val="20"/>
          <w:color w:val="auto"/>
        </w:rPr>
      </w:pPr>
    </w:p>
    <w:p>
      <w:pPr>
        <w:ind w:left="1280" w:right="20" w:hanging="517"/>
        <w:spacing w:after="0" w:line="278"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248,625 shares of our common stock issuable upon the exercise of outstanding warrants, which includes our existing warrants to purchase shares of common stock as well as our existing Series B</w:t>
      </w: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4"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398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63988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80"/>
        <w:spacing w:after="0" w:line="278" w:lineRule="auto"/>
        <w:rPr>
          <w:sz w:val="20"/>
          <w:szCs w:val="20"/>
          <w:color w:val="auto"/>
        </w:rPr>
      </w:pPr>
      <w:r>
        <w:rPr>
          <w:rFonts w:ascii="Times New Roman" w:cs="Times New Roman" w:eastAsia="Times New Roman" w:hAnsi="Times New Roman"/>
          <w:sz w:val="18"/>
          <w:szCs w:val="18"/>
          <w:color w:val="auto"/>
        </w:rPr>
        <w:t>redeemable convertible preferred stock warrants that will convert into warrants exercisable for common stock immediately prior to the completion of this offering, as of December 31, 2023, with a weighted-average exercise price of $1.13 per share;</w:t>
      </w:r>
    </w:p>
    <w:p>
      <w:pPr>
        <w:spacing w:after="0" w:line="189" w:lineRule="exact"/>
        <w:rPr>
          <w:sz w:val="20"/>
          <w:szCs w:val="20"/>
          <w:color w:val="auto"/>
        </w:rPr>
      </w:pPr>
    </w:p>
    <w:p>
      <w:pPr>
        <w:ind w:left="1280" w:hanging="517"/>
        <w:spacing w:after="0" w:line="278"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30,649,511 shares of our common stock issuable upon the exercise of outstanding stock options as of December 31, 2023, with a weighted-average exercise price of $2.16 per share;</w:t>
      </w:r>
    </w:p>
    <w:p>
      <w:pPr>
        <w:spacing w:after="0" w:line="189"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3,897,714 shares of our common stock issuable upon the exercise of outstanding stock options granted subsequent to December 31, 2023, with a weighted-average exercise price of $2.75 per share; and</w:t>
      </w:r>
    </w:p>
    <w:p>
      <w:pPr>
        <w:sectPr>
          <w:pgSz w:w="11900" w:h="16838" w:orient="portrait"/>
          <w:cols w:equalWidth="0" w:num="1">
            <w:col w:w="10880"/>
          </w:cols>
          <w:pgMar w:left="320" w:top="454" w:right="699" w:bottom="1440" w:gutter="0" w:footer="0" w:header="0"/>
        </w:sectPr>
      </w:pP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reserved for future issuance under our equity compensation plans, consisting of:</w:t>
      </w:r>
    </w:p>
    <w:p>
      <w:pPr>
        <w:spacing w:after="0" w:line="211" w:lineRule="exact"/>
        <w:rPr>
          <w:sz w:val="20"/>
          <w:szCs w:val="20"/>
          <w:color w:val="auto"/>
        </w:rPr>
      </w:pPr>
    </w:p>
    <w:p>
      <w:pPr>
        <w:sectPr>
          <w:pgSz w:w="11900" w:h="16838" w:orient="portrait"/>
          <w:cols w:equalWidth="0" w:num="4">
            <w:col w:w="820" w:space="460"/>
            <w:col w:w="220" w:space="120"/>
            <w:col w:w="240" w:space="120"/>
            <w:col w:w="8900"/>
          </w:cols>
          <w:pgMar w:left="320" w:top="454" w:right="699" w:bottom="1440" w:gutter="0" w:footer="0" w:header="0"/>
          <w:type w:val="continuous"/>
        </w:sectPr>
      </w:pP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shares of our common stock to be reserved for future issuance under our 2024 Incentive Award Plan (the “2024 Plan”),</w:t>
      </w:r>
    </w:p>
    <w:p>
      <w:pPr>
        <w:spacing w:after="0" w:line="37" w:lineRule="exact"/>
        <w:rPr>
          <w:sz w:val="20"/>
          <w:szCs w:val="20"/>
          <w:color w:val="auto"/>
        </w:rPr>
      </w:pPr>
    </w:p>
    <w:p>
      <w:pPr>
        <w:sectPr>
          <w:pgSz w:w="11900" w:h="16838" w:orient="portrait"/>
          <w:cols w:equalWidth="0" w:num="2">
            <w:col w:w="1340" w:space="340"/>
            <w:col w:w="9200"/>
          </w:cols>
          <w:pgMar w:left="320" w:top="454" w:right="699" w:bottom="1440" w:gutter="0" w:footer="0" w:header="0"/>
          <w:type w:val="continuous"/>
        </w:sectPr>
      </w:pPr>
    </w:p>
    <w:p>
      <w:pPr>
        <w:jc w:val="both"/>
        <w:ind w:left="1680"/>
        <w:spacing w:after="0" w:line="250" w:lineRule="auto"/>
        <w:rPr>
          <w:sz w:val="20"/>
          <w:szCs w:val="20"/>
          <w:color w:val="auto"/>
        </w:rPr>
      </w:pPr>
      <w:r>
        <w:rPr>
          <w:rFonts w:ascii="Times New Roman" w:cs="Times New Roman" w:eastAsia="Times New Roman" w:hAnsi="Times New Roman"/>
          <w:sz w:val="18"/>
          <w:szCs w:val="18"/>
          <w:color w:val="auto"/>
        </w:rPr>
        <w:t>which will become effective on the date immediately prior to the date our registration statement relating to this offering becomes effective, including       shares of our common stock that remain available for future issuance under our 2011 Stock Plan (the “2011 Plan”) at the time the 2024 Plan becomes effective, which shares will cease to be available for issuance under the 2011 Plan at such time, as well as any future increases in the number of shares of common stock reserved for issuance under the 2024 Plan; and</w:t>
      </w:r>
    </w:p>
    <w:p>
      <w:pPr>
        <w:spacing w:after="0" w:line="214" w:lineRule="exact"/>
        <w:rPr>
          <w:sz w:val="20"/>
          <w:szCs w:val="20"/>
          <w:color w:val="auto"/>
        </w:rPr>
      </w:pPr>
    </w:p>
    <w:p>
      <w:pPr>
        <w:jc w:val="both"/>
        <w:ind w:left="1680" w:hanging="396"/>
        <w:spacing w:after="0" w:line="285" w:lineRule="auto"/>
        <w:tabs>
          <w:tab w:leader="none" w:pos="1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 of our common stock reserved for future issuance under our 2024 Employee Stock Purchase Plan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60" w:lineRule="exact"/>
        <w:rPr>
          <w:sz w:val="20"/>
          <w:szCs w:val="20"/>
          <w:color w:val="auto"/>
        </w:rPr>
      </w:pPr>
    </w:p>
    <w:p>
      <w:pPr>
        <w:ind w:left="340" w:firstLine="422"/>
        <w:spacing w:after="0" w:line="278"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including the number of shares of common stock that will be outstanding after this offering, assumes or gives effect to:</w:t>
      </w:r>
    </w:p>
    <w:p>
      <w:pPr>
        <w:spacing w:after="0" w:line="189" w:lineRule="exact"/>
        <w:rPr>
          <w:sz w:val="20"/>
          <w:szCs w:val="20"/>
          <w:color w:val="auto"/>
        </w:rPr>
      </w:pPr>
    </w:p>
    <w:p>
      <w:pPr>
        <w:ind w:left="1280" w:hanging="517"/>
        <w:spacing w:after="0" w:line="278"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filing, and effectiveness of our amended and restated certificate of incorporation immediately prior to the completion of this offering;</w:t>
      </w:r>
    </w:p>
    <w:p>
      <w:pPr>
        <w:spacing w:after="0" w:line="189" w:lineRule="exact"/>
        <w:rPr>
          <w:rFonts w:ascii="Times New Roman" w:cs="Times New Roman" w:eastAsia="Times New Roman" w:hAnsi="Times New Roman"/>
          <w:sz w:val="18"/>
          <w:szCs w:val="18"/>
          <w:color w:val="auto"/>
        </w:rPr>
      </w:pPr>
    </w:p>
    <w:p>
      <w:pPr>
        <w:jc w:val="both"/>
        <w:ind w:left="1280" w:hanging="517"/>
        <w:spacing w:after="0" w:line="263"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the outstanding shares of our Series A, Series B, Series C, Series C-1, Series D, Series D-1, and Series E redeemable convertible preferred stock into an aggregate of 118,218,801 shares of our common stock, the conversion of which will occur immediately prior to the completion of this offering (the “Preferred Stock Conversion”);</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9"/>
              </w:rPr>
              <w:t>the conversion of 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shares of our Series D redeemable convertible preferred stock issued upon the automatic cashless exercise</w:t>
            </w:r>
          </w:p>
        </w:tc>
      </w:tr>
      <w:tr>
        <w:trPr>
          <w:trHeight w:val="214"/>
        </w:trPr>
        <w:tc>
          <w:tcPr>
            <w:tcW w:w="280" w:type="dxa"/>
            <w:vAlign w:val="bottom"/>
          </w:tcPr>
          <w:p>
            <w:pPr>
              <w:spacing w:after="0"/>
              <w:rPr>
                <w:sz w:val="18"/>
                <w:szCs w:val="18"/>
                <w:color w:val="auto"/>
              </w:rPr>
            </w:pPr>
          </w:p>
        </w:tc>
        <w:tc>
          <w:tcPr>
            <w:tcW w:w="9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of outstanding warrants to acquire shares of our Series D redeemable convertible preferred stock as of            , 2024, assuming an</w:t>
            </w:r>
          </w:p>
        </w:tc>
      </w:tr>
      <w:tr>
        <w:trPr>
          <w:trHeight w:val="214"/>
        </w:trPr>
        <w:tc>
          <w:tcPr>
            <w:tcW w:w="280" w:type="dxa"/>
            <w:vAlign w:val="bottom"/>
          </w:tcPr>
          <w:p>
            <w:pPr>
              <w:spacing w:after="0"/>
              <w:rPr>
                <w:sz w:val="18"/>
                <w:szCs w:val="18"/>
                <w:color w:val="auto"/>
              </w:rPr>
            </w:pPr>
          </w:p>
        </w:tc>
        <w:tc>
          <w:tcPr>
            <w:tcW w:w="9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initial public offering price of $            per share, which is the midpoint of the estimated price range set forth on the cover page of</w:t>
            </w:r>
          </w:p>
        </w:tc>
      </w:tr>
      <w:tr>
        <w:trPr>
          <w:trHeight w:val="214"/>
        </w:trPr>
        <w:tc>
          <w:tcPr>
            <w:tcW w:w="280" w:type="dxa"/>
            <w:vAlign w:val="bottom"/>
          </w:tcPr>
          <w:p>
            <w:pPr>
              <w:spacing w:after="0"/>
              <w:rPr>
                <w:sz w:val="18"/>
                <w:szCs w:val="18"/>
                <w:color w:val="auto"/>
              </w:rPr>
            </w:pPr>
          </w:p>
        </w:tc>
        <w:tc>
          <w:tcPr>
            <w:tcW w:w="9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8"/>
              </w:rPr>
              <w:t>this prospectus, into an equivalent number of shares of our common stock, the conversion of which will occur immediately prior to the</w:t>
            </w:r>
          </w:p>
        </w:tc>
      </w:tr>
      <w:tr>
        <w:trPr>
          <w:trHeight w:val="233"/>
        </w:trPr>
        <w:tc>
          <w:tcPr>
            <w:tcW w:w="280" w:type="dxa"/>
            <w:vAlign w:val="bottom"/>
          </w:tcPr>
          <w:p>
            <w:pPr>
              <w:spacing w:after="0"/>
              <w:rPr>
                <w:sz w:val="20"/>
                <w:szCs w:val="20"/>
                <w:color w:val="auto"/>
              </w:rPr>
            </w:pPr>
          </w:p>
        </w:tc>
        <w:tc>
          <w:tcPr>
            <w:tcW w:w="9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completion of this offering (the “Series D Warrant Exercise”);</w:t>
            </w:r>
          </w:p>
        </w:tc>
      </w:tr>
      <w:tr>
        <w:trPr>
          <w:trHeight w:val="45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a            -for-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reverse stock split of our common stock effected on          , 2024;</w:t>
            </w:r>
          </w:p>
        </w:tc>
      </w:tr>
    </w:tbl>
    <w:p>
      <w:pPr>
        <w:spacing w:after="0" w:line="222" w:lineRule="exact"/>
        <w:rPr>
          <w:sz w:val="20"/>
          <w:szCs w:val="20"/>
          <w:color w:val="auto"/>
        </w:rPr>
      </w:pPr>
    </w:p>
    <w:p>
      <w:pPr>
        <w:ind w:left="1280" w:hanging="517"/>
        <w:spacing w:after="0" w:line="27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warrants or options subsequent to December 31, 2023, except in connection with the Series D Warrant Exercise; and</w:t>
      </w:r>
    </w:p>
    <w:p>
      <w:pPr>
        <w:spacing w:after="0" w:line="189" w:lineRule="exact"/>
        <w:rPr>
          <w:sz w:val="20"/>
          <w:szCs w:val="20"/>
          <w:color w:val="auto"/>
        </w:rPr>
      </w:pPr>
    </w:p>
    <w:p>
      <w:pPr>
        <w:ind w:left="760"/>
        <w:spacing w:after="0"/>
        <w:tabs>
          <w:tab w:leader="none" w:pos="1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 exercise by the underwriters of their option to purchase up to            additional shares of our common stock.</w:t>
      </w:r>
    </w:p>
    <w:p>
      <w:pPr>
        <w:spacing w:after="0" w:line="3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4" w:right="6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6960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66960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5" w:lineRule="exact"/>
        <w:rPr>
          <w:sz w:val="20"/>
          <w:szCs w:val="20"/>
          <w:color w:val="auto"/>
        </w:rPr>
      </w:pPr>
    </w:p>
    <w:p>
      <w:pPr>
        <w:jc w:val="both"/>
        <w:ind w:left="340" w:right="180" w:firstLine="422"/>
        <w:spacing w:after="0" w:line="268" w:lineRule="auto"/>
        <w:rPr>
          <w:sz w:val="20"/>
          <w:szCs w:val="20"/>
          <w:color w:val="auto"/>
        </w:rPr>
      </w:pPr>
      <w:r>
        <w:rPr>
          <w:rFonts w:ascii="Times New Roman" w:cs="Times New Roman" w:eastAsia="Times New Roman" w:hAnsi="Times New Roman"/>
          <w:sz w:val="17"/>
          <w:szCs w:val="17"/>
          <w:color w:val="auto"/>
        </w:rPr>
        <w:t>The following tables summarize our consolidated financial data for the periods and as of the dates indicated. The following summary consolidated statements of operations and comprehensive loss data for the years ended December 31, 2022 and 2023 and consolidated balance sheet data as of December 31, 2023, except for pro forma and pro forma as adjusted amounts, have been derived from our audited consolidated financial statements and related notes included elsewhere in this prospectus. Our audited consolidated financial statements included elsewhere in this prospectus have been prepared in accordance with U.S. generally accepted accounting principles (“GAAP”). Our historical results are not necessarily indicative of the results that may be expected for any period in the future. You should read the following summary consolidated financial data together with our audited consolidated financial statements and the related notes included elsewhere in this prospectus and the section titled “Management’s Discussion and Analysis of Financial Condition and Results of Operations.” The summary consolidated financial data included in this section are not intended to replace the consolidated financial statements and the related notes included elsewhere in this prospectus.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Data</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0" w:type="dxa"/>
            <w:vAlign w:val="bottom"/>
            <w:tcBorders>
              <w:top w:val="single" w:sz="8" w:color="auto"/>
              <w:bottom w:val="single" w:sz="8" w:color="auto"/>
            </w:tcBorders>
            <w:gridSpan w:val="2"/>
          </w:tcPr>
          <w:p>
            <w:pPr>
              <w:jc w:val="right"/>
              <w:ind w:right="40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3"/>
              <w:spacing w:after="0" w:line="141" w:lineRule="exact"/>
              <w:rPr>
                <w:sz w:val="20"/>
                <w:szCs w:val="20"/>
                <w:color w:val="auto"/>
              </w:rPr>
            </w:pPr>
            <w:r>
              <w:rPr>
                <w:rFonts w:ascii="Times New Roman" w:cs="Times New Roman" w:eastAsia="Times New Roman" w:hAnsi="Times New Roman"/>
                <w:sz w:val="14"/>
                <w:szCs w:val="14"/>
                <w:b w:val="1"/>
                <w:bCs w:val="1"/>
                <w:color w:val="auto"/>
                <w:w w:val="99"/>
              </w:rPr>
              <w:t xml:space="preserve">    </w:t>
            </w:r>
          </w:p>
        </w:tc>
        <w:tc>
          <w:tcPr>
            <w:tcW w:w="600" w:type="dxa"/>
            <w:vAlign w:val="bottom"/>
            <w:tcBorders>
              <w:top w:val="single" w:sz="8" w:color="auto"/>
              <w:bottom w:val="single" w:sz="8" w:color="auto"/>
            </w:tcBorders>
          </w:tcPr>
          <w:p>
            <w:pPr>
              <w:jc w:val="right"/>
              <w:ind w:right="1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80" w:type="dxa"/>
            <w:vAlign w:val="bottom"/>
            <w:gridSpan w:val="5"/>
          </w:tcPr>
          <w:p>
            <w:pPr>
              <w:jc w:val="center"/>
              <w:ind w:right="132"/>
              <w:spacing w:after="0" w:line="116"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4"/>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per-share amounts)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82,690</w:t>
            </w:r>
          </w:p>
        </w:tc>
        <w:tc>
          <w:tcPr>
            <w:tcW w:w="58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114,531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122,784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33,516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12,878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42,791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26,168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58,484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30,489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135,968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(72,350)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(2,202)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(1,831)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(72,518)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(67,511)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(72,518</w:t>
            </w:r>
          </w:p>
        </w:tc>
        <w:tc>
          <w:tcPr>
            <w:tcW w:w="38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73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Net loss per share—basic and diluted</w:t>
            </w:r>
            <w:r>
              <w:rPr>
                <w:rFonts w:ascii="Times New Roman" w:cs="Times New Roman" w:eastAsia="Times New Roman" w:hAnsi="Times New Roman"/>
                <w:sz w:val="24"/>
                <w:szCs w:val="24"/>
                <w:color w:val="auto"/>
                <w:vertAlign w:val="superscript"/>
              </w:rPr>
              <w:t>(1)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(3.57)</w:t>
            </w:r>
          </w:p>
        </w:tc>
        <w:tc>
          <w:tcPr>
            <w:tcW w:w="5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200"/>
              <w:spacing w:after="0" w:line="247" w:lineRule="exact"/>
              <w:rPr>
                <w:sz w:val="20"/>
                <w:szCs w:val="20"/>
                <w:color w:val="auto"/>
              </w:rPr>
            </w:pPr>
            <w:r>
              <w:rPr>
                <w:rFonts w:ascii="Times New Roman" w:cs="Times New Roman" w:eastAsia="Times New Roman" w:hAnsi="Times New Roman"/>
                <w:sz w:val="18"/>
                <w:szCs w:val="18"/>
                <w:color w:val="auto"/>
              </w:rPr>
              <w:t>Weighted-average shares outstanding—basic and diluted</w:t>
            </w:r>
            <w:r>
              <w:rPr>
                <w:rFonts w:ascii="Times New Roman" w:cs="Times New Roman" w:eastAsia="Times New Roman" w:hAnsi="Times New Roman"/>
                <w:sz w:val="26"/>
                <w:szCs w:val="26"/>
                <w:color w:val="auto"/>
                <w:vertAlign w:val="superscript"/>
              </w:rPr>
              <w:t>(1)</w:t>
            </w: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73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Pro forma net loss per share—basic and diluted</w:t>
            </w:r>
            <w:r>
              <w:rPr>
                <w:rFonts w:ascii="Times New Roman" w:cs="Times New Roman" w:eastAsia="Times New Roman" w:hAnsi="Times New Roman"/>
                <w:sz w:val="24"/>
                <w:szCs w:val="24"/>
                <w:color w:val="auto"/>
                <w:vertAlign w:val="superscript"/>
              </w:rPr>
              <w:t>(2)</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200"/>
              <w:spacing w:after="0" w:line="247" w:lineRule="exact"/>
              <w:rPr>
                <w:sz w:val="20"/>
                <w:szCs w:val="20"/>
                <w:color w:val="auto"/>
              </w:rPr>
            </w:pPr>
            <w:r>
              <w:rPr>
                <w:rFonts w:ascii="Times New Roman" w:cs="Times New Roman" w:eastAsia="Times New Roman" w:hAnsi="Times New Roman"/>
                <w:sz w:val="18"/>
                <w:szCs w:val="18"/>
                <w:color w:val="auto"/>
              </w:rPr>
              <w:t>Weighted-average shares used in computing pro forma net loss per share, basic and diluted</w:t>
            </w:r>
            <w:r>
              <w:rPr>
                <w:rFonts w:ascii="Times New Roman" w:cs="Times New Roman" w:eastAsia="Times New Roman" w:hAnsi="Times New Roman"/>
                <w:sz w:val="26"/>
                <w:szCs w:val="26"/>
                <w:color w:val="auto"/>
                <w:vertAlign w:val="superscript"/>
              </w:rPr>
              <w:t>(2)</w:t>
            </w: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0" w:type="dxa"/>
            <w:vAlign w:val="bottom"/>
            <w:tcBorders>
              <w:bottom w:val="single" w:sz="8" w:color="auto"/>
            </w:tcBorders>
          </w:tcPr>
          <w:p>
            <w:pPr>
              <w:spacing w:after="0"/>
              <w:rPr>
                <w:sz w:val="13"/>
                <w:szCs w:val="13"/>
                <w:color w:val="auto"/>
              </w:rPr>
            </w:pPr>
          </w:p>
        </w:tc>
        <w:tc>
          <w:tcPr>
            <w:tcW w:w="7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7520" w:type="dxa"/>
            <w:vAlign w:val="bottom"/>
            <w:gridSpan w:val="2"/>
          </w:tcPr>
          <w:p>
            <w:pPr>
              <w:ind w:left="538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101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610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right="20" w:hanging="412"/>
        <w:spacing w:after="0" w:line="231" w:lineRule="auto"/>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15 to our consolidated financial statements included elsewhere in this prospectus for an explanation of the calculation of our basic and diluted net loss per share and the weighted-average number of shares used in the computation of the per share amounts.</w:t>
      </w:r>
    </w:p>
    <w:p>
      <w:pPr>
        <w:jc w:val="both"/>
        <w:ind w:left="760" w:right="20" w:hanging="412"/>
        <w:spacing w:after="0" w:line="230" w:lineRule="auto"/>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loss per share, basic and diluted, for the year ended December 31, 2023 is calculated giving effect to the Preferred Stock Conversion and the Series D Warrant Exercise, as if the shares resulting from the Preferred Stock Conversion and the Series D Warrant Exercise were outstanding as of the beginning of the period presented. The following table summarizes our pro forma net loss per share for the year ended December 31, 2023:</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80" w:type="dxa"/>
            <w:vAlign w:val="bottom"/>
            <w:tcBorders>
              <w:top w:val="single" w:sz="8" w:color="auto"/>
            </w:tcBorders>
            <w:gridSpan w:val="4"/>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per-share amounts)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reflect the Preferred Stock Conversion</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reflect the Series D Warrant Exercise</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 forma weighted-average shares outstanding—basic and diluted</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Pr>
          <w:p>
            <w:pPr>
              <w:spacing w:after="0"/>
              <w:rPr>
                <w:sz w:val="10"/>
                <w:szCs w:val="10"/>
                <w:color w:val="auto"/>
              </w:rPr>
            </w:pPr>
          </w:p>
        </w:tc>
        <w:tc>
          <w:tcPr>
            <w:tcW w:w="1080" w:type="dxa"/>
            <w:vAlign w:val="bottom"/>
            <w:gridSpan w:val="2"/>
          </w:tcPr>
          <w:p>
            <w:pPr>
              <w:jc w:val="right"/>
              <w:ind w:right="470"/>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1100" w:type="dxa"/>
            <w:vAlign w:val="bottom"/>
            <w:gridSpan w:val="3"/>
          </w:tcPr>
          <w:p>
            <w:pPr>
              <w:jc w:val="center"/>
              <w:ind w:left="63"/>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0"/>
                <w:szCs w:val="10"/>
                <w:b w:val="1"/>
                <w:bCs w:val="1"/>
                <w:color w:val="auto"/>
              </w:rPr>
              <w:t>(1)</w:t>
            </w:r>
          </w:p>
        </w:tc>
        <w:tc>
          <w:tcPr>
            <w:tcW w:w="1160" w:type="dxa"/>
            <w:vAlign w:val="bottom"/>
            <w:gridSpan w:val="4"/>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Borders>
              <w:top w:val="single" w:sz="8" w:color="auto"/>
            </w:tcBorders>
            <w:gridSpan w:val="3"/>
          </w:tcPr>
          <w:p>
            <w:pPr>
              <w:jc w:val="right"/>
              <w:ind w:right="203"/>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$ 115,643</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4"/>
                <w:szCs w:val="24"/>
                <w:color w:val="auto"/>
                <w:vertAlign w:val="superscript"/>
              </w:rPr>
              <w:t>(4)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non-current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(396,829)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(350,112)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left="760" w:right="20" w:hanging="412"/>
        <w:spacing w:after="0" w:line="227"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above reflects (a) the Preferred Stock Conversion, (b) the Series D Warrant Exercise, (c) the conversion of all of our outstanding warrants exercisable for Series B redeemable convertible preferred stock into warrants exercisable for        shares of common stock immediately prior to the completion of this offering, and (d) the filing and effectiveness of our amended and restated certificate of incorporation, which will become effective immediately prior to the completion of this offering.</w:t>
      </w:r>
    </w:p>
    <w:p>
      <w:pPr>
        <w:jc w:val="both"/>
        <w:ind w:left="760" w:right="20" w:hanging="412"/>
        <w:spacing w:after="0" w:line="219"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gives effect to (a) the pro forma adjustments set forth in (1) above and (b) our receipt of estimated net proceeds from the sale of shares of common stock that we are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jc w:val="both"/>
        <w:ind w:left="760" w:right="20" w:hanging="412"/>
        <w:spacing w:after="0" w:line="223"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information above is illustrative only and will depend on the actual initial public offering price and other terms of this offering determined at pricing. Each $1.00 increase or decrease in the assumed initial public offering price of $        per share of our common stock, which is the midpoint of the estimated price range set forth on the cover page of this prospectus, would increase or decrease, as applicable, each of our pro forma as adjusted cash and cash equivalents, working capital, total assets, and total stockholders’ equity (deficit) by approximately $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common stock offered by us would increase or decrease, as applicable, each of our pro forma as adjusted cash and cash equivalents, working capital, total assets, and total</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4"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39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4200" cy="63988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left="760" w:right="20"/>
        <w:spacing w:after="0" w:line="227" w:lineRule="auto"/>
        <w:rPr>
          <w:sz w:val="20"/>
          <w:szCs w:val="20"/>
          <w:color w:val="auto"/>
        </w:rPr>
      </w:pPr>
      <w:r>
        <w:rPr>
          <w:rFonts w:ascii="Times New Roman" w:cs="Times New Roman" w:eastAsia="Times New Roman" w:hAnsi="Times New Roman"/>
          <w:sz w:val="14"/>
          <w:szCs w:val="14"/>
          <w:color w:val="auto"/>
        </w:rPr>
        <w:t>stockholders’ equity (deficit) by approximately $        million, assuming the assumed initial public offering price of $        per share of our common stock, which is the midpoint of the estimated price range set forth on the cover page of this prospectus, remains the same, and after deducting estimated underwriting discounts and commissions and estimated offering expenses payable by us.</w:t>
      </w:r>
    </w:p>
    <w:p>
      <w:pPr>
        <w:spacing w:after="0" w:line="1" w:lineRule="exact"/>
        <w:rPr>
          <w:sz w:val="20"/>
          <w:szCs w:val="20"/>
          <w:color w:val="auto"/>
        </w:rPr>
      </w:pPr>
    </w:p>
    <w:p>
      <w:pPr>
        <w:ind w:left="760" w:right="20" w:hanging="412"/>
        <w:spacing w:after="0" w:line="235" w:lineRule="auto"/>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current assets less current liabilities. See our consolidated financial statements and related notes included elsewhere in this prospectus for further details regarding our current assets and current liabilities as of December 31, 2023.</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Key Metric</w:t>
      </w:r>
    </w:p>
    <w:p>
      <w:pPr>
        <w:spacing w:after="0" w:line="225" w:lineRule="exact"/>
        <w:rPr>
          <w:sz w:val="20"/>
          <w:szCs w:val="20"/>
          <w:color w:val="auto"/>
        </w:rPr>
      </w:pPr>
    </w:p>
    <w:p>
      <w:pPr>
        <w:jc w:val="both"/>
        <w:ind w:left="340" w:right="20" w:firstLine="422"/>
        <w:spacing w:after="0" w:line="278" w:lineRule="auto"/>
        <w:rPr>
          <w:sz w:val="20"/>
          <w:szCs w:val="20"/>
          <w:color w:val="auto"/>
        </w:rPr>
      </w:pPr>
      <w:r>
        <w:rPr>
          <w:rFonts w:ascii="Times New Roman" w:cs="Times New Roman" w:eastAsia="Times New Roman" w:hAnsi="Times New Roman"/>
          <w:sz w:val="18"/>
          <w:szCs w:val="18"/>
          <w:color w:val="auto"/>
        </w:rPr>
        <w:t>We monitor the following key metric to help us evaluate our business, measure our performance, identify trends affecting our business, formulate business plans, and make strategic decisions.</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8920" w:type="dxa"/>
            <w:vAlign w:val="bottom"/>
          </w:tcPr>
          <w:p>
            <w:pPr>
              <w:spacing w:after="0"/>
              <w:rPr>
                <w:sz w:val="14"/>
                <w:szCs w:val="14"/>
                <w:color w:val="auto"/>
              </w:rPr>
            </w:pPr>
          </w:p>
        </w:tc>
        <w:tc>
          <w:tcPr>
            <w:tcW w:w="16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89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207"/>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391,000</w:t>
            </w:r>
          </w:p>
        </w:tc>
        <w:tc>
          <w:tcPr>
            <w:tcW w:w="8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For additional information about our key metric, including for information about how we calculate the number of members, see the section titled “Management’s Discussion and Analysis of Financial Condition and Results of Operations—Key Metric.”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We use certain financial measures not calculated in accordance with GAAP to supplement the financial information in our consolidated financial statements, which are presented in accordance with GAAP. These non-GAAP financial measures include non-GAAP gross profit, non-GAAP gross margin, and non-GAAP net loss. We use these non-GAAP financial measures for financial and operational decision-making and as a means to assist us in evaluating period-to-period comparisons.</w:t>
      </w:r>
    </w:p>
    <w:p>
      <w:pPr>
        <w:spacing w:after="0" w:line="180"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gross profit and gross margin, excluding share-based compensation expense, amortization of intangible assets, and depreciation and amortization. We define non-GAAP net loss as net loss and comprehensive loss reported on our consolidated statements of operations, excluding the impact of share-based compensation expense, amortization of intangible assets, depreciation and amortization, loss on disposal of property and equipment, interest expense, interest income, change in the fair value of warrant liabilities, loss on debt extinguishment, and the provision for income taxes.</w:t>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46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1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140"/>
        </w:trPr>
        <w:tc>
          <w:tcPr>
            <w:tcW w:w="46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3"/>
          </w:tcPr>
          <w:p>
            <w:pPr>
              <w:jc w:val="right"/>
              <w:ind w:right="39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2"/>
                <w:szCs w:val="12"/>
                <w:color w:val="auto"/>
              </w:rPr>
            </w:pPr>
          </w:p>
        </w:tc>
      </w:tr>
      <w:tr>
        <w:trPr>
          <w:trHeight w:val="21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42,791</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200" w:type="dxa"/>
            <w:vAlign w:val="bottom"/>
            <w:shd w:val="clear" w:color="auto" w:fill="CCEEFF"/>
          </w:tcPr>
          <w:p>
            <w:pPr>
              <w:spacing w:after="0"/>
              <w:rPr>
                <w:sz w:val="18"/>
                <w:szCs w:val="18"/>
                <w:color w:val="auto"/>
              </w:rPr>
            </w:pP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rPr>
              <w:t>46,615</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73,825</w:t>
            </w:r>
          </w:p>
        </w:tc>
        <w:tc>
          <w:tcPr>
            <w:tcW w:w="200" w:type="dxa"/>
            <w:vAlign w:val="bottom"/>
          </w:tcPr>
          <w:p>
            <w:pPr>
              <w:spacing w:after="0"/>
              <w:rPr>
                <w:sz w:val="18"/>
                <w:szCs w:val="18"/>
                <w:color w:val="auto"/>
              </w:rPr>
            </w:pPr>
          </w:p>
        </w:tc>
      </w:tr>
      <w:tr>
        <w:trPr>
          <w:trHeight w:val="21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48.0%</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52.3%</w:t>
            </w:r>
          </w:p>
        </w:tc>
        <w:tc>
          <w:tcPr>
            <w:tcW w:w="8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r>
      <w:tr>
        <w:trPr>
          <w:trHeight w:val="21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2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(72,350)</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(65,997)</w:t>
            </w:r>
          </w:p>
        </w:tc>
      </w:tr>
      <w:tr>
        <w:trPr>
          <w:trHeight w:val="23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(61,359)</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(52,658)</w:t>
            </w:r>
          </w:p>
        </w:tc>
      </w:tr>
    </w:tbl>
    <w:p>
      <w:pPr>
        <w:spacing w:after="0" w:line="177"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The non-GAAP financial measures are presented for supplemental informational purposes only and should not be considered a substitute for financial information presented in accordance with GAAP and may be different from similarly-titled non-GAAP measures used by other companies.</w:t>
      </w:r>
    </w:p>
    <w:p>
      <w:pPr>
        <w:spacing w:after="0" w:line="175"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For additional information about these non-GAAP financial measures, including their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4"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grown significantly in a short period of time. If we fail to manage our growth effectively, our business could be materially and adversely affected.</w:t>
      </w:r>
    </w:p>
    <w:p>
      <w:pPr>
        <w:spacing w:after="0" w:line="160"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spacing w:after="0" w:line="167"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achieve or maintain profitability in the future.</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incur net losses in the future. For the years ended December 31, 2022 and 2023, we incurred net losses of $72.5 million and $67.5 million, respectively. As of December 31, 2023, we had an accumulated deficit of $396.8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and intend to continue to spend, significant funds to develop our programs, to develop our customer support resources, to scale our offerings, and to recruit and retain key talent. Some of these investments may not yield the revenue gains we anticipate and reduce our operating margin. If our investments are not successful, and if we are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4"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expenses, we will not be able to achieve or maintain profitability in the future.</w:t>
      </w:r>
    </w:p>
    <w:p>
      <w:pPr>
        <w:spacing w:after="0" w:line="176" w:lineRule="exact"/>
        <w:rPr>
          <w:sz w:val="20"/>
          <w:szCs w:val="20"/>
          <w:color w:val="auto"/>
        </w:rPr>
      </w:pPr>
    </w:p>
    <w:p>
      <w:pPr>
        <w:jc w:val="both"/>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16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current business strategy is highly dependent on our programs achieving and maintaining market acceptance. Market acceptance and adoption of our programs depend on our achieving and maintaining meaningful member engagement, clinical outcomes, and costs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Achieving and maintaining market acceptance of our programs could be negatively impacted by many factors, including:</w:t>
      </w:r>
    </w:p>
    <w:p>
      <w:pPr>
        <w:spacing w:after="0" w:line="248" w:lineRule="exact"/>
        <w:rPr>
          <w:sz w:val="20"/>
          <w:szCs w:val="20"/>
          <w:color w:val="auto"/>
        </w:rPr>
      </w:pPr>
    </w:p>
    <w:p>
      <w:pPr>
        <w:jc w:val="both"/>
        <w:ind w:left="1140" w:hanging="545"/>
        <w:spacing w:after="0" w:line="263"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spacing w:after="0" w:line="202"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spacing w:after="0" w:line="202"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associated with the use of our programs or similar solutions or technologies generally;</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competitive solutions or other advancements in healthcare or drugs and the rate of acceptance of those solutions and advancements as compared to our programs; and</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and financial studies relating to chronic condition programs or similar competitive solutions.</w:t>
      </w:r>
    </w:p>
    <w:p>
      <w:pPr>
        <w:spacing w:after="0" w:line="221"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spacing w:after="0" w:line="156"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16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virtual care market is relatively new, unproven, and rapidly evolving, and it is uncertain whether it will achieve and sustain high levels of demand, customer acceptance, and market adoption. The COVID-19 pandemic increased utilization of virtual-first care services, but long-term demand for virtual care is uncertain. Our future financial performance will depend in part on growth in this market and on our ability to adapt to emerging</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4"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7"/>
          <w:szCs w:val="17"/>
          <w:color w:val="auto"/>
        </w:rPr>
        <w:t>demands of our customers and channel partners. It is difficult to predict the future growth rate and size of our target market. The estimates of market opportunity and forecasts of market growth included in this prospectus may prove to be inaccurate, and even if the market in which we compete achieves the forecasted growth, our business could fail to grow at similar rates, if at all. Negative publicity concerning our programs or our market as a whole could limit market acceptance of our programs. If our existing or potential customers, channel partners, and members do not perceive the benefits of our programs, or if our programs do not drive member enrollment, then our market may not develop at all, or it may develop more slowly than we expect. Our 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if we are unable to reduce healthcare costs or drive positive health outcomes, then the market for our programs might not develop at all, or it might develop more slowly than we expect. Similarly, negative publicity regarding patient confidentiality, data privacy, and cybersecurity in the context of technology-enabled healthcare or concerns experienced by our competitors could limit market acceptance of our programs. We face additional risks related to cybersecurity. See the risk factor titled “</w:t>
      </w:r>
      <w:r>
        <w:rPr>
          <w:rFonts w:ascii="Times New Roman" w:cs="Times New Roman" w:eastAsia="Times New Roman" w:hAnsi="Times New Roman"/>
          <w:sz w:val="17"/>
          <w:szCs w:val="17"/>
          <w:i w:val="1"/>
          <w:iCs w:val="1"/>
          <w:color w:val="auto"/>
        </w:rPr>
        <w:t>Our information technology (“IT”)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rFonts w:ascii="Times New Roman" w:cs="Times New Roman" w:eastAsia="Times New Roman" w:hAnsi="Times New Roman"/>
          <w:sz w:val="17"/>
          <w:szCs w:val="17"/>
          <w:color w:val="auto"/>
        </w:rPr>
        <w:t>” and other risks under the section titled “—Risks Relating to Cybersecurity, Information Systems, and Intellectual Property.”</w:t>
      </w:r>
    </w:p>
    <w:p>
      <w:pPr>
        <w:spacing w:after="0" w:line="18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like these, our business, financial condition, results of operations, and prospects could be materially and adversely affected.</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spacing w:after="0" w:line="176"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16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While our market is in an early stage of development, it is evolving rapidly and becoming increasingly competitive, and we expect it to attract increased competition. We currently face competition from a range of digital health companies, including DarioHealth Corp., Hello Heart Inc., Hinge Health, Inc., Lark Technologies, Inc., Livongo (via Teladoc Health, Inc.), Onduo LLC, SWORD Health, Inc., Vida Health, Inc., and Virta Health Corp. Our competitors include enterprise companies that are focused on or may enter the healthcare industry</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4"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segments, which could negatively impact our sales, profitability, and market share. 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spacing w:after="0" w:line="19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segments of our market,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spacing w:after="0" w:line="183"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Competitive solutions or other technological breakthroughs for the monitoring, treatment, or prevention of chronic conditions or technological developments may adversely affect demand for our programs.</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ability to achieve our strategic objectives will depend, among other things, on our ability to develop and commercialize programs for the monitoring, treatment, and prevention of chronic conditions that offer distinct features, are easy-to-use, provide measurable and meaningful cost savings to customers and channel partners, and are more appealing than available alternatives. Our competitors, as well as a number of other companies, within and outside the healthcare 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4"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may not increase in line with our forecasts, either of which would materially and adversely affect our business, financial condition, results of operations, and prospects.</w:t>
      </w:r>
    </w:p>
    <w:p>
      <w:pPr>
        <w:spacing w:after="0" w:line="158"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relies, in part, on the growth and success of our customers and channel partners like health plans, PBMs, and other resellers, and revenue from member enrollment, which are difficult to predict and are affected by factors outside of our control.</w:t>
      </w:r>
    </w:p>
    <w:p>
      <w:pPr>
        <w:spacing w:after="0" w:line="16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enter into agreements with our customers and channel partners under which our fees are dependent in part upon the number of covered individuals that are enrolled in our programs each month. In addition, some fees are subject to repayment if certain clinical outcomes or other performance criteria are not met, which in some cases depend on the behavior of our members, such as their continued engagement with our programs, and other factors not entirely within our control.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to be inaccurate, and member enrollment in our programs could fail to grow at anticipated rates, or at all.</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spacing w:after="0" w:line="180"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17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spacing w:after="0" w:line="202" w:lineRule="exact"/>
        <w:rPr>
          <w:sz w:val="20"/>
          <w:szCs w:val="20"/>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attrition of individuals covered by our customers;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or channel partners to adopt or maintain effective business practices;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or operations of our customers or channel partners;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acceptance of our programs for existing and new chronic conditions by covered individuals;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development and release of new programs;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functionality that are lower-cost alternatives introduced by us or our competitors;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the scope of government-sponsored healthcare;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and developments within the markets we serve;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and</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4"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prevalence of different types of chronic conditions.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spacing w:after="0" w:line="180"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17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In many cases, we incur high upfront costs to secure customers and channel partners, implement our programs, enroll members, and deliver our programs to those members, and our ability to recover those costs over time depends on sustained member engagement, positive clinical 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member engagement, clinical outcomes, and cost savings for our customers and channel partners, our business, financial condition, results of operations, and prospects could be materially and adversely affected.</w:t>
      </w:r>
    </w:p>
    <w:p>
      <w:pPr>
        <w:spacing w:after="0" w:line="187"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180" w:lineRule="exact"/>
        <w:rPr>
          <w:sz w:val="20"/>
          <w:szCs w:val="20"/>
          <w:color w:val="auto"/>
        </w:rPr>
      </w:pPr>
    </w:p>
    <w:p>
      <w:pPr>
        <w:jc w:val="both"/>
        <w:ind w:left="160" w:firstLine="436"/>
        <w:spacing w:after="0" w:line="269" w:lineRule="auto"/>
        <w:rPr>
          <w:sz w:val="20"/>
          <w:szCs w:val="20"/>
          <w:color w:val="auto"/>
        </w:rPr>
      </w:pPr>
      <w:r>
        <w:rPr>
          <w:rFonts w:ascii="Times New Roman" w:cs="Times New Roman" w:eastAsia="Times New Roman" w:hAnsi="Times New Roman"/>
          <w:sz w:val="17"/>
          <w:szCs w:val="17"/>
          <w:color w:val="auto"/>
        </w:rPr>
        <w:t>We devote significant resources to establish and expand upon our relationships with employers, health plans, PBMs, health systems, government entities, and other existing and potential customers and channel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achieve profitability. If we fail to achieve appropriate economies of scale, if our</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4"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spacing w:after="0" w:line="17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achieve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sales comes from or through a limited number of customers and channel partners that operate as resellers.</w:t>
      </w:r>
    </w:p>
    <w:p>
      <w:pPr>
        <w:spacing w:after="0" w:line="225"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including employers, health plans, PBMs, health systems, government entities, and other entities that pay for the cost of our programs, and channel partners, including health plans and PBMs,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that we work with as channel partners also cover our programs directly, for segments of their own members, as our customers. Sales from or through our top five health plan and PBM partners, including any sales to these entities as customers and sales through these entities as channel partners, represented 68% of our revenue for the year ended December 31, 2023. As of and for the year ended December 31, 2023, we had one health plan or PBM that accounted for 28% of our accounts receivable, net and 36% of our revenue, and a second health plan or PBM that accounted for 22% of our accounts receivable, net and 19% of our revenue. Each of these health plans or PBMs are affiliates of The Cigna Group. In general, our customers and channel partners work with us on a non-exclusive basis. If we are unable to establish, maintain, or grow these relationships over time or if customers or channel partners refer business to our competitors instead, we are likely to fail to recover these costs and our results of operations and prospects will suffer. The loss of any 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partner if we go bankrupt, if we lose applicable licenses or are suspended or debarred from participation in government-funded healthcare programs, or if we fail to comply with certain specified laws.</w:t>
      </w:r>
    </w:p>
    <w:p>
      <w:pPr>
        <w:spacing w:after="0" w:line="20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4"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spacing w:after="0" w:line="183" w:lineRule="exact"/>
        <w:rPr>
          <w:sz w:val="20"/>
          <w:szCs w:val="20"/>
          <w:color w:val="auto"/>
        </w:rPr>
      </w:pPr>
    </w:p>
    <w:p>
      <w:pPr>
        <w:jc w:val="both"/>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16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spacing w:after="0" w:line="210" w:lineRule="exact"/>
        <w:rPr>
          <w:sz w:val="20"/>
          <w:szCs w:val="20"/>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programs and the adoption of technology in healthcare generally;</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program experience;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cybersecurity;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future revenue growth also depends upon increasing member enrollment with existing customers and channel partners. If we are not successful in increasing member enrollment in the programs currently contracted for by our customers and channel partners (or future programs our customers or channel partners contract for over time), or if our customers or channel partners do not renew their agreements or renew their agreements with us at lower prices or on less favorable terms, our revenue may grow more slowly than expected, may not grow at all, or may decline.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4"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or public health threat (such as the COVID-19 pandemic),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spacing w:after="0" w:line="183"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Potential members’ failure to enroll after a customer or channel partner enters into an agreement with us could materially and adversely affect our business, financial condition, results of operations, and prospects.</w:t>
      </w:r>
    </w:p>
    <w:p>
      <w:pPr>
        <w:spacing w:after="0" w:line="16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Our forecasts may not accurately estimate enrollment rates, the number of enrolled members, and other assumptions we rely on to anticipate expected growth for our business and revenue. If we are unable to achieve the expected volume of member enrollment, or unable to do so in a timely manner, 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spacing w:after="0" w:line="188" w:lineRule="exact"/>
        <w:rPr>
          <w:sz w:val="20"/>
          <w:szCs w:val="20"/>
          <w:color w:val="auto"/>
        </w:rPr>
      </w:pPr>
    </w:p>
    <w:p>
      <w:pPr>
        <w:jc w:val="both"/>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spacing w:after="0" w:line="16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rely largely on information supplied by our customers and channel partners to conduct outreach campaigns directed at covered individuals, and though we often assist with these outreach campaigns, we do not control our 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size of the addressable markets for our programs are estimates and may be smaller than we believe.</w:t>
      </w:r>
    </w:p>
    <w:p>
      <w:pPr>
        <w:spacing w:after="0" w:line="225"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7"/>
          <w:szCs w:val="17"/>
          <w:color w:val="auto"/>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4"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136"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As of December 31, 2023, we employed 699 full-time employees, which includes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achieve or maintain profitability in the future.</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 See the section titled “Business—Our People and Culture.”</w:t>
      </w:r>
    </w:p>
    <w:p>
      <w:pPr>
        <w:spacing w:after="0" w:line="180"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spacing w:after="0" w:line="17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spacing w:after="0" w:line="211" w:lineRule="exact"/>
        <w:rPr>
          <w:sz w:val="20"/>
          <w:szCs w:val="20"/>
          <w:color w:val="auto"/>
        </w:rPr>
      </w:pPr>
    </w:p>
    <w:p>
      <w:pPr>
        <w:ind w:left="1140" w:hanging="54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companies shifting to these business models;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consumers and businesses adopting new, flexible ways to consume products and services;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informing covered individuals that our programs are available to them and the number of covered individuals that choose to enroll in our programs;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capabilities, reliability, and availability of cloud-based services;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from customers, channel partners, or members with entrusting a third party to store and manage their data, especially health-related, confidential, or sensitive data;</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minimize the time and resources required to launch our programs;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member engagement and high levels of member satisfaction;</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measurable and meaningful cost savings to existing and potential customers and channel partners;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4"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upgrades and other changes to our programs without disruption to our customers, channel partners, or members;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customization or configuration we offer within our programs;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cost-savings, performance, and availability of competing products and services.</w:t>
      </w:r>
    </w:p>
    <w:p>
      <w:pPr>
        <w:spacing w:after="0" w:line="22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programs may result in member harm or injury.</w:t>
      </w:r>
    </w:p>
    <w:p>
      <w:pPr>
        <w:spacing w:after="0" w:line="225" w:lineRule="exact"/>
        <w:rPr>
          <w:sz w:val="20"/>
          <w:szCs w:val="20"/>
          <w:color w:val="auto"/>
        </w:rPr>
      </w:pPr>
    </w:p>
    <w:p>
      <w:pPr>
        <w:jc w:val="both"/>
        <w:ind w:left="160" w:firstLine="436"/>
        <w:spacing w:after="0" w:line="271" w:lineRule="auto"/>
        <w:rPr>
          <w:sz w:val="20"/>
          <w:szCs w:val="20"/>
          <w:color w:val="auto"/>
        </w:rPr>
      </w:pPr>
      <w:r>
        <w:rPr>
          <w:rFonts w:ascii="Times New Roman" w:cs="Times New Roman" w:eastAsia="Times New Roman" w:hAnsi="Times New Roman"/>
          <w:sz w:val="17"/>
          <w:szCs w:val="17"/>
          <w:color w:val="auto"/>
        </w:rPr>
        <w:t>Our programs are designed under the oversight of qualified healthcare professionals, and we train our Care Teams to comply with appropriate standards and protocol for delivery of care and the recognition and management of escalation events. Our success depends in part on the ability of our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we or our affiliated professional entities could face significant legal liability or harm to our or our affiliated professional entities’ reputation, business, financial condition, results of operations, and prospects.</w:t>
      </w:r>
    </w:p>
    <w:p>
      <w:pPr>
        <w:spacing w:after="0" w:line="169"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Any disruption of service at our third-party data centers and hosting providers, including Amazon Web Services, or at software-as-a-service (“SaaS”) companies or other vendors could interrupt or delay our ability to deliver our programs to our customers, channel partners, and members and harm our business, financial condition, results of operations, and prospects.</w:t>
      </w:r>
    </w:p>
    <w:p>
      <w:pPr>
        <w:spacing w:after="0" w:line="174"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We currently host our platform, serve our customers, channel partners, and members, and support our operations primarily from third-party data centers and hosting providers, including Amazon Web Services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 hurricanes, floods, fires, cyberattacks, terrorist attacks, power losses, telecommunications failures, public health emergencies, and similar events. The occurrence of a natural disaster or an act of terrorism, a decision to close the 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including AWS, SaaS companies, or other vendors. Because our programs are used by our members to manage chronic conditions,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4"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spacing w:after="0" w:line="19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spacing w:after="0" w:line="180"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our programs, such as certain prescriptions or physician referrals. If we are unable to meet these obligations, our customers and channel partners may decide to terminate their contracts.</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for devices and supplies that we deliver in connection with our programs, including wireless scales, blood pressure monitors, blood glucose monitors, and other supplies, and a 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but not included in our programs, such as prescriptions for continuous glucose monitors or physician referrals to physical therapy, where required.</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including financial difficulties, labor shortages, and shutdowns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4"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related to epidemics, pandemics, or other health crises, and, for our device and supply partners, shipping delays or damage to their manufacturing equipment or facilities.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spacing w:after="0" w:line="176"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third-party manufacturers and suppliers who operate in international markets, which exposes us to foreign operational and political risks that may harm our business.</w:t>
      </w:r>
    </w:p>
    <w:p>
      <w:pPr>
        <w:spacing w:after="0" w:line="16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The devices and supplies delivered in connection with our programs are manufactured in China and may be manufactured in other international markets in the future. Our reliance on an international supply chain exposes us to risks and uncertainties, including:</w:t>
      </w:r>
    </w:p>
    <w:p>
      <w:pPr>
        <w:spacing w:after="0" w:line="211" w:lineRule="exact"/>
        <w:rPr>
          <w:sz w:val="20"/>
          <w:szCs w:val="20"/>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quality of supplies;</w:t>
      </w:r>
    </w:p>
    <w:p>
      <w:pPr>
        <w:spacing w:after="0" w:line="24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tariffs, and other duties, especially in light of trade disputes between the U.S. and several foreign countries, including China, as well as sanctions and export control measures targeting certain countries;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contagious diseases, such as COVID-19;</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that favor local companies;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limitations in telecommunication services, shipping services, or logistics;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or material delays or disruption;</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and restrictions;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protection of intellectual property;</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currency restrictions, and fluctuations in currency values;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spacing w:after="0" w:line="180"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manufacturers and suppliers are unable to procure raw materials or semi-finished products or to produce the devices provided in connection with our programs, our business may suffer.</w:t>
      </w:r>
    </w:p>
    <w:p>
      <w:pPr>
        <w:spacing w:after="0" w:line="16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If the suppliers or third-party manufacturers of the devices provided in connection with our programs experience shortages, limited access to, or increased costs of certain raw materials and other semi-finished or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1" w:lineRule="auto"/>
        <w:rPr>
          <w:sz w:val="20"/>
          <w:szCs w:val="20"/>
          <w:color w:val="auto"/>
        </w:rPr>
      </w:pPr>
      <w:r>
        <w:rPr>
          <w:rFonts w:ascii="Times New Roman" w:cs="Times New Roman" w:eastAsia="Times New Roman" w:hAnsi="Times New Roman"/>
          <w:sz w:val="17"/>
          <w:szCs w:val="17"/>
          <w:color w:val="auto"/>
        </w:rPr>
        <w:t>finished goods, it may 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experience seasonality in our business, which may cause fluctuations in our financial results.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spacing w:after="0" w:line="183"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4"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which has experienced both severe earthquakes and wildfires.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MidCap Credit Agreement contains restrictions that limit our flexibility in operating our business.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entered into a credit, security, and guaranty agreement, dated as of June 2, 2023, by and among us, Physera, Inc., MidCap Funding IV Trust (“MidCap”), as administrative agent, MidCap Financial Trust, as term loan servicer, certain funds managed by MidCap, as lenders, and the lenders, additional borrowers, and guarantors from time to time party thereto (the “MidCap Credit Agreement”). The MidCap Credit Agreement provides for a senior secured term loan facility comprising two equal tranches in the aggregate amount of $60.0 million (with the second term loan tranche to be available after October 1, 2024) with a maturity date of June 1, 2028 (the “MidCap Term Facility”), and a revolving loan facility for up to $20.0 million (the “MidCap Revolving Facility”). As of December 31, 2023, $30.0 million in aggregate principal amount was outstanding under the MidCap Term Facility, and there was $1.0 million drawn under the MidCap Revolving Facility. The MidCap Credit Agreement contains various covenants that limit our ability to engage in specified types of transactions. These covenants limit our ability to, among other things:</w:t>
      </w:r>
    </w:p>
    <w:p>
      <w:pPr>
        <w:spacing w:after="0" w:line="214" w:lineRule="exact"/>
        <w:rPr>
          <w:sz w:val="20"/>
          <w:szCs w:val="20"/>
          <w:color w:val="auto"/>
        </w:rPr>
      </w:pPr>
    </w:p>
    <w:p>
      <w:pPr>
        <w:ind w:left="1140" w:hanging="54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or dispose of our assets subject to certain exclusions;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assume additional indebtedness, other than certain permitted indebtedness;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any of our assets other than certain permitted liens;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cash dividends on, repurchasing or making distributions with respect to any of our capital stock;</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acquire any other entity, or sell or otherwise dispose of all or substantially all of our assets;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the event that we breach one or more covenants under the MidCap Credit Agreement, MidCap may choose to declare an event of default and require that we immediately repay all amounts outstanding of the aggregate principal amount of $31.0 million as of December 31, 2023, plus accrued interest, and foreclose on the collateral granted to it to secure such indebtedness. Such repayment could have a material adverse effect on our business, financial condition, results of operations, and prospects.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related to the credit card and debit card payments we accept.</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accept payments from a limited number of members who pay member cost-sharing amounts, such as copayments, deductibles, or co-insurance, for our programs and pay those amounts through credit and debit card transactions. We receive these payments through third-party providers, which subjects us to compliance with the rules of the payment card networks (including the payment card industry data security standards) and laws and regulations governing electronic funds transfers, which could change or be reinterpreted to make it more difficult for us to comply. Although we primarily rely on these third-party providers for payment processing, to the extent a data breach of payment data occurs on our or their systems, we may be liable for significant costs incurred by</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4"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customers, channel partners, banks, and other third parties or subject to fines and higher transaction fees, or our ability to accept or facilitate certain types of payments may be impaired. In the event of any fraud, if we fail to adequately control fraudulent transactions, we may face civil liability, diminished public perception of our security measures, and significantly higher payment-related costs, each of which could have a material adverse effect on our business, financial condition, results of operations, and prospects.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spacing w:after="0" w:line="176"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(“AI”) and machine learning to operate certain features of our programs and to enable certain business processes, which due to a changing regulatory landscape, could adversely affect our business, financial condition, and results of operations.</w:t>
      </w:r>
    </w:p>
    <w:p>
      <w:pPr>
        <w:spacing w:after="0" w:line="16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primarily utilize AI, machine learning, and automated decision-making technologies, including proprietary AI and machine learning algorithms and models (collectively, “AI technologies”) to generate and provide insights to our Care Teams as part of our efforts to increase the efficiency and productivity of our Care Teams, and we anticipate making significant investments to continuously improve our use of such technologies. There are significant risks involved in the development and deployment of AI technologies, and there can be no assurance that our or our third-party service providers’ or partners’ use of these technologies will enhance our products or services or be beneficial to our business, including our efficiency or profitability. For example, the continued use of any AI technologies in our products and services, or those of our third-party service providers and partners, may give rise to risks related to, among other things, inaccurate, biased, or harmful recommendations, data privacy, confidentiality, cybersecurity and data provenance concerns, new or enhanced governmental or regulatory scrutiny, litigation or other legal liability, ethical concerns, negative perceptions as to AI among customers, channel partners, or members, and other complications that could erode confidence in our brand, harm our reputation, and adversely affect our business, financial condition, results of operations, and prospects. Further, our ability to continue to develop or use such technologies may be dependent on access to specific third-party software and infrastructure, such as processing hardware or third-party AI technologies, and we cannot control the availability or pricing of such third-party software and infrastructure, especially in a highly competitive environment. In addition, market acceptance and consumer perceptions of AI technologies is uncertain.</w:t>
      </w:r>
    </w:p>
    <w:p>
      <w:pPr>
        <w:spacing w:after="0" w:line="19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spacing w:after="0" w:line="184"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regulatory framework for AI is rapidly evolving, and many federal, state, and foreign governmental bodies and agencies have introduced and/or are currently considering additional laws and regulations. In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4"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particular, in October 2023, the President of the U.S. issued a broad Executive Order on the Safe, Secure, and Trustworthy Development and Use of AI (the “Order”), emphasizing the need for transparency, accountability, and fairness in the development and use of AI technologies. The Order established certain new requirements for the training, testing, and cybersecurity of certain sophisticated AI technologies and large-scale computer centers used to train those AI technologies. The Order also instructed several other federal agencies to promulgate certain additional regulations within specific timeframes from the date of the Order regarding the development, use, and marketing of AI technologies. In addition to such federal activity, legislation related to AI technologies has also been introduced at the state level in the U.S. For example, the California Privacy Protection Agency is currently in the process of finalizing regulations under the California Consumer Privacy Act, as amended by the California Privacy Rights Act of 2018 (collectively, the “CCPA”), regarding the use of automated decision-making and providing disclosures to consumers regarding such use. 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technologies could materially and adversely affect our brand, reputation, business, financial condition, results of operations, and prospects.</w:t>
      </w:r>
    </w:p>
    <w:p>
      <w:pPr>
        <w:spacing w:after="0" w:line="184"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leadership and key clinical, scientific, and technology employees and other service providers, our business may be materially and adversely affected.</w:t>
      </w:r>
    </w:p>
    <w:p>
      <w:pPr>
        <w:spacing w:after="0" w:line="16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leadership and clinical and scientific talent. We are highly dependent upon our senior leadership, particularly our Co-Founder and Chief Executive Officer, Sean Duffy, and our President, Wei-Li Shao, as well as our senior clinical, scientific, and technology employees and other service providers and other members of our senior management team. The unplanned loss of the services of any of our members of senior leadership could materially and adversely affect our business until a suitable replacement can be found.</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addition, our success is dependent upon our continued ability to recruit and maintain the personnel for our member-facing Care Teams, composed of health coaches, relevant specialists, and licensed physical therapists. Our Care Teams are designed to remain with a member throughout their entire journey with Omada. If we are unable to recruit and retain Care Team personnel, our ability to provide continuity of care to our members may suffer, and our business may be adversely affected.</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4"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largely on our direct sales force, and if we are unable to maintain or expand our sales force, it could impede our growth or harm our business.</w:t>
      </w:r>
    </w:p>
    <w:p>
      <w:pPr>
        <w:spacing w:after="0" w:line="16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spacing w:after="0" w:line="180"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employer-sponsored healthcare could have a material adverse effect on our business, financial condition, results of operations, and prospects.</w:t>
      </w:r>
    </w:p>
    <w:p>
      <w:pPr>
        <w:spacing w:after="0" w:line="160"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Various factors, including changes in the healthcare insurance market or in government regulation of the healthcare industry, could cause a decline in employer-sponsored healthcare, which could adversely affect the market for our programs and negatively affect our business and results of operations. Some experts have predicted that future healthcare reform will encourage employer-sponsored health insurance to become significantly less prevalent as employees migrate to obtaining their own insurance over state-sponsored insurance marketplaces. Were this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spacing w:after="0" w:line="175"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4"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spacing w:after="0" w:line="18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spacing w:after="0" w:line="180" w:lineRule="exact"/>
        <w:rPr>
          <w:sz w:val="20"/>
          <w:szCs w:val="20"/>
          <w:color w:val="auto"/>
        </w:rPr>
      </w:pPr>
    </w:p>
    <w:p>
      <w:pPr>
        <w:jc w:val="both"/>
        <w:ind w:left="160" w:right="2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spacing w:after="0" w:line="136"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or are subject to widespread negative media coverage, our business may suffer.</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4"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addition, unfavorable publicity regarding us or our management, our business, our programs, our peer reviewed publications or studies, the healthcare industry generally and/or virtual care providers specifically, litigation or regulatory activity, or our data privacy or cybersecurity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may result in increased regulation and legislative review of industry practices that further increase the costs of doing business. Any negative media coverage or public perceptions about us or our industry,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spacing w:after="0" w:line="183"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spacing w:after="0" w:line="17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Additionally, changes in laws and regulations could impact the usefulness of our programs and could necessitate changes or modifications to our programs to accommodate such changes.</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a GLP-1 Care Track to support members who are engaged in one of our cardiometabolic programs to enable their success before, during, and after GLP-1 therapy. The GLP-1 therapeutic space is new and rapidly evolving, and actions by employers, health plans, PBMs, pharmaceutical companies, and other third parties could negatively impact the adoption of our GLP-1 Care Track. For example, if pharmaceutical companies restrict cost rebates or other incentives for GLP-1s for employers who place conditions on the use of GLP-1s (such as participation in our program), market acceptance of our GLP-1 Care Track could be materially and adversely affected.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4"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spacing w:after="0" w:line="185"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spacing w:after="0" w:line="210" w:lineRule="exact"/>
        <w:rPr>
          <w:sz w:val="20"/>
          <w:szCs w:val="20"/>
          <w:color w:val="auto"/>
        </w:rPr>
      </w:pPr>
    </w:p>
    <w:p>
      <w:pPr>
        <w:jc w:val="both"/>
        <w:ind w:left="1140" w:hanging="545"/>
        <w:spacing w:after="0" w:line="263"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spacing w:after="0" w:line="202"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or clearances where required for the sale of our programs and the delivery of connected devices provided in connection with our programs in various countries;</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infrastructure, and legal compliance costs associated with having customers, channel partners, and members in multiple jurisdictions;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the U.S. or in such other countries;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intellectual property rights;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including government payers;</w:t>
      </w:r>
    </w:p>
    <w:p>
      <w:pPr>
        <w:spacing w:after="0" w:line="24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our wireless scales, blood pressure monitors, blood glucose monitors, and other connected devices and supplies;</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companies with significant market share in international markets and with a better understanding of user preferences in such markets;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4"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line="278"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effect of local and regional financial pressures on demand and payment for our programs, and exposure to foreign currency exchange rate fluctuations;</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public health threats or outbreaks of disease (including a pandemic similar to the COVID-19 pandemic), boycotts, curtailment of trade, and other market restrictions; and</w:t>
      </w:r>
    </w:p>
    <w:p>
      <w:pPr>
        <w:spacing w:after="0" w:line="189"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Foreign Corrupt Practices Act (the “FCPA”).</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spacing w:after="0" w:line="183"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licensed physical therapists who provide services to our members are characterized as employees, our business, financial condition, and results of operations could be materially and adversely affected.</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4"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 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Relating to Cybersecurity, Information Systems, and Intellectual Property</w:t>
      </w:r>
    </w:p>
    <w:p>
      <w:pPr>
        <w:spacing w:after="0" w:line="22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18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spacing w:after="0" w:line="18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4"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spacing w:after="0" w:line="175"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customers or channel partners, regulators, or others, loss of customers or channel partners, loss of members, and other harm to our business and our competitive position, whether due to a loss of our trade secrets or other proprietary information or other disruptions.</w:t>
      </w:r>
    </w:p>
    <w:p>
      <w:pPr>
        <w:spacing w:after="0" w:line="194"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7"/>
          <w:szCs w:val="17"/>
          <w:color w:val="auto"/>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While we continue to evaluate the impact of the Change Healthcare Incident on our business, we do not believe the Change Healthcare Incident has materially affected our business, operations, or data to date.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we could become the subject of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4"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following the completion of this offering, we will be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spacing w:after="0" w:line="19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spacing w:after="0" w:line="180"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spacing w:after="0" w:line="17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4"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spacing w:after="0" w:line="185"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programs and related connected devices across a number of devices, operating systems, and third-party applications that we do not control.</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spacing w:after="0" w:line="180"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spacing w:after="0" w:line="18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“—Changes in the regulation of the Internet could adversely affect our business.” We also rely on other companies to maintain reliable network systems that provide adequate speed, data 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4"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spacing w:after="0" w:line="17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spacing w:after="0" w:line="19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4"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In addition to contractual measures, we protect the confidential nature of our proprietary information using commonly accepted physical and technological security measures. Such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84" w:lineRule="exact"/>
        <w:rPr>
          <w:sz w:val="20"/>
          <w:szCs w:val="20"/>
          <w:color w:val="auto"/>
        </w:rPr>
      </w:pPr>
    </w:p>
    <w:p>
      <w:pPr>
        <w:jc w:val="both"/>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spacing w:after="0" w:line="16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common law rights in such trademarks, and if we are not successful in challenging such third-party rights, we may not be able to use these trademarks to develop brand recognition in those jurisdictions.</w:t>
      </w:r>
    </w:p>
    <w:p>
      <w:pPr>
        <w:spacing w:after="0" w:line="19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4"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rights, which could be expensive, time consuming, and unsuccessful.</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 proceedings).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could result in the revocation of, cancellation of, or amendment to our patents in such a way that they no longer cover our programs, or any future programs that we may develop.</w:t>
      </w:r>
    </w:p>
    <w:p>
      <w:pPr>
        <w:spacing w:after="0" w:line="19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spacing w:after="0" w:line="18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spacing w:after="0" w:line="183"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spacing w:after="0" w:line="16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From time to time, we may be the subject of threatened or actual patent or other litigation. Patent and other types of intellectual property litigation can involve complex factual and legal questions, and their outcome is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4"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7"/>
          <w:szCs w:val="17"/>
          <w:color w:val="auto"/>
        </w:rPr>
        <w:t>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spacing w:after="0" w:line="178"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6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spacing w:after="0" w:line="211" w:lineRule="exact"/>
        <w:rPr>
          <w:sz w:val="20"/>
          <w:szCs w:val="20"/>
          <w:color w:val="auto"/>
        </w:rPr>
      </w:pPr>
    </w:p>
    <w:p>
      <w:pPr>
        <w:ind w:left="1140" w:hanging="54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reporting, financial, or other obligations under the license agreement;</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or other payments due under the license agreement;</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we infringe, misappropriate, or otherwise violate intellectual property rights of the licensor that are not subject to the license agreement;</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applicable rights to third parties;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intellectual property and know-how resulting from the joint creation or use of intellectual property by our licensors and us and our partners.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If we do not prevail in such disputes or if we fail to comply with any of the obligations under our license agreements, we may lose any or all of our rights under such license agreements or be required to pay damages, and the licensor may have the right to terminate the license. Termination by the licensor of certain of our license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4"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agreements would cause us to lose valuable rights, and could prevent us from selling our programs and services or adversely impact our ability to 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3"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spacing w:after="0" w:line="174"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7"/>
          <w:szCs w:val="17"/>
          <w:color w:val="auto"/>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Relating to Governmental Regulation and Legal Matters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changes in regulations or the implementation of existing regulations could affect our operations.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fraud and abuse, exclusion and debarment, anti-kickback obligations, false claims, patient referrals, fee splitting, regulation of devices, and other aspects of healthcare delivery, as well as requirements for coverage and reimbursement by</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4"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7" w:lineRule="auto"/>
        <w:rPr>
          <w:sz w:val="20"/>
          <w:szCs w:val="20"/>
          <w:color w:val="auto"/>
        </w:rPr>
      </w:pPr>
      <w:r>
        <w:rPr>
          <w:rFonts w:ascii="Times New Roman" w:cs="Times New Roman" w:eastAsia="Times New Roman" w:hAnsi="Times New Roman"/>
          <w:sz w:val="17"/>
          <w:szCs w:val="17"/>
          <w:color w:val="auto"/>
        </w:rPr>
        <w:t>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data interoperability and information blocking, that do not currently apply to our programs or our business but that we could become subject to in the future as a result of regulatory changes.</w:t>
      </w:r>
    </w:p>
    <w:p>
      <w:pPr>
        <w:spacing w:after="0" w:line="167"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costs that may intensify in the future. Our business is also sensitive to any changes in tort and product liability laws.</w:t>
      </w:r>
    </w:p>
    <w:p>
      <w:pPr>
        <w:spacing w:after="0" w:line="163"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18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there has been an increasing focus on data privacy and protection issues with the potential to affect our business. We and our affiliated professional entities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spacing w:after="0" w:line="191"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and our affiliated professional entities must comply with the federal Health Insurance Portability and Accountability Act of 1996, as amended by the Health Information Technology for Economic and Clinical Health Act, and their implementing regulations (collectively, “HIPAA”). We also must comply with HIPAA in regard to certain of our self-insured health benefits for our employees and their dependents. HIPAA establishes privacy and security standards that limit the use and disclosure of PHI and</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4"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and our affiliated professional entities must comply with HIPAA requirements, including the implementation of administrative, physical, and technical safeguards to ensure the confidentiality, integrity, and availability of individually identifiable health information.</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prospects, and reputation.</w:t>
      </w:r>
    </w:p>
    <w:p>
      <w:pPr>
        <w:spacing w:after="0" w:line="19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spacing w:after="0" w:line="18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including a new comprehensive federal data protection law to which we would become subject to, reflecting a trend toward more stringent privacy legislation in the U.S. The enactment of such laws may have potentially conflicting requirements that would make compliance challenging.</w:t>
      </w:r>
    </w:p>
    <w:p>
      <w:pPr>
        <w:spacing w:after="0" w:line="18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4"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9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Although we and our affiliated professional entities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our affiliated professional entities, or our employees, representatives, contractors, consultants,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spacing w:after="0" w:line="188" w:lineRule="exact"/>
        <w:rPr>
          <w:sz w:val="20"/>
          <w:szCs w:val="20"/>
          <w:color w:val="auto"/>
        </w:rPr>
      </w:pPr>
    </w:p>
    <w:p>
      <w:pPr>
        <w:jc w:val="both"/>
        <w:ind w:left="1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and our affiliated professional entities are subject to broadly applicable fraud and abuse and other healthcare laws and regulations. These laws may constrain the business or financial arrangements and relationships through which we and our affiliated professional entities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spacing w:after="0" w:line="207" w:lineRule="exact"/>
        <w:rPr>
          <w:sz w:val="20"/>
          <w:szCs w:val="20"/>
          <w:color w:val="auto"/>
        </w:rPr>
      </w:pPr>
    </w:p>
    <w:p>
      <w:pPr>
        <w:jc w:val="both"/>
        <w:ind w:left="1140" w:hanging="545"/>
        <w:spacing w:after="0" w:line="254"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spacing w:after="0" w:line="210" w:lineRule="exact"/>
        <w:rPr>
          <w:rFonts w:ascii="Times New Roman" w:cs="Times New Roman" w:eastAsia="Times New Roman" w:hAnsi="Times New Roman"/>
          <w:sz w:val="18"/>
          <w:szCs w:val="18"/>
          <w:color w:val="auto"/>
        </w:rPr>
      </w:pPr>
    </w:p>
    <w:p>
      <w:pPr>
        <w:jc w:val="both"/>
        <w:ind w:left="1140" w:hanging="545"/>
        <w:spacing w:after="0" w:line="25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the Stark Law, which, subject to limited exceptions, prohibits physicians from referring Medicare or Medicaid patients to an entity for the provision of certain designated health services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4"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140" w:hanging="545"/>
        <w:spacing w:after="0" w:line="253"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spacing w:after="0" w:line="211"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spacing w:after="0" w:line="202"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11"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federal Social Security Act that imposes criminal penalties on healthcare providers who fail to disclose or refund known overpayments;</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spacing w:after="0" w:line="202"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potentially harm consumers;</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5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206"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spacing w:after="0" w:line="202"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 agency regulations supplementing the FAR. Our failure to comply with these laws and regulations may expose us to reputational harm, criminal prosecution, suspension and debarment, breach of contract actions, and the False Claims Act, as well as other remedial measures.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4"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and channel partners,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or our affiliated professional entities’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Further, defending against any such actions can be costly and time-consuming and may require significant personnel resources. Even if we are successful in defending against any such actions that may be brought against us, our business may be impaired.</w:t>
      </w:r>
    </w:p>
    <w:p>
      <w:pPr>
        <w:spacing w:after="0" w:line="183"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spacing w:after="0" w:line="17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w:t>
      </w:r>
    </w:p>
    <w:p>
      <w:pPr>
        <w:spacing w:after="0" w:line="18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generally provide clinical decision support functionality for our Care Teams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are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spacing w:after="0" w:line="19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4"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spacing w:after="0" w:line="180"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spacing w:after="0" w:line="174"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7"/>
          <w:szCs w:val="17"/>
          <w:color w:val="auto"/>
        </w:rPr>
        <w:t>The laws of many states, including states in which many of our customers and channel partners are located, prohibit us from exercising control over the medical judgments or decisions of physical therapists and from engaging in certain financial arrangements, such as splitting professional fees with physical therapists. These laws and their interpretations vary from state to state and are enforced by state courts and regulatory authorities, each with broad discretion, and are subject to change and to evolving interpretations by state boards of physical therapy and state attorneys general, among others. We enter into agreements with a professional corporation, PPTG, which enters into contracts with licensed physical therapists pursuant to which they render professional services. Our agreements include management services agreements with PPTG pursuant to which the professional entity reserves exclusive control and responsibility for all aspects of the practice of physical therapy and the delivery of medical services. In addition, we enter into contracts with our customers and channel partners on behalf of PPTG to deliver professional services in exchange for fees. Changes in, or subsequent interpretations of, the corporate practice of physical therapy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PPTG to comply with these statutes, could eliminate customers and channel partners located in certain states from the market for our programs, which would have a material adverse effect on our business, financial condition, results of operations, and prospects. State corporate practice of physical therapy doctrines also often impose penalties on physical therapists themselves for aiding the corporate practice of physical therapy, which could discourage physical therapists from providing services needed for our programs. We do not own PPTG which is wholly owned by licensed physical therapists. While we expect that this relationship will continue, we cannot guarantee that it will. A material change in our relationship with PPTG,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doctrines could subject us to additional scrutiny by federal and state regulatory bodies regarding federal and state fraud, waste, and abuse laws. Any scrutiny, investigation, or litigation with regard to our arrangement with PPTG could have a material adverse effect on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our affiliated professional entities, and our other business partners may become subject to medical liability claims, which could cause us to incur significant expenses and may require us to pay significant damages if not covered by insurance.</w:t>
      </w:r>
    </w:p>
    <w:p>
      <w:pPr>
        <w:spacing w:after="0" w:line="16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4"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adequate professional liability insurance may not be available to us, our affiliated professional entities, or our other business partners at acceptable costs or at all.</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Any claims made against us may adversely affect our business or reputation, and any claims that are not fully covered by insurance could be costly to defend against, result in substantial damage awards against us, and divert the attention of our management and our partners from our operations, which could have a material adverse effect on our business, financial condition, results of operations, and prospects.</w:t>
      </w:r>
    </w:p>
    <w:p>
      <w:pPr>
        <w:spacing w:after="0" w:line="17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legal and arbitration proceedings that may prevent us from pursuing our business activities or require us to incur additional costs in defending against claims or paying damages.</w:t>
      </w:r>
    </w:p>
    <w:p>
      <w:pPr>
        <w:spacing w:after="0" w:line="16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spacing w:after="0" w:line="180"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economic and trade sanctions regulations, and similar laws could subject us to penalties and other adverse consequences.</w:t>
      </w:r>
    </w:p>
    <w:p>
      <w:pPr>
        <w:spacing w:after="0" w:line="16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regulation of the Internet could adversely affect our business.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Laws, rules, and regulations governing Internet communications, advertising, and e-commerce are dynamic, and the extent of future government regulation is uncertain. Federal and state regulations govern various aspects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4"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spacing w:after="0" w:line="180"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may make it more difficult and costly to produce, market, and distribute our programs or to do so profitably.</w:t>
      </w:r>
    </w:p>
    <w:p>
      <w:pPr>
        <w:spacing w:after="0" w:line="16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Recent political, economic, and regulatory influences are subjecting the healthcare industry to fundamental changes. Federal and state governments in the U.S. and foreign governments continue to propose and pass new legislation and regulations designed to contain or reduce the cost of healthcare, improve quality of care, and expand access to healthcare. For example, the Patient Protection and Affordable Care Act, as amended by the Healthcare and Education Reconciliation Act (the “ACA”), made major changes in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spacing w:after="0" w:line="187" w:lineRule="exact"/>
        <w:rPr>
          <w:sz w:val="20"/>
          <w:szCs w:val="20"/>
          <w:color w:val="auto"/>
        </w:rPr>
      </w:pPr>
    </w:p>
    <w:p>
      <w:pPr>
        <w:jc w:val="both"/>
        <w:ind w:left="160" w:firstLine="436"/>
        <w:spacing w:after="0" w:line="268" w:lineRule="auto"/>
        <w:rPr>
          <w:sz w:val="20"/>
          <w:szCs w:val="20"/>
          <w:color w:val="auto"/>
        </w:rPr>
      </w:pPr>
      <w:r>
        <w:rPr>
          <w:rFonts w:ascii="Times New Roman" w:cs="Times New Roman" w:eastAsia="Times New Roman" w:hAnsi="Times New Roman"/>
          <w:sz w:val="17"/>
          <w:szCs w:val="17"/>
          <w:color w:val="auto"/>
        </w:rPr>
        <w:t>In addition, the ACA requires (with limited exceptions) that private health plans cover certain recommended preventive services without imposing member cost-sharing. For individuals covered by high-deductible health plans, receiving preventive care coverage without cost-sharing will not affect their eligibility to make health savings account (“HSA”) contributions. Furthermore, high-deductible health plan participants retain their HSA-eligibility if they receive (i) telehealth and other remote services (under an exception that is currently scheduled to expire at the end of 2024 for most plans) and</w:t>
      </w:r>
    </w:p>
    <w:p>
      <w:pPr>
        <w:spacing w:after="0" w:line="2" w:lineRule="exact"/>
        <w:rPr>
          <w:sz w:val="20"/>
          <w:szCs w:val="20"/>
          <w:color w:val="auto"/>
        </w:rPr>
      </w:pPr>
    </w:p>
    <w:p>
      <w:pPr>
        <w:jc w:val="both"/>
        <w:ind w:left="160" w:firstLine="7"/>
        <w:spacing w:after="0" w:line="250" w:lineRule="auto"/>
        <w:tabs>
          <w:tab w:leader="none" w:pos="4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management or wellness programs that do not provide significant benefits in the nature of medical care or treatment, even if these are provided before the high deductible is met. Finally, qualified health plans for individuals and the small group market must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spacing w:after="0" w:line="187"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and adversely affect demand for our programs among customers, channel partners, and members and affordability for our programs and, accordingly, our business, financial condition, results of operations, and prospects.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4"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spacing w:after="0" w:line="171"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spacing w:after="0" w:line="17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spacing w:after="0" w:line="180" w:lineRule="exact"/>
        <w:rPr>
          <w:sz w:val="20"/>
          <w:szCs w:val="20"/>
          <w:color w:val="auto"/>
        </w:rPr>
      </w:pPr>
    </w:p>
    <w:p>
      <w:pPr>
        <w:jc w:val="both"/>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spacing w:after="0" w:line="16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Certain of the devices provided in connection with our programs, including blood pressure monitors and blood glucose monitors (including continuous glucose monitors), are medical devices that are subject to extensive regulation in the U.S., including by the FDA and state agencies. The FDA regulates, among other things, the design, development, research, manufacture, testing, packaging, distribution, storage, recordkeeping, reporting, labeling, 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premarket approval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4"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We cannot assure you that our suppliers and contract manufacturers will comply with applicable laws and regulation, nor can we assure that any particular medical device we may seek to provide in connection with our programs will be approved or cleared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spacing w:after="0" w:line="185"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third-party suppliers fail to comply with the FDA’s Quality Systems Regulation or similar foreign regulations, our ability to distribute the connected devices that are provided to members in connection with our programs could be impaired.</w:t>
      </w:r>
    </w:p>
    <w:p>
      <w:pPr>
        <w:spacing w:after="0" w:line="16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Certain of our third-party suppliers are required to comply with the FDA’s Quality System Regulation (“QSR”) and similar foreign regulations, which cover the methods and documentation of the design, testing, production, control, quality assurance, labeling, packaging, sterilization, storage, and shipping of the connected devices that are provided to members in connection with our programs. The FDA and foreign regulators audit compliance with the QSR and similar foreign regulations through periodic announced and unannounced inspections of manufacturing and other facilities. The FDA or foreign regulators may impose inspections or audits at any time.</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cannot guarantee that our third-party suppliers will take the necessary steps to comply with applicable regulations, and their failure to do so could cause delays in the manufacture and delivery of our products. In addition, a third-party supplier’s failure to comply with applicable FDA requirements or later discovery of previously unknown problems with the connected devices or manufacturing processes for the connected devices could result in, among other things:</w:t>
      </w:r>
    </w:p>
    <w:p>
      <w:pPr>
        <w:spacing w:after="0" w:line="207" w:lineRule="exact"/>
        <w:rPr>
          <w:sz w:val="20"/>
          <w:szCs w:val="20"/>
          <w:color w:val="auto"/>
        </w:rPr>
      </w:pPr>
    </w:p>
    <w:p>
      <w:pPr>
        <w:ind w:left="1140" w:hanging="545"/>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future clearances or approvals;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recalls of the connected devices;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 for the connected devices;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judicially imposed sanctions against the connected devices;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connected devices;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spacing w:after="0" w:line="17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6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ability to conduct our business in a particular U.S. state is directly dependent upon the applicable laws governing virtual healthcare and healthcare delivery in general in such location, which are subject to changing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4"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political, regulatory, and other influences. With respect to virtual care services, in the past, state medical boards have established new rules or interpreted existing rules in a manner that has limited or restricted our ability to conduct our business as it was conducted in other states. Some of these actions have resulted in litigation and the suspension or modification of virtual care operations in certain states. Although we do not believe that any services provided by us include physician services, the extent to which a state regulatory authority considers particular actions or relationships to constitute practicing medicine is subject to change and to evolving interpretations by medical boards and state attorneys general, among others, each with broad discretion. Accordingly, we must monitor our compliance with laws in every jurisdiction in which we operate, on an ongoing basis, and we cannot provide assurance that our activities and arrangements, if challenged, will be found to be in compliance with the laws. Additionally, it is possible that the laws and rules governing the provision of healthcare, including virtual healthcare, in one or more jurisdictions may change in a manner deleterious to our business. If a successful legal challenge or an adverse change in the relevant laws were to occur, and we were unable to adapt our business model accordingly, our operations in the affected jurisdictions would be disrupted, which could have a material adverse effect on our business, financial condition, results of operations, and prospects.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Relating to Financial and Accounting Matters</w:t>
      </w:r>
    </w:p>
    <w:p>
      <w:pPr>
        <w:spacing w:after="0" w:line="22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due to certain provisions of the Internal Revenue Code or state tax law.</w:t>
      </w:r>
    </w:p>
    <w:p>
      <w:pPr>
        <w:spacing w:after="0" w:line="16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Realization of these NOLs depends on future taxable income, and there is a risk that our existing NOLs could expire unused and be unavailable to offset future taxable income, which could adversely affect our results of operations.</w:t>
      </w:r>
    </w:p>
    <w:p>
      <w:pPr>
        <w:spacing w:after="0" w:line="16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4"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and liabilities. Additionally, we could be challenged by state and local tax authorities as to the propriety of our sales tax compliance, and our results could be materially impacted by these compliance determinations.</w:t>
      </w:r>
    </w:p>
    <w:p>
      <w:pPr>
        <w:spacing w:after="0" w:line="16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adversely affect our effective tax rates, results of operations, and financial condition.</w:t>
      </w:r>
    </w:p>
    <w:p>
      <w:pPr>
        <w:spacing w:after="0" w:line="225" w:lineRule="exact"/>
        <w:rPr>
          <w:sz w:val="20"/>
          <w:szCs w:val="20"/>
          <w:color w:val="auto"/>
        </w:rPr>
      </w:pPr>
    </w:p>
    <w:p>
      <w:pPr>
        <w:jc w:val="both"/>
        <w:ind w:left="160" w:firstLine="436"/>
        <w:spacing w:after="0" w:line="268" w:lineRule="auto"/>
        <w:rPr>
          <w:sz w:val="20"/>
          <w:szCs w:val="20"/>
          <w:color w:val="auto"/>
        </w:rPr>
      </w:pPr>
      <w:r>
        <w:rPr>
          <w:rFonts w:ascii="Times New Roman" w:cs="Times New Roman" w:eastAsia="Times New Roman" w:hAnsi="Times New Roman"/>
          <w:sz w:val="17"/>
          <w:szCs w:val="17"/>
          <w:color w:val="auto"/>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spacing w:after="0" w:line="180"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applicability of sales, use, and other tax laws or regulations on our business is uncertain. Adverse tax laws or regulations could be enacted or existing laws could be applied to us, our customers, or our channel partners, which could subject us to additional tax liability and related interest and penalties, increase the costs of our programs, and adversely impact our business.</w:t>
      </w:r>
    </w:p>
    <w:p>
      <w:pPr>
        <w:spacing w:after="0" w:line="17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application of federal, state, local, and international tax laws to services provided electronically is evolving. New income, sales, use, value-added, or other tax laws, statutes, rules, regulations, or ordinances could be enacted at any time (possibly with retroactive effect) and could be applied solely or disproportionately to services provided over the Internet or could otherwise materially affect our results of operations and financial condition.</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state, local, and foreign tax jurisdictions have differing rules and regulations governing sales, use, value-added, and other taxes, and these rules and regulations can be complex and are subject to varying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4"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spacing w:after="0" w:line="19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cash deposits with financial institutions exceed insured limits.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this Offering</w:t>
      </w:r>
    </w:p>
    <w:p>
      <w:pPr>
        <w:spacing w:after="0" w:line="22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may not be an active trading market for our common stock, which may cause shares of our common stock to trade at a discount from the initial public offering price and make it difficult to sell the shares of common stock you purchase.</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It is possible that after this offering, an active trading market will not develop or, if developed, that any market will not be sustained, which would make it difficult for you to sell your shares of common stock at an attractive price or at all. The initial public offering price per share of common stock will be determined by agreement among us and the representatives of the underwriters and may not be indicative of the price at which shares of our common stock will trade in the public market, if any, after this offering. The market value of our common stock may decrease from the initial public offering price. Furthermore, an inactive market may also impair our ability to raise capital in the future by selling shares of our common stock.</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4"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an “emerging growth company,” as defined in the JOBS Act. We will remain an “emerging growth company” until the earliest to occur of:</w:t>
      </w:r>
    </w:p>
    <w:p>
      <w:pPr>
        <w:spacing w:after="0" w:line="259" w:lineRule="exact"/>
        <w:rPr>
          <w:sz w:val="20"/>
          <w:szCs w:val="20"/>
          <w:color w:val="auto"/>
        </w:rPr>
      </w:pPr>
    </w:p>
    <w:p>
      <w:pPr>
        <w:ind w:left="1140" w:hanging="545"/>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this offering;</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Securities Exchange Act of 1934, as amended (the “Exchange Act”).</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17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which could lower our profits or make it more difficult to run our business.</w:t>
      </w:r>
    </w:p>
    <w:p>
      <w:pPr>
        <w:spacing w:after="0" w:line="16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have not incurred as a private company, including costs associated with public company reporting requirements. We also have incurred and will continue to incur costs associated with the Sarbanes-Oxley Act and related rules implemented by the U.S. Securities and Exchange Commission (the “SEC”) and the exchange our securities are listed on.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3"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a public company, we will be required to maintain internal control over financial reporting and to report any material weaknesses in such internal controls. In addition, beginning with our second annual report 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4"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Form 10-K, we will be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testing the internal control over financial reporting required to comply with this obligation is time consuming, costly, and complicated.</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have experienced control deficiencies, including material weaknesses, in our internal control over financial reporting and may experience control deficiencies in the future. In preparing the financial statements as of and for the years ended December 31, 2022 and 2023,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determined they had not fully maintained all components of the framework issued by the Committee of Sponsoring Organizations of the Treadway Commission (the “COSO”), a system for establishing internal controls. Specifically, the control deficiencies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material weaknesses resulted in adjustments to the financial statements.</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response to the identified material weaknesses, we are committed to improving our internal control over financial reporting by implementing a remediation plan that includes:</w:t>
      </w:r>
    </w:p>
    <w:p>
      <w:pPr>
        <w:spacing w:after="0" w:line="189" w:lineRule="exact"/>
        <w:rPr>
          <w:sz w:val="20"/>
          <w:szCs w:val="20"/>
          <w:color w:val="auto"/>
        </w:rPr>
      </w:pPr>
    </w:p>
    <w:p>
      <w:pPr>
        <w:ind w:left="1140" w:hanging="545"/>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qualified professionals with appropriate levels of knowledge and experience to assist in the timely resolution of accounting issues in non-routine or complex transactions;</w:t>
      </w:r>
    </w:p>
    <w:p>
      <w:pPr>
        <w:spacing w:after="0" w:line="189"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procedures to ensure a greater degree of segregation of duties and refining processes for user access within financial reporting;</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additional technology infrastructure and refinement to enhance monitoring of financial transactions and exceptions and to promote related data integrity;</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developing and documenting formal business processes and controls related to financial reporting; and</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 system of independent reviews of our financial information, accounting analyses, and related disclosures by knowledgeable personnel.</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Our remediation actions are subject to ongoing review by our senior management and oversight from our audit committee. We will not be able to conclude whether these remediation actions will fully remediate the material weaknesses in our internal control over financial reporting until we have completed our remediation efforts and subsequent evaluation of their effectiveness.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4"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we maintain effective internal control over financial reporting. Accordingly, there could continue to be a reasonable possibility that a material misstatement of our financial statements would not be prevented or detected on a timely basis.</w:t>
      </w:r>
    </w:p>
    <w:p>
      <w:pPr>
        <w:spacing w:after="0" w:line="16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83"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16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is limited by the terms of our Credit Agreement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spacing w:after="0" w:line="180"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any guidance that we provide to the public, the market price of our common stock may decline.</w:t>
      </w:r>
    </w:p>
    <w:p>
      <w:pPr>
        <w:spacing w:after="0" w:line="16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composed of forward-looking statements subject to the risks and uncertainties described in this prospectus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net proceeds to us from this offering and may not use them effectively.</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results of operations, prospects, and financial condition could be harmed, and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4"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225"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The initial public offering price of our common stock is expected to be substantially higher than the pro forma as adjusted net tangible book value per share of our common stock. Therefore, if you purchase shares of our common stock in this offering, you will pay a price per share that substantially</w:t>
      </w:r>
    </w:p>
    <w:p>
      <w:pPr>
        <w:jc w:val="both"/>
        <w:ind w:left="160"/>
        <w:spacing w:after="0" w:line="248" w:lineRule="auto"/>
        <w:rPr>
          <w:sz w:val="20"/>
          <w:szCs w:val="20"/>
          <w:color w:val="auto"/>
        </w:rPr>
      </w:pPr>
      <w:r>
        <w:rPr>
          <w:rFonts w:ascii="Times New Roman" w:cs="Times New Roman" w:eastAsia="Times New Roman" w:hAnsi="Times New Roman"/>
          <w:sz w:val="18"/>
          <w:szCs w:val="18"/>
          <w:color w:val="auto"/>
        </w:rPr>
        <w:t>exceeds our pro forma as adjusted net tangible book value per share after this offering. Based on the initial public offering price of $        per share, the midpoint of the price range set forth on the cover page of this prospectus, you will experience immediate dilution of $        per share,</w:t>
      </w: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representing the difference between our pro forma as adjusted net tangible book value per share after giving effect to this offering and the initial public offering price. In addition, purchasers of common stock in this offering will have contributed   % of the aggregate price paid by all purchasers of our common stock but will own only approximately   % of our total equity outstanding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83"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 on terms favorable to us, or at all, and may dilute existing stockholders’ ownership of our common stock.</w:t>
      </w:r>
    </w:p>
    <w:p>
      <w:pPr>
        <w:spacing w:after="0" w:line="16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85"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0"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7"/>
          <w:szCs w:val="17"/>
          <w:color w:val="auto"/>
        </w:rPr>
        <w:t>Prior to this offering, as of        , 2024, our executive officers, directors, holders of 5% or more of our capital stock and their respective affiliates held approximately   % of our outstanding voting stock and, upon the closing of this offering, that same group will hold approximately   % of our outstanding voting stock (assuming no exercise of the underwriters’ option to purchase additional shares and no exercise of outstanding options or warrants).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4"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jc w:val="both"/>
        <w:ind w:left="160" w:firstLine="436"/>
        <w:spacing w:after="0" w:line="259"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upon the number of</w:t>
      </w:r>
    </w:p>
    <w:p>
      <w:pPr>
        <w:jc w:val="both"/>
        <w:ind w:left="160"/>
        <w:spacing w:after="0" w:line="248" w:lineRule="auto"/>
        <w:rPr>
          <w:sz w:val="20"/>
          <w:szCs w:val="20"/>
          <w:color w:val="auto"/>
        </w:rPr>
      </w:pPr>
      <w:r>
        <w:rPr>
          <w:rFonts w:ascii="Times New Roman" w:cs="Times New Roman" w:eastAsia="Times New Roman" w:hAnsi="Times New Roman"/>
          <w:sz w:val="18"/>
          <w:szCs w:val="18"/>
          <w:color w:val="auto"/>
        </w:rPr>
        <w:t>shares outstanding as of         , 2024 and assuming (i) the conversion of our outstanding convertible preferred stock as of         , 2024 into an aggregate of            shares of our common stock immediately prior to the completion of this offering, (ii) no exercise of the underwriters’ option to</w:t>
      </w: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purchase additional shares of common stock, and (iii) no exercise of outstanding options or warrants subsequent to         , 2024, upon the closing of this offering, we will have outstanding a total of         shares of common stock. Of these shares, all of the shares of our common stock sold in this offering, plus any shares sold upon exercise of the underwriters’ option to purchase additional shares, will be freely tradable, without restriction, in the public market immediately following this offering.</w:t>
      </w:r>
    </w:p>
    <w:p>
      <w:pPr>
        <w:spacing w:after="0" w:line="18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anticipate that we and each of our directors, our executive officers, and the holders of substantially all of our capital stock and securities convertible into our capital stock have entered or will enter into lock-up agreements with the underwriters prior to the commencement of this offering. The lock-up agreements pertaining to this offering will expire 180 days from the date of this prospectus. After the lock-up agreements expire, as of</w:t>
      </w:r>
    </w:p>
    <w:p>
      <w:pPr>
        <w:spacing w:after="0" w:line="1" w:lineRule="exact"/>
        <w:rPr>
          <w:sz w:val="20"/>
          <w:szCs w:val="20"/>
          <w:color w:val="auto"/>
        </w:rPr>
      </w:pPr>
    </w:p>
    <w:p>
      <w:pPr>
        <w:jc w:val="both"/>
        <w:ind w:left="160"/>
        <w:spacing w:after="0" w:line="248" w:lineRule="auto"/>
        <w:rPr>
          <w:sz w:val="20"/>
          <w:szCs w:val="20"/>
          <w:color w:val="auto"/>
        </w:rPr>
      </w:pPr>
      <w:r>
        <w:rPr>
          <w:rFonts w:ascii="Times New Roman" w:cs="Times New Roman" w:eastAsia="Times New Roman" w:hAnsi="Times New Roman"/>
          <w:sz w:val="18"/>
          <w:szCs w:val="18"/>
          <w:color w:val="auto"/>
        </w:rPr>
        <w:t>        , 2024, up to approximately       additional shares of common stock will be eligible for sale in the public market, approximately      of which shares are held by directors, executive officers, and other affiliates and will be subject to Rule 144 under the Securities Act of 1933, as amended</w:t>
      </w: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“Securities Act”).         may, however, in their sole discretion, permit our officers, directors, and other stockholders who are subject to these lock-up agreements to sell shares prior to the expiration of the lock-up agreements.</w:t>
      </w:r>
    </w:p>
    <w:p>
      <w:pPr>
        <w:spacing w:after="0" w:line="18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addition, as of         , 2024, approximately        shares of common stock that are either subject to outstanding options, reserved for future issuance under our existing equity incentive plan,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After this offering, based upon the number of shares outstanding as of         , 2024, the holders of approximately       shares of our common stock, or approximately  % of our total outstanding common stock, will be entitled to rights with respect to the registration of their shares under the Securities Act, subject to vesting schedules and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0"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6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202" w:lineRule="exact"/>
        <w:rPr>
          <w:sz w:val="20"/>
          <w:szCs w:val="20"/>
          <w:color w:val="auto"/>
        </w:rPr>
      </w:pPr>
    </w:p>
    <w:p>
      <w:pPr>
        <w:ind w:left="1140" w:hanging="545"/>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4"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line="27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202"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to repeal certain provisions of our amended and restated certificate of incorporation;</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which may delay the ability of our stockholders to force consideration of a proposal or to take action, including the removal of directors; and</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176"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officers, and other employees or agents may reduce our available funds to satisfy successful third-party claims against us and may reduce the amount of money available to us.</w:t>
      </w:r>
    </w:p>
    <w:p>
      <w:pPr>
        <w:spacing w:after="0" w:line="16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officers, and certain other employees will provide that:</w:t>
      </w:r>
    </w:p>
    <w:p>
      <w:pPr>
        <w:spacing w:after="0" w:line="202" w:lineRule="exact"/>
        <w:rPr>
          <w:sz w:val="20"/>
          <w:szCs w:val="20"/>
          <w:color w:val="auto"/>
        </w:rPr>
      </w:pPr>
    </w:p>
    <w:p>
      <w:pPr>
        <w:jc w:val="both"/>
        <w:ind w:left="1140" w:hanging="545"/>
        <w:spacing w:after="0" w:line="258"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6" w:lineRule="exact"/>
        <w:rPr>
          <w:rFonts w:ascii="Times New Roman" w:cs="Times New Roman" w:eastAsia="Times New Roman" w:hAnsi="Times New Roman"/>
          <w:sz w:val="18"/>
          <w:szCs w:val="18"/>
          <w:color w:val="auto"/>
        </w:rPr>
      </w:pPr>
    </w:p>
    <w:p>
      <w:pPr>
        <w:ind w:left="5540" w:right="160" w:hanging="4945"/>
        <w:spacing w:after="0" w:line="448" w:lineRule="auto"/>
        <w:tabs>
          <w:tab w:leader="none" w:pos="11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 64</w:t>
      </w:r>
    </w:p>
    <w:p>
      <w:pPr>
        <w:sectPr>
          <w:pgSz w:w="11900" w:h="16838" w:orient="portrait"/>
          <w:cols w:equalWidth="0" w:num="1">
            <w:col w:w="11080"/>
          </w:cols>
          <w:pgMar w:left="320" w:top="454"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140" w:hanging="545"/>
        <w:spacing w:after="0" w:line="308"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6" w:lineRule="exact"/>
        <w:rPr>
          <w:rFonts w:ascii="Times New Roman" w:cs="Times New Roman" w:eastAsia="Times New Roman" w:hAnsi="Times New Roman"/>
          <w:sz w:val="17"/>
          <w:szCs w:val="17"/>
          <w:color w:val="auto"/>
        </w:rPr>
      </w:pPr>
    </w:p>
    <w:p>
      <w:pPr>
        <w:jc w:val="both"/>
        <w:ind w:left="1140" w:hanging="545"/>
        <w:spacing w:after="0" w:line="263"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2"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89"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will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17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9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4"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associated with resolving such action in other jurisdictions, which could adversely affect our business, financial condition, results of operations, and prospects.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225"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Even if an active trading market develops, 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initial public offering price.</w:t>
      </w:r>
    </w:p>
    <w:p>
      <w:pPr>
        <w:spacing w:after="0" w:line="17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6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market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1" w:lineRule="exact"/>
        <w:rPr>
          <w:sz w:val="20"/>
          <w:szCs w:val="20"/>
          <w:color w:val="auto"/>
        </w:rPr>
      </w:pPr>
    </w:p>
    <w:p>
      <w:pPr>
        <w:jc w:val="both"/>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or strategic partnerships, it may increase our capital requirements, dilute our stockholders, cause us to incur debt or assume contingent liabilities, and subject us to other risks.</w:t>
      </w:r>
    </w:p>
    <w:p>
      <w:pPr>
        <w:spacing w:after="0" w:line="16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partnerships, including licensing or acquiring complementary offerings, intellectual property rights, technologies, or businesses. Any acquisition or strategic partnership may entail numerous risks, including:</w:t>
      </w:r>
    </w:p>
    <w:p>
      <w:pPr>
        <w:spacing w:after="0" w:line="189" w:lineRule="exact"/>
        <w:rPr>
          <w:sz w:val="20"/>
          <w:szCs w:val="20"/>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offerings of an acquired company, including difficulties associated with integrating new personnel;</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4"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uncertainties in our ability to maintain key business relationships;</w:t>
      </w:r>
    </w:p>
    <w:p>
      <w:pPr>
        <w:spacing w:after="0" w:line="24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other party to such a transaction, including the prospects of that party and their existing products or product candidates and regulatory approvals; and</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offerings sufficient to meet our objectives in undertaking the acquisition or even to offset the associated acquisition and maintenance costs.</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w:t>
      </w:r>
    </w:p>
    <w:p>
      <w:pPr>
        <w:spacing w:after="0" w:line="180" w:lineRule="exact"/>
        <w:rPr>
          <w:sz w:val="20"/>
          <w:szCs w:val="20"/>
          <w:color w:val="auto"/>
        </w:rPr>
      </w:pPr>
    </w:p>
    <w:p>
      <w:pPr>
        <w:jc w:val="both"/>
        <w:ind w:left="16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spacing w:after="0" w:line="136"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Economic downturns, market volatility, inflation,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Further, challenging economic conditions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4"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211" w:lineRule="exact"/>
        <w:rPr>
          <w:sz w:val="20"/>
          <w:szCs w:val="20"/>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our revenue and costs;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programs or for chronic condition management or other virtual care programs in general;</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competitive solutions or other technological breakthroughs for the monitoring, treatment, or prevention of chronic conditions or the delivery of virtual care programs;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achieve and maintain meaningful member engagement, clinical outcomes, and/or cost savings;</w:t>
      </w:r>
    </w:p>
    <w:p>
      <w:pPr>
        <w:spacing w:after="0" w:line="24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establish and expand our relationships with employers, health plans, PBMs, health systems, government entities, and other existing and potential customers and channel partners;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enroll new members;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partners generally and of our channel partner relationships;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our target market;</w:t>
      </w:r>
    </w:p>
    <w:p>
      <w:pPr>
        <w:spacing w:after="0" w:line="24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attract new customers and channel partners and increase member enrollment from existing and potential customers and channel partners;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size of our organization and to attract talent;</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adoption of business models billed based on enrollments, engagement, and/or outcomes;</w:t>
      </w:r>
    </w:p>
    <w:p>
      <w:pPr>
        <w:spacing w:after="0" w:line="247"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manufacturers and suppliers for certain devices and other supplies that we deliver to members in connection with our programs, for cellular device connectivity, and for certain complementary healthcare services provided by external partners;</w:t>
      </w:r>
    </w:p>
    <w:p>
      <w:pPr>
        <w:spacing w:after="0" w:line="202"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technology, including artificial intelligence and machine learning, to operate certain features of our programs and to enable certain business processes;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senior leadership and key clinical, scientific, and technology employees and other service providers;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employer-sponsored healthcare;</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4"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support for customers, channel partners, and members;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widespread brand awareness cost-effectively;</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affiliated professional entities, third-party service providers, vendors, business partners, or other contractors or consultants to avoid cybersecurity incidents, data breaches, and other disruptions;</w:t>
      </w:r>
    </w:p>
    <w:p>
      <w:pPr>
        <w:spacing w:after="0" w:line="189"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release new programs and services or to develop and release successful enhancements to, new features for, and modifications to our existing programs, services, and platform;</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initiatives, business strategies, or operating plans;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interoperability of our programs and related connected devices across a number of devices, operating systems, and third-party applications that we do not control;</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affiliated professional entities’ ability to comply with privacy, data protection, and security laws;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changes in FDA enforcement policies with respect to medical software products;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affiliated professional entities;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legislative or regulatory healthcare reforms;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devices and supplies provided in connection with our programs;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additional regulations and requirements as a result of becoming a public company;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the net proceeds from this offering.</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prospectus.</w:t>
      </w:r>
    </w:p>
    <w:p>
      <w:pPr>
        <w:spacing w:after="0" w:line="221"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4"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4"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5"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the market and industry data included in this prospectus are reliable and are based on reasonable assumptions, these data and the industry in which we operate is subject to a high degree of uncertainty and risk due to a variety of factors, including those described in the section titled “Risk Factors.” These and other factors could cause results to differ materially from those expressed in these estimates, publications and reports made by third parties or us.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the section titled “Special Note Regarding Forward-Looking Statements.”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Among others, we refer to estimates compiled by the following industry sources:</w:t>
      </w:r>
    </w:p>
    <w:p>
      <w:pPr>
        <w:spacing w:after="0" w:line="246" w:lineRule="exact"/>
        <w:rPr>
          <w:sz w:val="20"/>
          <w:szCs w:val="20"/>
          <w:color w:val="auto"/>
        </w:rPr>
      </w:pPr>
    </w:p>
    <w:p>
      <w:pPr>
        <w:ind w:left="1140" w:hanging="545"/>
        <w:spacing w:after="0" w:line="280"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ACR Open Rheumatology, Holman, HR, </w:t>
      </w:r>
      <w:r>
        <w:rPr>
          <w:rFonts w:ascii="Times New Roman" w:cs="Times New Roman" w:eastAsia="Times New Roman" w:hAnsi="Times New Roman"/>
          <w:sz w:val="18"/>
          <w:szCs w:val="18"/>
          <w:i w:val="1"/>
          <w:iCs w:val="1"/>
          <w:color w:val="auto"/>
        </w:rPr>
        <w:t>The Relation of the Chronic Disease Epidemic to the Health Care Crisis</w:t>
      </w:r>
      <w:r>
        <w:rPr>
          <w:rFonts w:ascii="Times New Roman" w:cs="Times New Roman" w:eastAsia="Times New Roman" w:hAnsi="Times New Roman"/>
          <w:sz w:val="18"/>
          <w:szCs w:val="18"/>
          <w:color w:val="auto"/>
        </w:rPr>
        <w:t>, March 2020; 2(3):167-173.</w:t>
      </w:r>
    </w:p>
    <w:p>
      <w:pPr>
        <w:spacing w:after="0" w:line="185"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Diabetes Association, Parker, ED, Lin, J, Mahoney, T, Ume, N, Yang, G, Gabbay, RA, ElSayed, NA, Bannuru, RR, </w:t>
      </w:r>
      <w:r>
        <w:rPr>
          <w:rFonts w:ascii="Times New Roman" w:cs="Times New Roman" w:eastAsia="Times New Roman" w:hAnsi="Times New Roman"/>
          <w:sz w:val="18"/>
          <w:szCs w:val="18"/>
          <w:i w:val="1"/>
          <w:iCs w:val="1"/>
          <w:color w:val="auto"/>
        </w:rPr>
        <w:t>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of Diabetes in the U.S. in 2022</w:t>
      </w:r>
      <w:r>
        <w:rPr>
          <w:rFonts w:ascii="Times New Roman" w:cs="Times New Roman" w:eastAsia="Times New Roman" w:hAnsi="Times New Roman"/>
          <w:sz w:val="18"/>
          <w:szCs w:val="18"/>
          <w:color w:val="auto"/>
        </w:rPr>
        <w:t>, Diabetes Care, January 2024; 47(1):26-43.</w:t>
      </w:r>
    </w:p>
    <w:p>
      <w:pPr>
        <w:spacing w:after="0" w:line="185" w:lineRule="exact"/>
        <w:rPr>
          <w:rFonts w:ascii="Times New Roman" w:cs="Times New Roman" w:eastAsia="Times New Roman" w:hAnsi="Times New Roman"/>
          <w:sz w:val="18"/>
          <w:szCs w:val="18"/>
          <w:color w:val="auto"/>
        </w:rPr>
      </w:pPr>
    </w:p>
    <w:p>
      <w:pPr>
        <w:ind w:left="1140" w:right="20" w:hanging="545"/>
        <w:spacing w:after="0" w:line="280"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Diabetes Association, Park, J, Bigman, E, Zhang, P, </w:t>
      </w:r>
      <w:r>
        <w:rPr>
          <w:rFonts w:ascii="Times New Roman" w:cs="Times New Roman" w:eastAsia="Times New Roman" w:hAnsi="Times New Roman"/>
          <w:sz w:val="18"/>
          <w:szCs w:val="18"/>
          <w:i w:val="1"/>
          <w:iCs w:val="1"/>
          <w:color w:val="auto"/>
        </w:rPr>
        <w:t>Productivity Loss and Medical Costs Associated with Type 2 Diabetes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Among Employees Aged 18-64 Years with Large Employer-Sponsored Insurance</w:t>
      </w:r>
      <w:r>
        <w:rPr>
          <w:rFonts w:ascii="Times New Roman" w:cs="Times New Roman" w:eastAsia="Times New Roman" w:hAnsi="Times New Roman"/>
          <w:sz w:val="18"/>
          <w:szCs w:val="18"/>
          <w:color w:val="auto"/>
        </w:rPr>
        <w:t>, Diabetes Care, November 2022; 45(11):2553-2560.</w:t>
      </w:r>
    </w:p>
    <w:p>
      <w:pPr>
        <w:spacing w:after="0" w:line="185" w:lineRule="exact"/>
        <w:rPr>
          <w:rFonts w:ascii="Times New Roman" w:cs="Times New Roman" w:eastAsia="Times New Roman" w:hAnsi="Times New Roman"/>
          <w:sz w:val="18"/>
          <w:szCs w:val="18"/>
          <w:color w:val="auto"/>
        </w:rPr>
      </w:pPr>
    </w:p>
    <w:p>
      <w:pPr>
        <w:jc w:val="both"/>
        <w:ind w:left="1140" w:hanging="545"/>
        <w:spacing w:after="0" w:line="311" w:lineRule="auto"/>
        <w:tabs>
          <w:tab w:leader="none" w:pos="11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American Diabetes Association, Dall, TM, Yang, W, Gillespie, K, et al., </w:t>
      </w:r>
      <w:r>
        <w:rPr>
          <w:rFonts w:ascii="Times New Roman" w:cs="Times New Roman" w:eastAsia="Times New Roman" w:hAnsi="Times New Roman"/>
          <w:sz w:val="17"/>
          <w:szCs w:val="17"/>
          <w:i w:val="1"/>
          <w:iCs w:val="1"/>
          <w:color w:val="auto"/>
        </w:rPr>
        <w:t>The Economic Burden of Elevated Blood Glucose Levels in 2017: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Diagnosed and Undiagnosed Diabetes, Gestational Diabetes Mellitus, and Prediabetes</w:t>
      </w:r>
      <w:r>
        <w:rPr>
          <w:rFonts w:ascii="Times New Roman" w:cs="Times New Roman" w:eastAsia="Times New Roman" w:hAnsi="Times New Roman"/>
          <w:sz w:val="17"/>
          <w:szCs w:val="17"/>
          <w:color w:val="auto"/>
        </w:rPr>
        <w:t>, Diabetes Care, September 2019; 42(9):1661-1668.</w:t>
      </w:r>
    </w:p>
    <w:p>
      <w:pPr>
        <w:spacing w:after="0" w:line="162" w:lineRule="exact"/>
        <w:rPr>
          <w:rFonts w:ascii="Times New Roman" w:cs="Times New Roman" w:eastAsia="Times New Roman" w:hAnsi="Times New Roman"/>
          <w:sz w:val="17"/>
          <w:szCs w:val="17"/>
          <w:color w:val="auto"/>
        </w:rPr>
      </w:pPr>
    </w:p>
    <w:p>
      <w:pPr>
        <w:ind w:left="1140" w:right="20" w:hanging="545"/>
        <w:spacing w:after="0" w:line="280"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Journal of Preventive Medicine, Hood CM, Gennuso KP, Swain GR, Catlin BB, </w:t>
      </w:r>
      <w:r>
        <w:rPr>
          <w:rFonts w:ascii="Times New Roman" w:cs="Times New Roman" w:eastAsia="Times New Roman" w:hAnsi="Times New Roman"/>
          <w:sz w:val="18"/>
          <w:szCs w:val="18"/>
          <w:i w:val="1"/>
          <w:iCs w:val="1"/>
          <w:color w:val="auto"/>
        </w:rPr>
        <w:t>County Health Rankings: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Between Determinant Factors and Health Outcomes</w:t>
      </w:r>
      <w:r>
        <w:rPr>
          <w:rFonts w:ascii="Times New Roman" w:cs="Times New Roman" w:eastAsia="Times New Roman" w:hAnsi="Times New Roman"/>
          <w:sz w:val="18"/>
          <w:szCs w:val="18"/>
          <w:color w:val="auto"/>
        </w:rPr>
        <w:t>, February 2016; 50(2):129-135.</w:t>
      </w:r>
    </w:p>
    <w:p>
      <w:pPr>
        <w:spacing w:after="0" w:line="185"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About the National Center for Chronic Disease Prevention and Health Promotion</w:t>
      </w:r>
      <w:r>
        <w:rPr>
          <w:rFonts w:ascii="Times New Roman" w:cs="Times New Roman" w:eastAsia="Times New Roman" w:hAnsi="Times New Roman"/>
          <w:sz w:val="18"/>
          <w:szCs w:val="18"/>
          <w:color w:val="auto"/>
        </w:rPr>
        <w:t>, last reviewed March 2023.</w:t>
      </w:r>
    </w:p>
    <w:p>
      <w:pPr>
        <w:spacing w:after="0" w:line="185"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Health and Economic Costs of Chronic Diseases</w:t>
      </w:r>
      <w:r>
        <w:rPr>
          <w:rFonts w:ascii="Times New Roman" w:cs="Times New Roman" w:eastAsia="Times New Roman" w:hAnsi="Times New Roman"/>
          <w:sz w:val="18"/>
          <w:szCs w:val="18"/>
          <w:color w:val="auto"/>
        </w:rPr>
        <w:t>, last reviewed March 2023.</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Adult Obesity Facts</w:t>
      </w:r>
      <w:r>
        <w:rPr>
          <w:rFonts w:ascii="Times New Roman" w:cs="Times New Roman" w:eastAsia="Times New Roman" w:hAnsi="Times New Roman"/>
          <w:sz w:val="18"/>
          <w:szCs w:val="18"/>
          <w:color w:val="auto"/>
        </w:rPr>
        <w:t>, last reviewed May 2022.</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4"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1140" w:hanging="545"/>
        <w:spacing w:after="0" w:line="264"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Hypertension Cascade: Hypertension Prevalence, Treatment and Control Estimates Among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Adults Aged 18 Years and Older Applying the Criteria From the American College of Cardiology and American Heart Association’s 2017 Hypertension Guideline—NHANES 2017–2020</w:t>
      </w:r>
      <w:r>
        <w:rPr>
          <w:rFonts w:ascii="Times New Roman" w:cs="Times New Roman" w:eastAsia="Times New Roman" w:hAnsi="Times New Roman"/>
          <w:sz w:val="18"/>
          <w:szCs w:val="18"/>
          <w:color w:val="auto"/>
        </w:rPr>
        <w:t>, May 2023.</w:t>
      </w:r>
    </w:p>
    <w:p>
      <w:pPr>
        <w:spacing w:after="0" w:line="19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National Diabetes Statistic Report, 2021</w:t>
      </w:r>
      <w:r>
        <w:rPr>
          <w:rFonts w:ascii="Times New Roman" w:cs="Times New Roman" w:eastAsia="Times New Roman" w:hAnsi="Times New Roman"/>
          <w:sz w:val="18"/>
          <w:szCs w:val="18"/>
          <w:color w:val="auto"/>
        </w:rPr>
        <w:t>, last reviewed November 2023.</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Diabetes and Mental Health</w:t>
      </w:r>
      <w:r>
        <w:rPr>
          <w:rFonts w:ascii="Times New Roman" w:cs="Times New Roman" w:eastAsia="Times New Roman" w:hAnsi="Times New Roman"/>
          <w:sz w:val="18"/>
          <w:szCs w:val="18"/>
          <w:color w:val="auto"/>
        </w:rPr>
        <w:t>, last reviewed May 2023.</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Facts About Hypertension</w:t>
      </w:r>
      <w:r>
        <w:rPr>
          <w:rFonts w:ascii="Times New Roman" w:cs="Times New Roman" w:eastAsia="Times New Roman" w:hAnsi="Times New Roman"/>
          <w:sz w:val="18"/>
          <w:szCs w:val="18"/>
          <w:color w:val="auto"/>
        </w:rPr>
        <w:t>, last reviewed July 2023.</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Health Topics—Heart Disease and Heart Attack</w:t>
      </w:r>
      <w:r>
        <w:rPr>
          <w:rFonts w:ascii="Times New Roman" w:cs="Times New Roman" w:eastAsia="Times New Roman" w:hAnsi="Times New Roman"/>
          <w:sz w:val="18"/>
          <w:szCs w:val="18"/>
          <w:color w:val="auto"/>
        </w:rPr>
        <w:t>, last reviewed August 17, 2021.</w:t>
      </w:r>
    </w:p>
    <w:p>
      <w:pPr>
        <w:spacing w:after="0" w:line="24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Diabetes, Obesity &amp; Metabolism, Wilding JPH, Batterham RL, Davies M, Van Gaal LF, Kandler K, Konakli K, Lingvay I, McGowan BM, Oral TK, Rosenstock J, Wadden TA, Wharton S, Yokote K, Kushner RF, </w:t>
      </w:r>
      <w:r>
        <w:rPr>
          <w:rFonts w:ascii="Times New Roman" w:cs="Times New Roman" w:eastAsia="Times New Roman" w:hAnsi="Times New Roman"/>
          <w:sz w:val="18"/>
          <w:szCs w:val="18"/>
          <w:i w:val="1"/>
          <w:iCs w:val="1"/>
          <w:color w:val="auto"/>
        </w:rPr>
        <w:t>STEP 1 Study Group. Weight Regain and Cardiometabolic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Withdrawal of Semaglutide: The STEP 1 Trial Extension</w:t>
      </w:r>
      <w:r>
        <w:rPr>
          <w:rFonts w:ascii="Times New Roman" w:cs="Times New Roman" w:eastAsia="Times New Roman" w:hAnsi="Times New Roman"/>
          <w:sz w:val="18"/>
          <w:szCs w:val="18"/>
          <w:color w:val="auto"/>
        </w:rPr>
        <w:t>, August 2022; 24(8):1553-1564.</w:t>
      </w:r>
    </w:p>
    <w:p>
      <w:pPr>
        <w:spacing w:after="0" w:line="200"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Endotext, Naha S, Gardner MJ, Khangura D, et al., </w:t>
      </w:r>
      <w:r>
        <w:rPr>
          <w:rFonts w:ascii="Times New Roman" w:cs="Times New Roman" w:eastAsia="Times New Roman" w:hAnsi="Times New Roman"/>
          <w:sz w:val="18"/>
          <w:szCs w:val="18"/>
          <w:i w:val="1"/>
          <w:iCs w:val="1"/>
          <w:color w:val="auto"/>
        </w:rPr>
        <w:t>Hypertension in Diabetes</w:t>
      </w:r>
      <w:r>
        <w:rPr>
          <w:rFonts w:ascii="Times New Roman" w:cs="Times New Roman" w:eastAsia="Times New Roman" w:hAnsi="Times New Roman"/>
          <w:sz w:val="18"/>
          <w:szCs w:val="18"/>
          <w:color w:val="auto"/>
        </w:rPr>
        <w:t>, August 2021.</w:t>
      </w:r>
    </w:p>
    <w:p>
      <w:pPr>
        <w:spacing w:after="0" w:line="24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GlobalData Publications, Inc.</w:t>
      </w:r>
    </w:p>
    <w:p>
      <w:pPr>
        <w:spacing w:after="0" w:line="245"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 Foundation of Employee Benefit Plans, </w:t>
      </w:r>
      <w:r>
        <w:rPr>
          <w:rFonts w:ascii="Times New Roman" w:cs="Times New Roman" w:eastAsia="Times New Roman" w:hAnsi="Times New Roman"/>
          <w:sz w:val="18"/>
          <w:szCs w:val="18"/>
          <w:i w:val="1"/>
          <w:iCs w:val="1"/>
          <w:color w:val="auto"/>
        </w:rPr>
        <w:t>GLP-1 Drugs (U.S.): 2023 Pulse Survey</w:t>
      </w:r>
      <w:r>
        <w:rPr>
          <w:rFonts w:ascii="Times New Roman" w:cs="Times New Roman" w:eastAsia="Times New Roman" w:hAnsi="Times New Roman"/>
          <w:sz w:val="18"/>
          <w:szCs w:val="18"/>
          <w:color w:val="auto"/>
        </w:rPr>
        <w:t>, November 2023.</w:t>
      </w:r>
    </w:p>
    <w:p>
      <w:pPr>
        <w:spacing w:after="0" w:line="247"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Back and Musculoskeletal Rehabilitation, Kaka B, Maharaj SS, Fatoye F, </w:t>
      </w:r>
      <w:r>
        <w:rPr>
          <w:rFonts w:ascii="Times New Roman" w:cs="Times New Roman" w:eastAsia="Times New Roman" w:hAnsi="Times New Roman"/>
          <w:sz w:val="18"/>
          <w:szCs w:val="18"/>
          <w:i w:val="1"/>
          <w:iCs w:val="1"/>
          <w:color w:val="auto"/>
        </w:rPr>
        <w:t>Prevalence of Musculoskeletal Disorders in Patients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Diabetes Mellitus: A Systematic Review and Meta-analysis</w:t>
      </w:r>
      <w:r>
        <w:rPr>
          <w:rFonts w:ascii="Times New Roman" w:cs="Times New Roman" w:eastAsia="Times New Roman" w:hAnsi="Times New Roman"/>
          <w:sz w:val="18"/>
          <w:szCs w:val="18"/>
          <w:color w:val="auto"/>
        </w:rPr>
        <w:t>, March 2019.</w:t>
      </w:r>
    </w:p>
    <w:p>
      <w:pPr>
        <w:spacing w:after="0" w:line="187"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the American Heart Association, Kirkland EB, Heincelman M, Bishu KG, Schumann SO, Schreiner A, Axon RN, Mauldin PD, Moran WP, </w:t>
      </w:r>
      <w:r>
        <w:rPr>
          <w:rFonts w:ascii="Times New Roman" w:cs="Times New Roman" w:eastAsia="Times New Roman" w:hAnsi="Times New Roman"/>
          <w:sz w:val="18"/>
          <w:szCs w:val="18"/>
          <w:i w:val="1"/>
          <w:iCs w:val="1"/>
          <w:color w:val="auto"/>
        </w:rPr>
        <w:t>Trends in Healthcare Expenditures Among US Adults With Hypertension: National Estimates, 2003-2014</w:t>
      </w:r>
      <w:r>
        <w:rPr>
          <w:rFonts w:ascii="Times New Roman" w:cs="Times New Roman" w:eastAsia="Times New Roman" w:hAnsi="Times New Roman"/>
          <w:sz w:val="18"/>
          <w:szCs w:val="18"/>
          <w:color w:val="auto"/>
        </w:rPr>
        <w:t>, May 2018; 7(11):e008731.</w:t>
      </w:r>
    </w:p>
    <w:p>
      <w:pPr>
        <w:spacing w:after="0" w:line="202"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Research in Medical Sciences, Alijanvand, MH, Aminorroaya, A, Kazemi, I, Amini, M, Yamini, SA, Mansourian, M, </w:t>
      </w:r>
      <w:r>
        <w:rPr>
          <w:rFonts w:ascii="Times New Roman" w:cs="Times New Roman" w:eastAsia="Times New Roman" w:hAnsi="Times New Roman"/>
          <w:sz w:val="18"/>
          <w:szCs w:val="18"/>
          <w:i w:val="1"/>
          <w:iCs w:val="1"/>
          <w:color w:val="auto"/>
        </w:rPr>
        <w:t>Prevalence and Predictors of Prediabetes and Its Coexistence with High Blood Pressure in First-degree Relatives of Patients with Type 2 Diabetes: A 9-year Cohort Study</w:t>
      </w:r>
      <w:r>
        <w:rPr>
          <w:rFonts w:ascii="Times New Roman" w:cs="Times New Roman" w:eastAsia="Times New Roman" w:hAnsi="Times New Roman"/>
          <w:sz w:val="18"/>
          <w:szCs w:val="18"/>
          <w:color w:val="auto"/>
        </w:rPr>
        <w:t>, March 2020; 25:31.</w:t>
      </w:r>
    </w:p>
    <w:p>
      <w:pPr>
        <w:spacing w:after="0" w:line="200"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2023 Employer Health Benefits Survey</w:t>
      </w:r>
      <w:r>
        <w:rPr>
          <w:rFonts w:ascii="Times New Roman" w:cs="Times New Roman" w:eastAsia="Times New Roman" w:hAnsi="Times New Roman"/>
          <w:sz w:val="18"/>
          <w:szCs w:val="18"/>
          <w:color w:val="auto"/>
        </w:rPr>
        <w:t>, (KFF, October 18, 2023), https://www.kff.org/health-costs/report/2023-employer-health-benefits-survey/ (accessed June 2024)</w:t>
      </w:r>
    </w:p>
    <w:p>
      <w:pPr>
        <w:spacing w:after="0" w:line="185" w:lineRule="exact"/>
        <w:rPr>
          <w:rFonts w:ascii="Times New Roman" w:cs="Times New Roman" w:eastAsia="Times New Roman" w:hAnsi="Times New Roman"/>
          <w:sz w:val="18"/>
          <w:szCs w:val="18"/>
          <w:color w:val="auto"/>
        </w:rPr>
      </w:pPr>
    </w:p>
    <w:p>
      <w:pPr>
        <w:jc w:val="both"/>
        <w:ind w:left="1140" w:hanging="545"/>
        <w:spacing w:after="0" w:line="264"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Ochieng, N, Biniek, JF, Freed, M, Damico, A, Neuman, T, </w:t>
      </w:r>
      <w:r>
        <w:rPr>
          <w:rFonts w:ascii="Times New Roman" w:cs="Times New Roman" w:eastAsia="Times New Roman" w:hAnsi="Times New Roman"/>
          <w:sz w:val="18"/>
          <w:szCs w:val="18"/>
          <w:i w:val="1"/>
          <w:iCs w:val="1"/>
          <w:color w:val="auto"/>
        </w:rPr>
        <w:t>Medicare Advantage in 2023: Enrollment Update and Key Trends</w:t>
      </w:r>
      <w:r>
        <w:rPr>
          <w:rFonts w:ascii="Times New Roman" w:cs="Times New Roman" w:eastAsia="Times New Roman" w:hAnsi="Times New Roman"/>
          <w:sz w:val="18"/>
          <w:szCs w:val="18"/>
          <w:color w:val="auto"/>
        </w:rPr>
        <w:t xml:space="preserve"> (KFF, August 9, 2023), https://www.kff.org/medicare/issue-brief/medicare-advantage-in-2023-enrollment-update-and-key-trends/ (accessed June 2024).</w:t>
      </w:r>
    </w:p>
    <w:p>
      <w:pPr>
        <w:spacing w:after="0" w:line="19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Association of Chronic Disease Directors, </w:t>
      </w:r>
      <w:r>
        <w:rPr>
          <w:rFonts w:ascii="Times New Roman" w:cs="Times New Roman" w:eastAsia="Times New Roman" w:hAnsi="Times New Roman"/>
          <w:sz w:val="18"/>
          <w:szCs w:val="18"/>
          <w:i w:val="1"/>
          <w:iCs w:val="1"/>
          <w:color w:val="auto"/>
        </w:rPr>
        <w:t>Commentary on Chronic Disease Prevention in 2022</w:t>
      </w:r>
      <w:r>
        <w:rPr>
          <w:rFonts w:ascii="Times New Roman" w:cs="Times New Roman" w:eastAsia="Times New Roman" w:hAnsi="Times New Roman"/>
          <w:sz w:val="18"/>
          <w:szCs w:val="18"/>
          <w:color w:val="auto"/>
        </w:rPr>
        <w:t>, April 2022.</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CDC WONDER Database, </w:t>
      </w:r>
      <w:r>
        <w:rPr>
          <w:rFonts w:ascii="Times New Roman" w:cs="Times New Roman" w:eastAsia="Times New Roman" w:hAnsi="Times New Roman"/>
          <w:sz w:val="18"/>
          <w:szCs w:val="18"/>
          <w:i w:val="1"/>
          <w:iCs w:val="1"/>
          <w:color w:val="auto"/>
        </w:rPr>
        <w:t>Multiple Cause of Death Data, 2018-2022</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4"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1140" w:hanging="545"/>
        <w:spacing w:after="0" w:line="264"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Stierman, B, Afful, J, Carroll, MD, Chen, TC, Davy, O, Fink, S, et al., </w:t>
      </w:r>
      <w:r>
        <w:rPr>
          <w:rFonts w:ascii="Times New Roman" w:cs="Times New Roman" w:eastAsia="Times New Roman" w:hAnsi="Times New Roman"/>
          <w:sz w:val="18"/>
          <w:szCs w:val="18"/>
          <w:i w:val="1"/>
          <w:iCs w:val="1"/>
          <w:color w:val="auto"/>
        </w:rPr>
        <w:t>National Health and Nutrition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Examination Survey 2017—March 2020 Prepandemic Data Files—Development of Files and Prevalence Estimates For Selected Health Outcomes</w:t>
      </w:r>
      <w:r>
        <w:rPr>
          <w:rFonts w:ascii="Times New Roman" w:cs="Times New Roman" w:eastAsia="Times New Roman" w:hAnsi="Times New Roman"/>
          <w:sz w:val="18"/>
          <w:szCs w:val="18"/>
          <w:color w:val="auto"/>
        </w:rPr>
        <w:t>, National Health Statistics Reports; no. 158, June 2021.</w:t>
      </w:r>
    </w:p>
    <w:p>
      <w:pPr>
        <w:spacing w:after="0" w:line="19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NFP, </w:t>
      </w:r>
      <w:r>
        <w:rPr>
          <w:rFonts w:ascii="Times New Roman" w:cs="Times New Roman" w:eastAsia="Times New Roman" w:hAnsi="Times New Roman"/>
          <w:sz w:val="18"/>
          <w:szCs w:val="18"/>
          <w:i w:val="1"/>
          <w:iCs w:val="1"/>
          <w:color w:val="auto"/>
        </w:rPr>
        <w:t>US Benefits Trend Report 2023</w:t>
      </w:r>
      <w:r>
        <w:rPr>
          <w:rFonts w:ascii="Times New Roman" w:cs="Times New Roman" w:eastAsia="Times New Roman" w:hAnsi="Times New Roman"/>
          <w:sz w:val="18"/>
          <w:szCs w:val="18"/>
          <w:color w:val="auto"/>
        </w:rPr>
        <w:t>, Available at: https://www.nfp.com/media/djsfwbiu/2023_usbenefitstrendreport.pdf.</w:t>
      </w:r>
    </w:p>
    <w:p>
      <w:pPr>
        <w:spacing w:after="0" w:line="247"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Claxton, G, Rae, M, </w:t>
      </w:r>
      <w:r>
        <w:rPr>
          <w:rFonts w:ascii="Times New Roman" w:cs="Times New Roman" w:eastAsia="Times New Roman" w:hAnsi="Times New Roman"/>
          <w:sz w:val="18"/>
          <w:szCs w:val="18"/>
          <w:i w:val="1"/>
          <w:iCs w:val="1"/>
          <w:color w:val="auto"/>
        </w:rPr>
        <w:t>What are the Recent Trends in Employer-based Health Coverage?</w:t>
      </w:r>
      <w:r>
        <w:rPr>
          <w:rFonts w:ascii="Times New Roman" w:cs="Times New Roman" w:eastAsia="Times New Roman" w:hAnsi="Times New Roman"/>
          <w:sz w:val="18"/>
          <w:szCs w:val="18"/>
          <w:color w:val="auto"/>
        </w:rPr>
        <w:t>, (Peterson-KFF, December 22, 2023), https://www.healthsystemtracker.org/chart-collection/trends-in-employer-based-health-coverage/ (accessed June 2024).</w:t>
      </w:r>
    </w:p>
    <w:p>
      <w:pPr>
        <w:spacing w:after="0" w:line="185" w:lineRule="exact"/>
        <w:rPr>
          <w:rFonts w:ascii="Times New Roman" w:cs="Times New Roman" w:eastAsia="Times New Roman" w:hAnsi="Times New Roman"/>
          <w:sz w:val="18"/>
          <w:szCs w:val="18"/>
          <w:color w:val="auto"/>
        </w:rPr>
      </w:pPr>
    </w:p>
    <w:p>
      <w:pPr>
        <w:ind w:left="1140" w:hanging="545"/>
        <w:spacing w:after="0" w:line="264"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 Obesity Rates Rise in the U.S. and Worldwide, New Weight-loss Drugs Surge in Popularity</w:t>
      </w:r>
      <w:r>
        <w:rPr>
          <w:rFonts w:ascii="Times New Roman" w:cs="Times New Roman" w:eastAsia="Times New Roman" w:hAnsi="Times New Roman"/>
          <w:sz w:val="18"/>
          <w:szCs w:val="18"/>
          <w:color w:val="auto"/>
        </w:rPr>
        <w:t>,” Pew Research Center, Washington, D.C. (March 21, 2024), https://www.pewresearch.org/short-reads/2024/03/21/as-obesity-rates-rise-in-the-us-and-worldwide-new-weight-loss-drugs-surge-in-popularity/.</w:t>
      </w:r>
    </w:p>
    <w:p>
      <w:pPr>
        <w:spacing w:after="0" w:line="199" w:lineRule="exact"/>
        <w:rPr>
          <w:rFonts w:ascii="Times New Roman" w:cs="Times New Roman" w:eastAsia="Times New Roman" w:hAnsi="Times New Roman"/>
          <w:sz w:val="18"/>
          <w:szCs w:val="18"/>
          <w:color w:val="auto"/>
        </w:rPr>
      </w:pPr>
    </w:p>
    <w:p>
      <w:pPr>
        <w:ind w:left="1140" w:hanging="545"/>
        <w:spacing w:after="0" w:line="264"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60% of Americans Would Be Uncomfortable with Provider Relying on AI in Their Own Health Care</w:t>
      </w:r>
      <w:r>
        <w:rPr>
          <w:rFonts w:ascii="Times New Roman" w:cs="Times New Roman" w:eastAsia="Times New Roman" w:hAnsi="Times New Roman"/>
          <w:sz w:val="18"/>
          <w:szCs w:val="18"/>
          <w:color w:val="auto"/>
        </w:rPr>
        <w:t>,” Pew Research Center, Washington, D.C. (February 22, 2023), https://www.pewresearch.org/science/2023/02/22/60-of-americans-would-be-uncomfortable-with-provider-relying-on-ai-in-their-own-health-care/</w:t>
      </w:r>
    </w:p>
    <w:p>
      <w:pPr>
        <w:spacing w:after="0" w:line="19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Pharmaceutical Care Management Association, </w:t>
      </w:r>
      <w:r>
        <w:rPr>
          <w:rFonts w:ascii="Times New Roman" w:cs="Times New Roman" w:eastAsia="Times New Roman" w:hAnsi="Times New Roman"/>
          <w:sz w:val="18"/>
          <w:szCs w:val="18"/>
          <w:i w:val="1"/>
          <w:iCs w:val="1"/>
          <w:color w:val="auto"/>
        </w:rPr>
        <w:t>The Value of PBMs</w:t>
      </w:r>
      <w:r>
        <w:rPr>
          <w:rFonts w:ascii="Times New Roman" w:cs="Times New Roman" w:eastAsia="Times New Roman" w:hAnsi="Times New Roman"/>
          <w:sz w:val="18"/>
          <w:szCs w:val="18"/>
          <w:color w:val="auto"/>
        </w:rPr>
        <w:t>, 2024.</w:t>
      </w:r>
    </w:p>
    <w:p>
      <w:pPr>
        <w:spacing w:after="0" w:line="247"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Pharmaceutical Strategies Group, </w:t>
      </w:r>
      <w:r>
        <w:rPr>
          <w:rFonts w:ascii="Times New Roman" w:cs="Times New Roman" w:eastAsia="Times New Roman" w:hAnsi="Times New Roman"/>
          <w:sz w:val="18"/>
          <w:szCs w:val="18"/>
          <w:i w:val="1"/>
          <w:iCs w:val="1"/>
          <w:color w:val="auto"/>
        </w:rPr>
        <w:t>2023 Trends in Drug Benefit Design Report</w:t>
      </w:r>
      <w:r>
        <w:rPr>
          <w:rFonts w:ascii="Times New Roman" w:cs="Times New Roman" w:eastAsia="Times New Roman" w:hAnsi="Times New Roman"/>
          <w:sz w:val="18"/>
          <w:szCs w:val="18"/>
          <w:color w:val="auto"/>
        </w:rPr>
        <w:t>, Dallas, TX: PSG, Spring 2023. Available from www.psgconsults.com.</w:t>
      </w:r>
    </w:p>
    <w:p>
      <w:pPr>
        <w:spacing w:after="0" w:line="185"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PLoS One, Ward ZJ, Bleich SN, Long MW, Gortmaker SL, </w:t>
      </w:r>
      <w:r>
        <w:rPr>
          <w:rFonts w:ascii="Times New Roman" w:cs="Times New Roman" w:eastAsia="Times New Roman" w:hAnsi="Times New Roman"/>
          <w:sz w:val="18"/>
          <w:szCs w:val="18"/>
          <w:i w:val="1"/>
          <w:iCs w:val="1"/>
          <w:color w:val="auto"/>
        </w:rPr>
        <w:t>Association of Body Mass Index with Health Care Expenditures in the 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States by Age and Sex</w:t>
      </w:r>
      <w:r>
        <w:rPr>
          <w:rFonts w:ascii="Times New Roman" w:cs="Times New Roman" w:eastAsia="Times New Roman" w:hAnsi="Times New Roman"/>
          <w:sz w:val="18"/>
          <w:szCs w:val="18"/>
          <w:color w:val="auto"/>
        </w:rPr>
        <w:t>, March 2021.</w:t>
      </w:r>
    </w:p>
    <w:p>
      <w:pPr>
        <w:spacing w:after="0" w:line="185"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RAND Health, Mattke, S, Mengistu, T, Klautzer, L, Sloss, EM, Brook, RH, </w:t>
      </w:r>
      <w:r>
        <w:rPr>
          <w:rFonts w:ascii="Times New Roman" w:cs="Times New Roman" w:eastAsia="Times New Roman" w:hAnsi="Times New Roman"/>
          <w:sz w:val="18"/>
          <w:szCs w:val="18"/>
          <w:i w:val="1"/>
          <w:iCs w:val="1"/>
          <w:color w:val="auto"/>
        </w:rPr>
        <w:t>Improving Care for Chronic Conditions</w:t>
      </w:r>
      <w:r>
        <w:rPr>
          <w:rFonts w:ascii="Times New Roman" w:cs="Times New Roman" w:eastAsia="Times New Roman" w:hAnsi="Times New Roman"/>
          <w:sz w:val="18"/>
          <w:szCs w:val="18"/>
          <w:color w:val="auto"/>
        </w:rPr>
        <w:t>, June 2015. Available from https://www.rand.org/pubs/research_reports/RR393.html.</w:t>
      </w:r>
    </w:p>
    <w:p>
      <w:pPr>
        <w:spacing w:after="0" w:line="185"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Segal Group, </w:t>
      </w:r>
      <w:r>
        <w:rPr>
          <w:rFonts w:ascii="Times New Roman" w:cs="Times New Roman" w:eastAsia="Times New Roman" w:hAnsi="Times New Roman"/>
          <w:sz w:val="18"/>
          <w:szCs w:val="18"/>
          <w:i w:val="1"/>
          <w:iCs w:val="1"/>
          <w:color w:val="auto"/>
        </w:rPr>
        <w:t>2023 Segal Health Plan Cost Trend Survey</w:t>
      </w:r>
      <w:r>
        <w:rPr>
          <w:rFonts w:ascii="Times New Roman" w:cs="Times New Roman" w:eastAsia="Times New Roman" w:hAnsi="Times New Roman"/>
          <w:sz w:val="18"/>
          <w:szCs w:val="18"/>
          <w:color w:val="auto"/>
        </w:rPr>
        <w:t>, 2022.</w:t>
      </w:r>
    </w:p>
    <w:p>
      <w:pPr>
        <w:spacing w:after="0" w:line="247"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Lancet Regional Health—Americas, </w:t>
      </w:r>
      <w:r>
        <w:rPr>
          <w:rFonts w:ascii="Times New Roman" w:cs="Times New Roman" w:eastAsia="Times New Roman" w:hAnsi="Times New Roman"/>
          <w:sz w:val="18"/>
          <w:szCs w:val="18"/>
          <w:i w:val="1"/>
          <w:iCs w:val="1"/>
          <w:color w:val="auto"/>
        </w:rPr>
        <w:t>Musculoskeletal Health: An Ecological Study Assessing Disease Burden and Research Funding</w:t>
      </w:r>
      <w:r>
        <w:rPr>
          <w:rFonts w:ascii="Times New Roman" w:cs="Times New Roman" w:eastAsia="Times New Roman" w:hAnsi="Times New Roman"/>
          <w:sz w:val="18"/>
          <w:szCs w:val="18"/>
          <w:color w:val="auto"/>
        </w:rPr>
        <w:t>, January 2024.</w:t>
      </w:r>
    </w:p>
    <w:p>
      <w:pPr>
        <w:spacing w:after="0" w:line="185"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Census Bureau, </w:t>
      </w:r>
      <w:r>
        <w:rPr>
          <w:rFonts w:ascii="Times New Roman" w:cs="Times New Roman" w:eastAsia="Times New Roman" w:hAnsi="Times New Roman"/>
          <w:sz w:val="18"/>
          <w:szCs w:val="18"/>
          <w:i w:val="1"/>
          <w:iCs w:val="1"/>
          <w:color w:val="auto"/>
        </w:rPr>
        <w:t>QuickFacts</w:t>
      </w:r>
      <w:r>
        <w:rPr>
          <w:rFonts w:ascii="Times New Roman" w:cs="Times New Roman" w:eastAsia="Times New Roman" w:hAnsi="Times New Roman"/>
          <w:sz w:val="18"/>
          <w:szCs w:val="18"/>
          <w:color w:val="auto"/>
        </w:rPr>
        <w:t>, 2022.</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World Health Organization, </w:t>
      </w:r>
      <w:r>
        <w:rPr>
          <w:rFonts w:ascii="Times New Roman" w:cs="Times New Roman" w:eastAsia="Times New Roman" w:hAnsi="Times New Roman"/>
          <w:sz w:val="18"/>
          <w:szCs w:val="18"/>
          <w:i w:val="1"/>
          <w:iCs w:val="1"/>
          <w:color w:val="auto"/>
        </w:rPr>
        <w:t>Diabetes</w:t>
      </w:r>
      <w:r>
        <w:rPr>
          <w:rFonts w:ascii="Times New Roman" w:cs="Times New Roman" w:eastAsia="Times New Roman" w:hAnsi="Times New Roman"/>
          <w:sz w:val="18"/>
          <w:szCs w:val="18"/>
          <w:color w:val="auto"/>
        </w:rPr>
        <w:t>, April 5, 2023.</w:t>
      </w:r>
    </w:p>
    <w:p>
      <w:pPr>
        <w:spacing w:after="0" w:line="223"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Information contained on or accessible through the websites referenced above are not a part of this prospectus, and the inclusion of the website addresses above are inactive textual references only.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4"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million (or approximately $        million if the underwriters exercise in full their option to purchase up to        additional shares of common stock), based on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8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of our common stock, which is the midpoint of the estimated price range set forth on the cover page of this prospectus, would increase or decrease, as applicable, the net proceeds to us from this offering by approximately $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common stock offered by us would increase or decrease, as applicable, the net proceeds to us from this offering by approximately $         million, assuming the assumed initial public offering price of $         per share of our common stock, which is the midpoint of the estimated price range set forth on the cover page of this prospectus, remains the same, and after deducting estimated underwriting discounts and commissions and estimated offering expenses payable by us.</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and create a public market for our common stock. We currently intend to use the net proceeds from this offering for general corporate purposes, including working capital, operating expenses, and capital expenditures. We may also use a portion of the net proceeds to repay outstanding borrowings under the MidCap Credit Agreement and/or to acquire complementary businesses, products, services, or technologies. We periodically evaluate strategic opportunities; however, we have no current understandings or commitments to enter into any such acquisitions or make any such investments.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MidCap Credit Agreement is composed of the MidCap Term Facility and the MidCap Revolving Facility, each of which matures on June 1, 2028. Interest is charged on any outstanding principal of the MidCap Term Facility at the sum of the 30-day forward-looking term SOFR rate, as published by CME Group Benchmark Administration Limited (“CBA”), plus 0.10% (“Adjusted SOFR”), plus 7.00%, subject to a floor of 2.50%. Interest on the MidCap Revolving Facility is charged at the sum of Adjusted SOFR plus 4.00%, subject to a floor of 2.50%. As of December 31, 2023, the outstanding balance on the MidCap Term Facility was $30.0 million, and the outstanding balance on the MidCap Revolving Facility was $1.0 million. See the section titled “Management’s Discussion and Analysis of Financial Condition and Results of Operations—Liquidity and Capital Resources” for more information.</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4"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The terms of the MidCap Credit Agreement also restrict our ability to pay cash dividends, and we may enter into additional credit agreements or other borrowing arrangements in the future that may restrict our ability to declare or pay cash dividends on our capital stock. Any future determinations regarding the declaration and payment of dividends, if any, will be at the discretion of our board of directors, subject to applicable law, and will depend upon then-existing conditions, including our financial condition, results of operations, contractual restrictions, general business conditions, capital requirements, and other factors our board of directors may deem relevant.</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4"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2023:</w:t>
      </w:r>
    </w:p>
    <w:p>
      <w:pPr>
        <w:spacing w:after="0" w:line="248" w:lineRule="exact"/>
        <w:rPr>
          <w:sz w:val="20"/>
          <w:szCs w:val="20"/>
          <w:color w:val="auto"/>
        </w:rPr>
      </w:pPr>
    </w:p>
    <w:p>
      <w:pPr>
        <w:ind w:left="1140" w:hanging="54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47" w:lineRule="exact"/>
        <w:rPr>
          <w:rFonts w:ascii="Times New Roman" w:cs="Times New Roman" w:eastAsia="Times New Roman" w:hAnsi="Times New Roman"/>
          <w:sz w:val="18"/>
          <w:szCs w:val="18"/>
          <w:color w:val="auto"/>
        </w:rPr>
      </w:pPr>
    </w:p>
    <w:p>
      <w:pPr>
        <w:jc w:val="both"/>
        <w:ind w:left="1140" w:hanging="545"/>
        <w:spacing w:after="0" w:line="25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Preferred Stock Conversion, (ii) the Series D Warrant Exercise, (iii) the conversion of all of our outstanding warrants exercisable for Series B redeemable convertible preferred stock into warrants exercisable for        shares of common stock immediately prior to the completion of this offering, and (iv) the filing and effectiveness of our amended and restated certificate of incorporation, which will become effective immediately prior to the completion of this offering; and</w:t>
      </w:r>
    </w:p>
    <w:p>
      <w:pPr>
        <w:spacing w:after="0" w:line="206"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giving effect to the pro forma adjustments discussed above, and our receipt of estimated net proceeds</w:t>
      </w:r>
    </w:p>
    <w:p>
      <w:pPr>
        <w:spacing w:after="0" w:line="26" w:lineRule="exact"/>
        <w:rPr>
          <w:sz w:val="20"/>
          <w:szCs w:val="20"/>
          <w:color w:val="auto"/>
        </w:rPr>
      </w:pPr>
    </w:p>
    <w:p>
      <w:pPr>
        <w:jc w:val="both"/>
        <w:ind w:left="1140"/>
        <w:spacing w:after="0" w:line="252" w:lineRule="auto"/>
        <w:rPr>
          <w:sz w:val="20"/>
          <w:szCs w:val="20"/>
          <w:color w:val="auto"/>
        </w:rPr>
      </w:pPr>
      <w:r>
        <w:rPr>
          <w:rFonts w:ascii="Times New Roman" w:cs="Times New Roman" w:eastAsia="Times New Roman" w:hAnsi="Times New Roman"/>
          <w:sz w:val="18"/>
          <w:szCs w:val="18"/>
          <w:color w:val="auto"/>
        </w:rPr>
        <w:t>from the sale of shares of common stock 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8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You should read this table together with the sections titled “Selected Consolidated Financial Data,” “Management’s Discussion and Analysis of Financial Condition and Results of Operations,” and our consolidated financial statements and the related notes included elsewhere in this prospectus. The pro forma as adjusted information below is illustrative only and our capitalization following the completion of this offering will depend on the actual initial public offering price and other terms of this offering determined at pricing.</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4"/>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Forma</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as Adjusted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10"/>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115,643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Redeemable convertible preferred stock, par value $0.001 per share; 120,689 shares</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118,219 shares issued and outstanding, actual; no shares authorized, issued</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 outstanding, pro forma and pro forma as adjusted</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449,034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gridSpan w:val="5"/>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Preferred stock, par value $0.001 per share; no shares authorized, issued and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actual;             shares authorized, no shares issued or outstanding,</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 forma and pro forma as adjusted</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gridSpan w:val="5"/>
          </w:tcPr>
          <w:p>
            <w:pPr>
              <w:ind w:left="340"/>
              <w:spacing w:after="0" w:line="195" w:lineRule="exact"/>
              <w:rPr>
                <w:sz w:val="20"/>
                <w:szCs w:val="20"/>
                <w:color w:val="auto"/>
              </w:rPr>
            </w:pPr>
            <w:r>
              <w:rPr>
                <w:rFonts w:ascii="Times New Roman" w:cs="Times New Roman" w:eastAsia="Times New Roman" w:hAnsi="Times New Roman"/>
                <w:sz w:val="18"/>
                <w:szCs w:val="18"/>
                <w:color w:val="auto"/>
              </w:rPr>
              <w:t>Common stock, par value $0.001 per share; 181,500 shares authorized, 22,164</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shares issued and outstanding, actual;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314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 xml:space="preserve">shares authorized and           </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4"/>
              </w:rPr>
              <w:t>shares issued and outstanding, pro forma;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314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w w:val="99"/>
              </w:rPr>
              <w:t>   shares authorized and shares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issued and outstanding, pro forma as adjusted</w:t>
            </w:r>
          </w:p>
        </w:tc>
        <w:tc>
          <w:tcPr>
            <w:tcW w:w="1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46,695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(396,829)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(350,112)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vMerge w:val="restart"/>
          </w:tcPr>
          <w:p>
            <w:pPr>
              <w:jc w:val="right"/>
              <w:ind w:right="133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of our common stock, which is the midpoint of the estimated price range set forth on the cover page of this prospectus, would increase or decrease, as applicable, each of our pro forma as adjusted cash and cash equivalents, additional paid-in-capital, total stockholders’ equity (deficit), and total capitalization by approximately $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common stock offered by us would increase or decrease, as applicable, each of our pro forma as adjusted cash and cash equivalents, additional paid-in-capital, total stockholders’ equity (deficit), and total capitalization by approximately $         million, assuming the assumed initial public offering price of $         per share of our common stock, which is the midpoint of the estimated price range set forth on the cover page of this prospectus, remains the same, and after deducting estimated underwriting discounts and commissions and estimated offering expenses payable by us.</w:t>
      </w:r>
    </w:p>
    <w:p>
      <w:pPr>
        <w:spacing w:after="0" w:line="19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additional shares of common stock at the assumed initial public offering price of $         per share of our common stock, which is the midpoint of the estimated price range set forth on the cover page of this prospectus, after deducting estimated underwriting discounts and commissions and estimated offering expenses payable by us, pro forma as adjusted cash and cash equivalents, additional paid-in capital, total stockholders’ equity (deficit), total capitalization, and shares of common stock outstanding as of December 31, 2023 would be $         , $         , $        , $         , and        shares, respectively.</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shares of our common stock outstanding as of December 31, 2023, after giving effect to the Preferred Stock Conversion and the Series D Warrant Exercise, and does not include:</w:t>
      </w:r>
    </w:p>
    <w:p>
      <w:pPr>
        <w:spacing w:after="0" w:line="189" w:lineRule="exact"/>
        <w:rPr>
          <w:sz w:val="20"/>
          <w:szCs w:val="20"/>
          <w:color w:val="auto"/>
        </w:rPr>
      </w:pPr>
    </w:p>
    <w:p>
      <w:pPr>
        <w:jc w:val="both"/>
        <w:ind w:left="1140" w:hanging="545"/>
        <w:spacing w:after="0" w:line="258"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248,625 shares of our common stock issuable upon the exercise of outstanding warrants, which includes our existing warrants to purchase shares of common stock as well as our existing Series B redeemable convertible preferred stock warrants that will convert into warrants exercisable for common stock immediately prior to the completion of this offering, as of December 31, 2023, with a weighted-average exercise price of $1.13 per share;</w:t>
      </w:r>
    </w:p>
    <w:p>
      <w:pPr>
        <w:spacing w:after="0" w:line="206"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30,649,511 shares of our common stock issuable upon the exercise of outstanding stock options as of December 31, 2023, with a weighted-average exercise price of $2.16 per share;</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3,897,714 shares of our common stock issuable upon the exercise of outstanding stock options granted subsequent to December 31, 2023, with a weighted-average exercise price of $2.75 per share; and</w:t>
      </w:r>
    </w:p>
    <w:p>
      <w:pPr>
        <w:spacing w:after="0" w:line="18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shares of our common stock reserved for future issuance under our equity compensation plans, consisting of:</w:t>
      </w:r>
    </w:p>
    <w:p>
      <w:pPr>
        <w:spacing w:after="0" w:line="248" w:lineRule="exact"/>
        <w:rPr>
          <w:sz w:val="20"/>
          <w:szCs w:val="20"/>
          <w:color w:val="auto"/>
        </w:rPr>
      </w:pPr>
    </w:p>
    <w:p>
      <w:pPr>
        <w:jc w:val="both"/>
        <w:ind w:left="1580" w:hanging="436"/>
        <w:spacing w:after="0" w:line="255" w:lineRule="auto"/>
        <w:tabs>
          <w:tab w:leader="none" w:pos="1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to be reserved for future issuance under the 2024 Plan, which will become effective on the date immediately prior to the date our registration statement relating to this offering becomes effective, including         shares of our common stock that remain available for future issuance under our 2011 Plan at the time the 2024 Plan becomes effective, which shares will cease to be available for issuance under the 2011 Plan at such time, as well as any future increases in the number of shares of common stock reserved for issuance under the 2024 Plan; and</w:t>
      </w:r>
    </w:p>
    <w:p>
      <w:pPr>
        <w:spacing w:after="0" w:line="211" w:lineRule="exact"/>
        <w:rPr>
          <w:rFonts w:ascii="Times New Roman" w:cs="Times New Roman" w:eastAsia="Times New Roman" w:hAnsi="Times New Roman"/>
          <w:sz w:val="18"/>
          <w:szCs w:val="18"/>
          <w:color w:val="auto"/>
        </w:rPr>
      </w:pPr>
    </w:p>
    <w:p>
      <w:pPr>
        <w:jc w:val="both"/>
        <w:ind w:left="1580" w:hanging="436"/>
        <w:spacing w:after="0" w:line="263" w:lineRule="auto"/>
        <w:tabs>
          <w:tab w:leader="none" w:pos="1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4"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December 31, 2023, our historical net tangible book value (deficit) was $(370.8) million, or $(16.73) per share of our common stock. Our historical net tangible book value (deficit) per share represents our total tangible assets less total liabilities and redeemable convertible preferred stock, divided by the aggregate number of shares of our common stock outstanding as of December 31, 2023.</w:t>
      </w:r>
    </w:p>
    <w:p>
      <w:pPr>
        <w:spacing w:after="0" w:line="175"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2023 was $        million, or $        per share. Pro forma net tangible book value per share represents tangible assets, less liabilities, divided by the aggregate number of shares of our common stock outstanding, after giving effect to:</w:t>
      </w:r>
    </w:p>
    <w:p>
      <w:pPr>
        <w:spacing w:after="0" w:line="200" w:lineRule="exact"/>
        <w:rPr>
          <w:sz w:val="20"/>
          <w:szCs w:val="20"/>
          <w:color w:val="auto"/>
        </w:rPr>
      </w:pPr>
    </w:p>
    <w:p>
      <w:pPr>
        <w:spacing w:after="0" w:line="217" w:lineRule="exact"/>
        <w:rPr>
          <w:sz w:val="20"/>
          <w:szCs w:val="20"/>
          <w:color w:val="auto"/>
        </w:rPr>
      </w:pPr>
    </w:p>
    <w:p>
      <w:pPr>
        <w:ind w:left="1140" w:hanging="54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Conversion;</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Warrant Exercise;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all of our outstanding warrants exercisable for Series B redeemable convertible preferred stock into warrants exercisable</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shares of common stock immediately prior to the completion of this offering; and</w:t>
      </w:r>
    </w:p>
    <w:p>
      <w:pPr>
        <w:spacing w:after="0" w:line="229" w:lineRule="exact"/>
        <w:rPr>
          <w:sz w:val="20"/>
          <w:szCs w:val="20"/>
          <w:color w:val="auto"/>
        </w:rPr>
      </w:pPr>
    </w:p>
    <w:p>
      <w:pPr>
        <w:ind w:left="1140" w:hanging="545"/>
        <w:spacing w:after="0" w:line="27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become effective immediately prior to the completion of this offering.</w:t>
      </w:r>
    </w:p>
    <w:p>
      <w:pPr>
        <w:spacing w:after="0" w:line="16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After giving further effect to the sale by us of        shares of our common stock in this offering at an assumed initial public offering price of $        per share, which is the midpoint of the estimated price range set forth on the cover page of this prospectus, and after deducting estimated underwriting discounts and commissions and estimated offering expenses payable by us, our pro forma as adjusted net tangible book value (deficit) as of December 31, 2023 would have been $        million, or $        per share. This represents an immediate increase in pro forma net tangible book value to existing stockholders of $        per share and an immediate dilution in pro forma net tangible book value to new investors of $        per share. Dilution per share represents the difference between the price per share to be paid by new investors for the shares of our common stock sold in this offering and the pro forma as adjusted net tangible book value per share immediately after this offering.</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48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 xml:space="preserv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December 31, 2023</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$(16.73)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Pro forma increase in net tangible book value per share as of December 31, 2023 attributable to the pro forma</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transactions described above</w:t>
            </w:r>
          </w:p>
        </w:tc>
        <w:tc>
          <w:tcPr>
            <w:tcW w:w="560" w:type="dxa"/>
            <w:vAlign w:val="bottom"/>
            <w:tcBorders>
              <w:bottom w:val="single" w:sz="8" w:color="auto"/>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2023</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participating in this</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offering</w:t>
            </w:r>
          </w:p>
        </w:tc>
        <w:tc>
          <w:tcPr>
            <w:tcW w:w="560" w:type="dxa"/>
            <w:vAlign w:val="bottom"/>
            <w:tcBorders>
              <w:bottom w:val="single" w:sz="8" w:color="auto"/>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the number of shares we sell, and other terms of this offering that will be determined at pricing. Each $1.00 increase or decrease in the assumed initial public offering price of $        per share,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54"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7" w:lineRule="auto"/>
        <w:rPr>
          <w:sz w:val="20"/>
          <w:szCs w:val="20"/>
          <w:color w:val="auto"/>
        </w:rPr>
      </w:pPr>
      <w:r>
        <w:rPr>
          <w:rFonts w:ascii="Times New Roman" w:cs="Times New Roman" w:eastAsia="Times New Roman" w:hAnsi="Times New Roman"/>
          <w:sz w:val="17"/>
          <w:szCs w:val="17"/>
          <w:color w:val="auto"/>
        </w:rPr>
        <w:t>which is the midpoint of the estimated price range set forth on the cover page of this prospectus, would increase or decrease, as applicable, our pro forma as adjusted net tangible book value per share after this offering by $        per share and the dilution in pro forma per share to investors participating in this offering by $        per share, assuming that the number of shares of common stock offered by us, as set forth on the cover page of this prospectus, remains the same, and after deducting estimated underwriting discounts and commissions and estimated offering expenses payable by us. Similarly, each 1.0 million share increase in the number of shares offered by us would increase our pro forma as adjusted net tangible book value per</w:t>
      </w:r>
    </w:p>
    <w:tbl>
      <w:tblPr>
        <w:tblLayout w:type="fixed"/>
        <w:tblInd w:w="160" w:type="dxa"/>
        <w:tblCellMar>
          <w:top w:w="0" w:type="dxa"/>
          <w:left w:w="0" w:type="dxa"/>
          <w:bottom w:w="0" w:type="dxa"/>
          <w:right w:w="0" w:type="dxa"/>
        </w:tblCellMar>
      </w:tblPr>
      <w:tr>
        <w:trPr>
          <w:trHeight w:val="197"/>
        </w:trPr>
        <w:tc>
          <w:tcPr>
            <w:tcW w:w="2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share after this offering by $    </w:t>
            </w:r>
          </w:p>
        </w:tc>
        <w:tc>
          <w:tcPr>
            <w:tcW w:w="2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8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per share and decrease the dilution in pro forma as adjusted net tangible book value per share to investors</w:t>
            </w:r>
          </w:p>
        </w:tc>
      </w:tr>
      <w:tr>
        <w:trPr>
          <w:trHeight w:val="21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participating in this offering by $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8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per share, and each 1.0 million share decrease in the number of shares offered by us would decrease our pro</w:t>
            </w:r>
          </w:p>
        </w:tc>
      </w:tr>
      <w:tr>
        <w:trPr>
          <w:trHeight w:val="214"/>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forma as adjusted net tangible book value per share after this offering by $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per share and increase the dilution in pro forma as adjusted net</w:t>
            </w:r>
          </w:p>
        </w:tc>
      </w:tr>
      <w:tr>
        <w:trPr>
          <w:trHeight w:val="23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tangible book value per share to investors participating in this offering by $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per share, in each case assuming the initial public offering price of</w:t>
            </w:r>
          </w:p>
        </w:tc>
      </w:tr>
    </w:tbl>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        per share remains the same, and after deducting estimated underwriting discounts and commissions and estimated offering expenses payable by us.</w:t>
      </w:r>
    </w:p>
    <w:p>
      <w:pPr>
        <w:spacing w:after="0" w:line="18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additional shares of common stock, the pro forma as adjusted net tangible book value (deficit) per share of our common stock after this offering would be $        per share, and the dilution in pro forma as adjusted net tangible book value (deficit) per share to investors participating in this offering would be $        per share of our common stock, in each case</w:t>
      </w:r>
    </w:p>
    <w:p>
      <w:pPr>
        <w:spacing w:after="0" w:line="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assuming the assumed initial public offering price of $        per share, which is the midpoint of the estimated price range set forth on the cover page of this prospectus.</w:t>
      </w:r>
    </w:p>
    <w:p>
      <w:pPr>
        <w:spacing w:after="0" w:line="18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following table summarizes, as of December 31, 2023, on a pro forma as adjusted basis as described above, the number of shares of our common stock, the total consideration and the average price per share (1) paid to us by existing stockholders and (2) to be paid by new investors acquiring our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 As the table below shows, investors participating in this offering will pay an average price per share substantially higher than our existing stockholders paid.</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00" w:type="dxa"/>
            <w:vAlign w:val="bottom"/>
            <w:vMerge w:val="restart"/>
          </w:tcPr>
          <w:p>
            <w:pPr>
              <w:spacing w:after="0"/>
              <w:rPr>
                <w:sz w:val="13"/>
                <w:szCs w:val="13"/>
                <w:color w:val="auto"/>
              </w:rPr>
            </w:pPr>
          </w:p>
        </w:tc>
        <w:tc>
          <w:tcPr>
            <w:tcW w:w="16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00" w:type="dxa"/>
            <w:vAlign w:val="bottom"/>
            <w:vMerge w:val="restart"/>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3"/>
        </w:trPr>
        <w:tc>
          <w:tcPr>
            <w:tcW w:w="61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2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restart"/>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49"/>
        </w:trPr>
        <w:tc>
          <w:tcPr>
            <w:tcW w:w="6140" w:type="dxa"/>
            <w:vAlign w:val="bottom"/>
          </w:tcPr>
          <w:p>
            <w:pPr>
              <w:spacing w:after="0"/>
              <w:rPr>
                <w:sz w:val="4"/>
                <w:szCs w:val="4"/>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4"/>
                <w:szCs w:val="4"/>
                <w:color w:val="auto"/>
              </w:rPr>
            </w:pPr>
          </w:p>
        </w:tc>
        <w:tc>
          <w:tcPr>
            <w:tcW w:w="980" w:type="dxa"/>
            <w:vAlign w:val="bottom"/>
            <w:gridSpan w:val="2"/>
            <w:vMerge w:val="restart"/>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4"/>
                <w:szCs w:val="4"/>
                <w:color w:val="auto"/>
              </w:rPr>
            </w:pPr>
          </w:p>
        </w:tc>
        <w:tc>
          <w:tcPr>
            <w:tcW w:w="980" w:type="dxa"/>
            <w:vAlign w:val="bottom"/>
            <w:gridSpan w:val="2"/>
            <w:vMerge w:val="restart"/>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6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7"/>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which is the midpoint of the estimated price range set forth on the cover page of this prospectus, would increase or decrease, as applicable, the total consideration paid by new investors and total consideration paid by all stockholders by approximately $         million, assuming that the number of shares of common stock offered by us, as set forth on the cover page of this prospectus, remains the same, before deducting estimated underwriting discounts and commissions and estimated offering expenses payable by us. Similarly, each 1.0 million share increase or decrease in the number of shares offered by us would increase or decrease, as applicable, the total consideration paid by new investors and total consideration paid by all stockholders by $        million, assuming the assumed initial public offering price of $        per share of common stock remains the same, before deducting estimated underwriting discounts and commissions.</w:t>
      </w:r>
    </w:p>
    <w:p>
      <w:pPr>
        <w:spacing w:after="0" w:line="187" w:lineRule="exact"/>
        <w:rPr>
          <w:sz w:val="20"/>
          <w:szCs w:val="20"/>
          <w:color w:val="auto"/>
        </w:rPr>
      </w:pPr>
    </w:p>
    <w:p>
      <w:pPr>
        <w:jc w:val="both"/>
        <w:ind w:left="160" w:firstLine="436"/>
        <w:spacing w:after="0" w:line="259" w:lineRule="auto"/>
        <w:rPr>
          <w:sz w:val="20"/>
          <w:szCs w:val="20"/>
          <w:color w:val="auto"/>
        </w:rPr>
      </w:pPr>
      <w:r>
        <w:rPr>
          <w:rFonts w:ascii="Times New Roman" w:cs="Times New Roman" w:eastAsia="Times New Roman" w:hAnsi="Times New Roman"/>
          <w:sz w:val="18"/>
          <w:szCs w:val="18"/>
          <w:color w:val="auto"/>
        </w:rPr>
        <w:t xml:space="preserve">Except as otherwise indicated, the above discussion and tables assume no exercise of the underwriters’ option to purchase additional shares. If the underwriters exercise in full their option to purchase up to         additional shares of common stock, our existing stockholders would own       </w:t>
      </w:r>
    </w:p>
    <w:p>
      <w:pPr>
        <w:ind w:left="340" w:hanging="173"/>
        <w:spacing w:after="0"/>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and our new investors would own            % of the total number of shares of our common stock outstanding upon the completion of this offering.</w:t>
      </w:r>
    </w:p>
    <w:p>
      <w:pPr>
        <w:spacing w:after="0" w:line="146"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4"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shares of our common stock outstanding as of December 31, 2023, after giving effect to the Preferred Stock Conversion and the Series D Warrant Exercise, and does not include:</w:t>
      </w:r>
    </w:p>
    <w:p>
      <w:pPr>
        <w:spacing w:after="0" w:line="189" w:lineRule="exact"/>
        <w:rPr>
          <w:sz w:val="20"/>
          <w:szCs w:val="20"/>
          <w:color w:val="auto"/>
        </w:rPr>
      </w:pPr>
    </w:p>
    <w:p>
      <w:pPr>
        <w:jc w:val="both"/>
        <w:ind w:left="1140" w:hanging="545"/>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248,625 shares of our common stock issuable upon the exercise of outstanding warrants, which includes our existing warrants to purchase shares of common stock as well as our existing Series B redeemable convertible preferred stock warrants that will convert into warrants exercisable for common stock immediately prior to the completion of this offering, as of December 31, 2023, with a weighted-average exercise price of $1.13 per share;</w:t>
      </w:r>
    </w:p>
    <w:p>
      <w:pPr>
        <w:spacing w:after="0" w:line="206"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30,649,511 shares of our common stock issuable upon the exercise of outstanding stock options as of December 31, 2023, with a weighted-average exercise price of $2.16 per share;</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3,897,714 shares of our common stock issuable upon the exercise of outstanding stock options granted subsequent to December 31, 2023, with a weighted-average exercise price of $2.75 per share; and</w:t>
      </w:r>
    </w:p>
    <w:p>
      <w:pPr>
        <w:spacing w:after="0" w:line="18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shares of our common stock reserved for future issuance under our equity compensation plans, consisting of:</w:t>
      </w:r>
    </w:p>
    <w:p>
      <w:pPr>
        <w:spacing w:after="0" w:line="248" w:lineRule="exact"/>
        <w:rPr>
          <w:sz w:val="20"/>
          <w:szCs w:val="20"/>
          <w:color w:val="auto"/>
        </w:rPr>
      </w:pPr>
    </w:p>
    <w:p>
      <w:pPr>
        <w:jc w:val="both"/>
        <w:ind w:left="1580" w:hanging="436"/>
        <w:spacing w:after="0" w:line="255" w:lineRule="auto"/>
        <w:tabs>
          <w:tab w:leader="none" w:pos="1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to be reserved for future issuance under the 2024 Plan, which will become effective on the date immediately prior to the date our registration statement relating to this offering becomes effective, including         shares of our common stock that remain available for future issuance under our 2011 Plan at the time the 2024 Plan becomes effective, which shares will cease to be available for issuance under the 2011 Plan at such time, as well as any future increases in the number of shares of common stock reserved for issuance under the 2024 Plan; and</w:t>
      </w:r>
    </w:p>
    <w:p>
      <w:pPr>
        <w:spacing w:after="0" w:line="211" w:lineRule="exact"/>
        <w:rPr>
          <w:rFonts w:ascii="Times New Roman" w:cs="Times New Roman" w:eastAsia="Times New Roman" w:hAnsi="Times New Roman"/>
          <w:sz w:val="18"/>
          <w:szCs w:val="18"/>
          <w:color w:val="auto"/>
        </w:rPr>
      </w:pPr>
    </w:p>
    <w:p>
      <w:pPr>
        <w:jc w:val="both"/>
        <w:ind w:left="1580" w:hanging="436"/>
        <w:spacing w:after="0" w:line="263" w:lineRule="auto"/>
        <w:tabs>
          <w:tab w:leader="none" w:pos="1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75"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To the extent that any outstanding warrants or options are exercised, new options or other equity awards are issued under our equity incentive plans, or we issue additional shares in the future, there will be further dilution to new investors participating in this offering.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4"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prospectus. This discussion contains forward-looking statements that involve risks and uncertainties. Our actual results could differ materially from management’s expectations as a result of various factors, including, but not limited to, those discussed in the sections titled “Risk Factors” and “Special Note Regarding Forward-Looking Statements.”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1"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Our mission is to inspire and enable people to make lasting health changes on their own terms. We deliver virtual care </w:t>
      </w:r>
      <w:r>
        <w:rPr>
          <w:rFonts w:ascii="Times New Roman" w:cs="Times New Roman" w:eastAsia="Times New Roman" w:hAnsi="Times New Roman"/>
          <w:sz w:val="18"/>
          <w:szCs w:val="18"/>
          <w:b w:val="1"/>
          <w:bCs w:val="1"/>
          <w:i w:val="1"/>
          <w:iCs w:val="1"/>
          <w:color w:val="auto"/>
        </w:rPr>
        <w:t>between</w:t>
      </w:r>
      <w:r>
        <w:rPr>
          <w:rFonts w:ascii="Times New Roman" w:cs="Times New Roman" w:eastAsia="Times New Roman" w:hAnsi="Times New Roman"/>
          <w:sz w:val="18"/>
          <w:szCs w:val="18"/>
          <w:color w:val="auto"/>
        </w:rPr>
        <w:t xml:space="preserve"> doctor’s visits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spacing w:after="0" w:line="17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and health systems that cover our programs for patients, among other types of customers. We also work closely with health plans and PBMs that either cover our programs for segments of their members as our customers or act as channel partners reselling our programs to their own end customers.</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musculoskeletal (“MSK”) conditions; a newly launched glucagon-like peptide-1 agonists (“GLP-1”) Care Track; and behavioral health support across all programs. As we have expanded, we have kept our integrated human and technology approach at the center of our business model and have continued to base our program design on clinically validated evidence.</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Since our founding, our programs have had a meaningful, positive impact. As of March 31, 2024, we had more than 2,000 customers, over 460,000 total members enrolled in one or more programs, and had supported over one million members since launch. We count a member as enrolled in a program to the extent their participation was billed in the preceding 12 months. We believe our programs serve a clear need for our customers and channel partners as well as our members, which is reinforced by our strong customer satisfaction and member engagement rates. In 2023, our average customer satisfaction rate for the year was over 90%. In 2023, more than 55% of members still engaged with our cardiometabolic programs at least once per month after a year in the program, and over 50% still engaged monthly after two years. On average, in 2023, members in a cardiometabolic program engaged more than 30 times per month throughout their first year. We are proud of our progress, and we are just getting started.</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4"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203835</wp:posOffset>
            </wp:positionV>
            <wp:extent cx="6700520" cy="68535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00520" cy="685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139"/>
          </w:cols>
          <w:pgMar w:left="320" w:top="454"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Since launching our first program in 2012, we observed a demand from our customers and channel partners for us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spacing w:after="0" w:line="203" w:lineRule="exact"/>
        <w:rPr>
          <w:sz w:val="20"/>
          <w:szCs w:val="20"/>
          <w:color w:val="auto"/>
        </w:rPr>
      </w:pPr>
    </w:p>
    <w:p>
      <w:pPr>
        <w:jc w:val="both"/>
        <w:ind w:left="1140" w:hanging="545"/>
        <w:spacing w:after="0" w:line="255"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Prevention &amp; Weight Health</w:t>
      </w:r>
      <w:r>
        <w:rPr>
          <w:rFonts w:ascii="Times New Roman" w:cs="Times New Roman" w:eastAsia="Times New Roman" w:hAnsi="Times New Roman"/>
          <w:sz w:val="18"/>
          <w:szCs w:val="18"/>
          <w:color w:val="auto"/>
        </w:rPr>
        <w:t>: Omada for Prevention &amp; Weight Health, our first program launched in 2012, focuses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prediabetes and weight management, two critical elements of preventing diabetes and heart disease. Informed by guidelines and recommendations set by the U.S. Preventive Services Task Force and the Centers for Disease Control and Prevention (the “CDC”), the goal of the program is to enable members to lose weight, maintain a healthy weight, and increase physical activity. We pair members with a dedicated health coach for the entirety of their experience and support them with a connected scale, a personalized learning path, and support from peer groups to build community.</w:t>
      </w:r>
    </w:p>
    <w:p>
      <w:pPr>
        <w:spacing w:after="0" w:line="182" w:lineRule="exact"/>
        <w:rPr>
          <w:rFonts w:ascii="Times New Roman" w:cs="Times New Roman" w:eastAsia="Times New Roman" w:hAnsi="Times New Roman"/>
          <w:sz w:val="18"/>
          <w:szCs w:val="18"/>
          <w:color w:val="auto"/>
        </w:rPr>
      </w:pPr>
    </w:p>
    <w:p>
      <w:pPr>
        <w:jc w:val="both"/>
        <w:ind w:left="1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Prevention &amp; Weight Health program as our cardiometabolic programs.</w:t>
      </w:r>
    </w:p>
    <w:p>
      <w:pPr>
        <w:spacing w:after="0" w:line="207" w:lineRule="exact"/>
        <w:rPr>
          <w:rFonts w:ascii="Times New Roman" w:cs="Times New Roman" w:eastAsia="Times New Roman" w:hAnsi="Times New Roman"/>
          <w:sz w:val="18"/>
          <w:szCs w:val="18"/>
          <w:color w:val="auto"/>
        </w:rPr>
      </w:pPr>
    </w:p>
    <w:p>
      <w:pPr>
        <w:jc w:val="both"/>
        <w:ind w:left="1140" w:hanging="545"/>
        <w:spacing w:after="0" w:line="25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Diabetes</w:t>
      </w:r>
      <w:r>
        <w:rPr>
          <w:rFonts w:ascii="Times New Roman" w:cs="Times New Roman" w:eastAsia="Times New Roman" w:hAnsi="Times New Roman"/>
          <w:sz w:val="18"/>
          <w:szCs w:val="18"/>
          <w:color w:val="auto"/>
        </w:rPr>
        <w:t>: Launched in 2018, Omada for Diabetes is designed to help members with type 1 or type 2 diabetes achieve stable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glucose levels and meet and reach their A1C reduction goals based in part on treatment guidelines from the American Diabetes Association. According to the CDC, in 2023, 90% of people with type 2 diabetes had obesity or were overweight, and so we also support members with reaching and maintaining a healthy weight through modifications in diet, exercise, and other behaviors. Members are paired with a dedicated, professionally trained health coach and a Certified Diabetes Care and Education Specialist. Members are also provided with connected third-party devices based on their needs, which can include a connected scale and a blood glucose meter. We can also facilitate prescriptions for connected glucose monitor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spacing w:after="0" w:line="210" w:lineRule="exact"/>
        <w:rPr>
          <w:rFonts w:ascii="Times New Roman" w:cs="Times New Roman" w:eastAsia="Times New Roman" w:hAnsi="Times New Roman"/>
          <w:sz w:val="18"/>
          <w:szCs w:val="18"/>
          <w:color w:val="auto"/>
        </w:rPr>
      </w:pPr>
    </w:p>
    <w:p>
      <w:pPr>
        <w:jc w:val="both"/>
        <w:ind w:left="1140" w:hanging="545"/>
        <w:spacing w:after="0" w:line="251"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Hypertension</w:t>
      </w:r>
      <w:r>
        <w:rPr>
          <w:rFonts w:ascii="Times New Roman" w:cs="Times New Roman" w:eastAsia="Times New Roman" w:hAnsi="Times New Roman"/>
          <w:sz w:val="18"/>
          <w:szCs w:val="18"/>
          <w:color w:val="auto"/>
        </w:rPr>
        <w:t>: Launched in 2018, Omada for Hypertension is designed to help reduce members’ blood pressure and help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healthy blood pressure based on clinical protocols recommended by the American Medical Association, the American College of Cardiology, and the American Heart Association. As with type 2 diabetes, hypertension is often comorbid with obesity; according to a June 2021 report from the National Center of Health Statistics that reviewed data between 2017 and 2020, approximately 58% of U.S. adults who were classified as having obesity also had hypertension. We help members in need of weight management support in reaching and maintaining a healthy weight through modifications to diet, exercise, and other behaviors. Members are paired with a dedicated, professionally trained health coach and a Certified Diabetes Care and Education Specialist who provide support and resources to improve blood pressure control through connected blood pressure monitors, secure asynchronous messaging, and group board discussions, as well as frequent and proactive check-ins. As in our Prevention &amp; Weight Health program, members are engaged with a personalized learning path and supported by peer groups.</w:t>
      </w:r>
    </w:p>
    <w:p>
      <w:pPr>
        <w:spacing w:after="0" w:line="215"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MSK</w:t>
      </w:r>
      <w:r>
        <w:rPr>
          <w:rFonts w:ascii="Times New Roman" w:cs="Times New Roman" w:eastAsia="Times New Roman" w:hAnsi="Times New Roman"/>
          <w:sz w:val="18"/>
          <w:szCs w:val="18"/>
          <w:color w:val="auto"/>
        </w:rPr>
        <w:t>: First offered in 2020, Omada for MSK connects individuals to licensed physical therapists for consultation and virtual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4"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color w:val="auto"/>
        </w:rPr>
        <w:t>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long-term health. Our education library includes hundreds of pieces of content, ranging from articles to interactive media and videos.</w:t>
      </w:r>
    </w:p>
    <w:p>
      <w:pPr>
        <w:spacing w:after="0" w:line="203" w:lineRule="exact"/>
        <w:rPr>
          <w:sz w:val="20"/>
          <w:szCs w:val="20"/>
          <w:color w:val="auto"/>
        </w:rPr>
      </w:pPr>
    </w:p>
    <w:p>
      <w:pPr>
        <w:jc w:val="both"/>
        <w:ind w:left="1140" w:hanging="545"/>
        <w:spacing w:after="0" w:line="279" w:lineRule="auto"/>
        <w:tabs>
          <w:tab w:leader="none" w:pos="1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Omada GLP-1 Care Track</w:t>
      </w:r>
      <w:r>
        <w:rPr>
          <w:rFonts w:ascii="Times New Roman" w:cs="Times New Roman" w:eastAsia="Times New Roman" w:hAnsi="Times New Roman"/>
          <w:sz w:val="17"/>
          <w:szCs w:val="17"/>
          <w:color w:val="auto"/>
        </w:rPr>
        <w:t>: Launched in 2023, Omada’s GLP-1 Care Track is designed to support members on a GLP-1 therapy—while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also engaged in one of our cardiometabolic programs—to enable their success before, during, and after GLP-1 therapy. The GLP-1 Care Track is intended to build and enhance outcomes from the combination of our virtual programs and the member’s medication, with the ultimate goal of supporting members to achieve and maintain weight loss long-term—even after they decide to discontinue GLP-1 therapy.</w:t>
      </w:r>
    </w:p>
    <w:p>
      <w:pPr>
        <w:spacing w:after="0" w:line="1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Business Model Overview</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38% from $89.2 million to $122.8 million for the years ended December 31, 2022 and 2023, respectively. We incurred net losses of $72.5 million and $67.5 million for the years ended December 31, 2022 and 2023, respectively.</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and health systems that cover our programs for patients, among other types of customers. We also work closely with health plans and PBMs that either cover our programs for segments of their members as our customers or act as channel partners reselling our programs to their own end customers. We generate revenue from sales to these customers and channel partners for the services that we provide to members. We generate services revenue by providing access to our programs for prevention &amp; weight health, diabetes, hypertension, and MSK conditions and hardware revenue from connected third-party devices, which are provided to the member upon enrollment in our cardiometabolic programs. Upfront payments or billings received from customers and channel partners are initially recorded as deferred revenue on the balance sheet and recognized as revenue as we fulfill our obligations. We believe our revenue is highly recurring in nature, with a three-year average customer retention rate of over 90% as of December 31, 2023.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104% and 108% for the years ended December 31, 2022 and 2023, respectively.</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go-to-market strategy follows a business-to-business-to-consumer (“B2B2C”) motion, and as of March 31, 2024, we had more than 2,000 customers and over 460,000 total members enrolled in one or more programs that were billable in the preceding 12 months. We sell primarily to employers, who either contract with Omada directly or obtain access to our programs through a channel partner, such as a health plan or PBM, and a key part of our go-to-market strategy is winning new employer contracts during the annual benefits selling season. During that time, our sales and marketing team engages with human resources professionals, benefits managers, and decision makers across various industries to sign up new customers. We sell our programs directly to customers and through channel partners. This selling season typically spans from late spring to early fall, aligning implementation with benefits enrollment schedules and allowing us to launch our products for customers at the start of the following year.</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remainder of our revenue is derived from our inclusion as a benefit in fully insured health plans, from PBMs through specific therapeutic programs, or via health systems that assume the cost of care for their patients.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4"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We leverage our partner sales team, which engages with health plans and PBMs, to identify new, and expand existing, partner channels through which we can sell directly to partners’ end customers or access and enroll their members.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Enrollment and Outreach</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After a customer or channel partner contracts with us, we collaborate to support enrollment of covered employees or dependents, covered health plan or PBM members, or patients. Our customer experience and partner management teams, account executives, and engineering and product teams work together to support technical implementation and launch of outreach communications before members begin enrolling into our programs. We work with our customers and channel partners to increase awareness through outreach campaigns designed to inform eligible members of their ability to join the respective Omada program. Outreach campaigns can be led by the customer or channel partner or led by Omada, leveraging our preferred methods and materials. The cost of our enrollment and outreach teams are recognized primarily within sales and marketing expense.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Care Team &amp; Devices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Once a member enrolls into an Omada program, we support the member with an Omada Care Team and our member-facing application, and we provide the member with a set of connected third-party devices. Each Care Team consists of a primary health coach, relevant specialists, and/or a licensed physical therapist, depending on the program. Member Support Agents also provide device and platform support to members across all programs, via phone, email, and self-service support articles. The connected third-party devices supplied in connection with our programs can include scales, blood pressure monitors, blood glucose monitors, and continuous glucose monitors. The cost of our Care Team and our connected third-party devices are all recognized within cost of revenue.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New Customers and Channel Partners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believe there is substantial opportunity to further grow our base of customers and channel partners in our large addressable market. Historically, we have relied on a limited number of customers and channel partners, including employers, health plans, PBMs, health systems, and government entities,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that we work with as channel partners also cover our programs directly, for segments of their own members, as our customers.</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seek to grow our business by acquiring more covered lives across multiple buyer segments: selling to new customers and channel partners as well as expanding within our existing channel partners to new lines of business. Our diverse go-to-market strategy affords us flexibility to pursue growth via multiple distinct channels, including through new channels and in lines of business where we have yet to place significant focus, such as Medicare Advantage.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4"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and Channel Partner Retention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ability to increase revenue depends on maintaining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 The strength of our relationships with customers is evidenced in our three-year average customer retention rate of 90%, our customer satisfaction rate of over 90%, and our customer net promoter score of 75, each as of December 31, 2023.</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Program Expansion within Existing Customer Base</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believe that the ability to grow the share of revenue that we generate from existing customers is a key driver of long-term growth. We have seen significant expansion over time as existing customers and channel partners have added our newer Diabetes and Hypertension programs, and we remain focused on driving multi-program adoption as a key growth lever. We believe there is still opportunity to continue multi-condition expansion. As of December 31, 2023, approximately 25% of our customers covered more than one Omada program, which leaves sizable opportunities to sell additional programs.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Enrollment</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Having served over one million members since launch, there is still significant opportunity to enroll more members.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Engagement and Outcomes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 In 2023, more than 55% of members were still engaged with our cardiometabolic programs at least once per month after a year in the program. We are focused on continuing to provide engaging content and tools, foster meaningful personal connections, and demonstrate positive clinical outcomes for our members.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expect to continue to focus on long-term growth of our core business, while selectively investing in areas that enhance our platform, programs, or operations. Though our focus remains on continued progress in our current care areas, we monitor the needs of our customers and channel partners, and we believe we are well positioned to respond to their requirements organically or, where appropriate, to add new capabilities through partnerships and potential acquisitions.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Metric</w:t>
      </w:r>
    </w:p>
    <w:p>
      <w:pPr>
        <w:spacing w:after="0" w:line="22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We monitor the following key metric to help us evaluate our business, measure our performance, identify trends affecting our business, formulate business plans, and make strategic decisions.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Total Members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 member is a person who is enrolled in one of our virtual care programs and that generated a billing event in the preceding 12 months. We believe growth in the number of members is a key indicator of the performance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4"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 For the fiscal years ended December 31, 2022 and 2023, there were approximately 299,000 and 391,000 members, respectively.</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generate services revenue from our customers by providing access to our virtual care programs in which our Care Teams implement clinically validated behavior change protocols for individuals living with diabetes, hypertension, prediabetes, and weight management issues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during the member’s service period. The price for Omada for Diabetes and Omada for Hypertension is generally higher than the price for Omada for Prevention &amp; Weight Health.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spacing w:after="0" w:line="19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Sales from or through our top five health plan and PBM partners, including any sales to these entities as customers and sales through these entities as channel partners, represented 59% and 68% of our revenue for the years ended December 31, 2022 and 2023, respectively. As of and for the year ended December 31, 2023, we had one health plan or PBM that accounted for 28% of our accounts receivable, net and 36% of our revenue, and a second health plan or PBM that accounted for 22% of our accounts receivable, net and 19% of our revenue. As of and for the year ended December 31, 2022, we had one health plan or PBM that accounted for 23% of our accounts receivable, net and 40% of our revenue, and a second health plan or PBM that accounted for 17% of our accounts receivable, net and less than 10% of our revenue. Each of these health plans or PBMs are affiliates of The Cigna Group.</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to or closely correlated to the delivery of our virtual care programs and member support. Cost of services revenue include salaries, share-based compensation expense, employee bonuses and benefits, data server management expense, hosting costs, connectivity fees for cellular devices, and the amortization of capitalized internal-use software and developed technology. Costs of hardware include salaries, share-based compensation expense, employee bonuses and benefits, equipment costs, shipping and logistics costs, and provisions for excess and obsolete inventory.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4"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of additional programs to our existing customers, the mix of programs covered by our customers and channel partners and members enrolled in those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(“R&amp;D”), sales and marketing, and general and administrative expenses. Personnel costs are the most significant component of operating expenses and consist of salaries, share-based compensation expense, and employee bonuses and benefits. Operating expenses also include professional and consulting services and the allocation of shared general corporate expenses primarily related to technology.</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R&amp;D expenses support our efforts to add new features and content to our programs and to ensure the reliability and scalability of our virtual care platform. R&amp;D expenses consist primarily of salaries, share-based compensation expense, employee bonuses and benefits, hosting costs, and the allocation of shared general corporate expenses primarily related to technology. R&amp;D costs are expensed as incurred.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expect to make continued investments in our virtual care platform in connection with our future growth.</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Sales and marketing expenses consist of salaries, share-based compensation expense, employee bonuses and benefits, commissions for our sales and marketing teams, reseller fees, promotional marketing materials, and advertising costs. Sales and marketing expenses also include costs for third-party consulting services and the allocation of shared general corporate expenses primarily related to technology.</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sales and marketing teams are responsible for growing and maintaining our relationships with customers and channel partners and increasing enrollments.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including salaries, share-based compensation expense, employee bonuses and benefits for our finance, legal, compliance, human resources, and administrative teams, software and infrastructure costs, professional fees, and the allocation of shared general corporate expenses primarily related to technology.</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income consists of income earned on our cash and cash equivalents.</w:t>
      </w:r>
    </w:p>
    <w:p>
      <w:pPr>
        <w:spacing w:after="0" w:line="1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4"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expense consists of interest costs associated with our debt financing, including amortization of debt issuance costs.</w:t>
      </w: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classify our redeemable convertible preferred stock warrants and common stock warrants as liabilities on our consolidated balance sheets. We remeasure the warrant liabilities to fair value at each reporting date and recognize changes in the fair value of the warrant liabilities in our consolidated statements of operations. We will continue to adjust the warrant liabilities for changes in fair value until the earlier of the expiration or exercise of the redeemable convertible preferred stock warrants and common stock warrants, or upon the conversion of our Series B redeemable convertible preferred stock warrants into warrants to purchase common stock upon the closing of this offering.</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this offering, the warrants to purchase shares of our Series D redeemable convertible preferred stock will be automatically exercised in accordance with its terms, and the warrants to purchase shares of our Series B redeemable convertible preferred stock will become exercisable for shares of common stock, at which time we expect to adjust the warrant liabilities to fair value prior to reclassifying the warrant liabilities to additional paid-in capital. As a result, following the closing of this offering, we expect the redeemable convertible preferred stock warrants will no longer be subject to fair value accounting.</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loss on debt extinguishment for the year ended December 31, 2023 consisted primarily of unamortized debt issuance costs and prepayment fees related to that certain credit agreement and guaranty, dated as of May 18, 2020, by and among us, the subsidiary guarantors and lenders from time to time party thereto, and Perceptive Credit Holdings III, LP (the “Perceptive Credit Agreement”), described in the subsection titled “Liquidity and Capital Resources.”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5" w:lineRule="exact"/>
        <w:rPr>
          <w:sz w:val="20"/>
          <w:szCs w:val="20"/>
          <w:color w:val="auto"/>
        </w:rPr>
      </w:pPr>
    </w:p>
    <w:p>
      <w:pPr>
        <w:jc w:val="both"/>
        <w:ind w:left="160" w:firstLine="436"/>
        <w:spacing w:after="0" w:line="308" w:lineRule="auto"/>
        <w:rPr>
          <w:sz w:val="20"/>
          <w:szCs w:val="20"/>
          <w:color w:val="auto"/>
        </w:rPr>
      </w:pPr>
      <w:r>
        <w:rPr>
          <w:rFonts w:ascii="Times New Roman" w:cs="Times New Roman" w:eastAsia="Times New Roman" w:hAnsi="Times New Roman"/>
          <w:sz w:val="17"/>
          <w:szCs w:val="17"/>
          <w:color w:val="auto"/>
        </w:rPr>
        <w:t>We are subject to income taxes in U.S federal, state, and local jurisdictions in which we conduct business. We maintain a full valuation allowance on our federal and state deferred tax assets as we have concluded that it is not more likely than not that the deferred tax assets will be realized.</w:t>
      </w:r>
    </w:p>
    <w:p>
      <w:pPr>
        <w:spacing w:after="0" w:line="13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account for uncertain tax positions in accordance with Accounting Standards Codification (“ASC”) 740-10, </w:t>
      </w:r>
      <w:r>
        <w:rPr>
          <w:rFonts w:ascii="Times New Roman" w:cs="Times New Roman" w:eastAsia="Times New Roman" w:hAnsi="Times New Roman"/>
          <w:sz w:val="18"/>
          <w:szCs w:val="18"/>
          <w:i w:val="1"/>
          <w:iCs w:val="1"/>
          <w:color w:val="auto"/>
        </w:rPr>
        <w:t>Accounting for Uncertainty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recognize the tax effects of an uncertain tax position only if it is more likely than not to be sustained based solely on its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merits as of the reporting date and only in an amount more likely than not to be sustained upon review by the tax authorities. Interest and penalties related to uncertain tax positions are classified in the consolidated financial statements as income tax expense.</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4"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derived from our consolidated statements of operations for each of the periods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7"/>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0" w:type="dxa"/>
            <w:vAlign w:val="bottom"/>
            <w:tcBorders>
              <w:top w:val="single" w:sz="8" w:color="auto"/>
              <w:bottom w:val="single" w:sz="8" w:color="auto"/>
            </w:tcBorders>
            <w:gridSpan w:val="3"/>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bottom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5"/>
          </w:tcPr>
          <w:p>
            <w:pPr>
              <w:jc w:val="center"/>
              <w:ind w:left="31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82,690</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114,531</w:t>
            </w: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8,253</w:t>
            </w:r>
          </w:p>
        </w:tc>
      </w:tr>
      <w:tr>
        <w:trPr>
          <w:trHeight w:val="221"/>
        </w:trPr>
        <w:tc>
          <w:tcPr>
            <w:tcW w:w="20" w:type="dxa"/>
            <w:vAlign w:val="bottom"/>
          </w:tcPr>
          <w:p>
            <w:pPr>
              <w:spacing w:after="0"/>
              <w:rPr>
                <w:sz w:val="19"/>
                <w:szCs w:val="19"/>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60" w:type="dxa"/>
            <w:vAlign w:val="bottom"/>
          </w:tcPr>
          <w:p>
            <w:pPr>
              <w:ind w:left="340"/>
              <w:spacing w:after="0" w:line="214" w:lineRule="exact"/>
              <w:rPr>
                <w:sz w:val="20"/>
                <w:szCs w:val="20"/>
                <w:color w:val="auto"/>
              </w:rPr>
            </w:pPr>
            <w:r>
              <w:rPr>
                <w:rFonts w:ascii="Times New Roman" w:cs="Times New Roman" w:eastAsia="Times New Roman" w:hAnsi="Times New Roman"/>
                <w:sz w:val="24"/>
                <w:szCs w:val="24"/>
                <w:color w:val="auto"/>
                <w:vertAlign w:val="subscript"/>
              </w:rPr>
              <w:t>Services</w:t>
            </w:r>
            <w:r>
              <w:rPr>
                <w:rFonts w:ascii="Times New Roman" w:cs="Times New Roman" w:eastAsia="Times New Roman" w:hAnsi="Times New Roman"/>
                <w:sz w:val="11"/>
                <w:szCs w:val="11"/>
                <w:color w:val="auto"/>
              </w:rPr>
              <w:t>(1)(2)(3)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36,735</w:t>
            </w: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16,078</w:t>
            </w:r>
          </w:p>
        </w:tc>
      </w:tr>
      <w:tr>
        <w:trPr>
          <w:trHeight w:val="227"/>
        </w:trPr>
        <w:tc>
          <w:tcPr>
            <w:tcW w:w="20" w:type="dxa"/>
            <w:vAlign w:val="bottom"/>
          </w:tcPr>
          <w:p>
            <w:pPr>
              <w:spacing w:after="0"/>
              <w:rPr>
                <w:sz w:val="19"/>
                <w:szCs w:val="19"/>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69,971</w:t>
            </w:r>
          </w:p>
        </w:tc>
      </w:tr>
      <w:tr>
        <w:trPr>
          <w:trHeight w:val="221"/>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33,738</w:t>
            </w:r>
          </w:p>
        </w:tc>
      </w:tr>
      <w:tr>
        <w:trPr>
          <w:trHeight w:val="214"/>
        </w:trPr>
        <w:tc>
          <w:tcPr>
            <w:tcW w:w="20" w:type="dxa"/>
            <w:vAlign w:val="bottom"/>
          </w:tcPr>
          <w:p>
            <w:pPr>
              <w:spacing w:after="0"/>
              <w:rPr>
                <w:sz w:val="18"/>
                <w:szCs w:val="18"/>
                <w:color w:val="auto"/>
              </w:rPr>
            </w:pPr>
          </w:p>
        </w:tc>
        <w:tc>
          <w:tcPr>
            <w:tcW w:w="836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(1)(2)(3)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58,484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66,249</w:t>
            </w: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35,981</w:t>
            </w:r>
          </w:p>
        </w:tc>
      </w:tr>
      <w:tr>
        <w:trPr>
          <w:trHeight w:val="227"/>
        </w:trPr>
        <w:tc>
          <w:tcPr>
            <w:tcW w:w="20" w:type="dxa"/>
            <w:vAlign w:val="bottom"/>
          </w:tcPr>
          <w:p>
            <w:pPr>
              <w:spacing w:after="0"/>
              <w:rPr>
                <w:sz w:val="19"/>
                <w:szCs w:val="19"/>
                <w:color w:val="auto"/>
              </w:rPr>
            </w:pPr>
          </w:p>
        </w:tc>
        <w:tc>
          <w:tcPr>
            <w:tcW w:w="8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(72,350)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w:t>
            </w:r>
          </w:p>
        </w:tc>
      </w:tr>
      <w:tr>
        <w:trPr>
          <w:trHeight w:val="214"/>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4,705</w:t>
            </w:r>
          </w:p>
        </w:tc>
      </w:tr>
      <w:tr>
        <w:trPr>
          <w:trHeight w:val="214"/>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(2,202)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(5,775)</w:t>
            </w: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1,048</w:t>
            </w:r>
          </w:p>
        </w:tc>
      </w:tr>
      <w:tr>
        <w:trPr>
          <w:trHeight w:val="221"/>
        </w:trPr>
        <w:tc>
          <w:tcPr>
            <w:tcW w:w="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1,514</w:t>
            </w:r>
          </w:p>
        </w:tc>
      </w:tr>
      <w:tr>
        <w:trPr>
          <w:trHeight w:val="221"/>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(72,518)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(72,518</w:t>
            </w: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share-based compensation expense as follows:</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80" w:type="dxa"/>
            <w:vAlign w:val="bottom"/>
            <w:tcBorders>
              <w:top w:val="single" w:sz="8" w:color="auto"/>
              <w:bottom w:val="single" w:sz="8" w:color="auto"/>
            </w:tcBorders>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bottom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left="298"/>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4420" w:type="dxa"/>
            <w:vAlign w:val="bottom"/>
            <w:gridSpan w:val="2"/>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420" w:type="dxa"/>
            <w:vAlign w:val="bottom"/>
            <w:gridSpan w:val="2"/>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6,654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180" w:type="dxa"/>
            <w:vAlign w:val="bottom"/>
            <w:vMerge w:val="restart"/>
          </w:tcPr>
          <w:p>
            <w:pPr>
              <w:jc w:val="right"/>
              <w:ind w:right="285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3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304800</wp:posOffset>
            </wp:positionV>
            <wp:extent cx="7645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600" w:hanging="433"/>
        <w:spacing w:after="0"/>
        <w:tabs>
          <w:tab w:leader="none" w:pos="6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intangible assets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Cost of services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135255</wp:posOffset>
            </wp:positionV>
            <wp:extent cx="7645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23" w:lineRule="exact"/>
        <w:rPr>
          <w:sz w:val="20"/>
          <w:szCs w:val="20"/>
          <w:color w:val="auto"/>
        </w:rPr>
      </w:pPr>
    </w:p>
    <w:p>
      <w:pPr>
        <w:ind w:left="600" w:hanging="433"/>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Cost of services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depreciation and amortization</w:t>
      </w:r>
      <w:r>
        <w:rPr>
          <w:rFonts w:ascii="Times New Roman" w:cs="Times New Roman" w:eastAsia="Times New Roman" w:hAnsi="Times New Roman"/>
          <w:sz w:val="26"/>
          <w:szCs w:val="26"/>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-177800</wp:posOffset>
            </wp:positionV>
            <wp:extent cx="6929755" cy="135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6306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 xml:space="preserve">      2022    </w:t>
      </w:r>
      <w:r>
        <w:rPr>
          <w:sz w:val="20"/>
          <w:szCs w:val="20"/>
          <w:color w:val="auto"/>
        </w:rPr>
        <w:tab/>
      </w:r>
      <w:r>
        <w:rPr>
          <w:rFonts w:ascii="Times New Roman" w:cs="Times New Roman" w:eastAsia="Times New Roman" w:hAnsi="Times New Roman"/>
          <w:sz w:val="14"/>
          <w:szCs w:val="14"/>
          <w:b w:val="1"/>
          <w:bCs w:val="1"/>
          <w:color w:val="auto"/>
        </w:rPr>
        <w:t xml:space="preserve">      2023 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630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ind w:left="840"/>
        <w:spacing w:after="0" w:line="231" w:lineRule="auto"/>
        <w:rPr>
          <w:sz w:val="20"/>
          <w:szCs w:val="20"/>
          <w:color w:val="auto"/>
        </w:rPr>
      </w:pPr>
      <w:r>
        <w:rPr>
          <w:rFonts w:ascii="Times New Roman" w:cs="Times New Roman" w:eastAsia="Times New Roman" w:hAnsi="Times New Roman"/>
          <w:sz w:val="14"/>
          <w:szCs w:val="14"/>
          <w:b w:val="1"/>
          <w:bCs w:val="1"/>
          <w:color w:val="auto"/>
        </w:rPr>
        <w:t>(in thousands)</w:t>
      </w:r>
    </w:p>
    <w:tbl>
      <w:tblPr>
        <w:tblLayout w:type="fixed"/>
        <w:tblInd w:w="0" w:type="dxa"/>
        <w:tblCellMar>
          <w:top w:w="0" w:type="dxa"/>
          <w:left w:w="0" w:type="dxa"/>
          <w:bottom w:w="0" w:type="dxa"/>
          <w:right w:w="0" w:type="dxa"/>
        </w:tblCellMar>
      </w:tblPr>
      <w:tr>
        <w:trPr>
          <w:trHeight w:val="194"/>
        </w:trPr>
        <w:tc>
          <w:tcPr>
            <w:tcW w:w="2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1,868</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1,793</w:t>
            </w:r>
          </w:p>
        </w:tc>
        <w:tc>
          <w:tcPr>
            <w:tcW w:w="2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r>
        <w:trPr>
          <w:trHeight w:val="221"/>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480" w:type="dxa"/>
            <w:vAlign w:val="bottom"/>
            <w:tcBorders>
              <w:top w:val="single" w:sz="8" w:color="auto"/>
              <w:bottom w:val="single" w:sz="8" w:color="auto"/>
            </w:tcBorders>
            <w:gridSpan w:val="4"/>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bottom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5"/>
          </w:tcPr>
          <w:p>
            <w:pPr>
              <w:jc w:val="center"/>
              <w:ind w:left="296"/>
              <w:spacing w:after="0" w:line="123"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4"/>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1,702</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32"/>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21"/>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2,212</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7740" w:space="720"/>
            <w:col w:w="2620"/>
          </w:cols>
          <w:pgMar w:left="320" w:top="454" w:right="499" w:bottom="1440" w:gutter="0" w:footer="0" w:header="0"/>
          <w:type w:val="continuous"/>
        </w:sectPr>
      </w:pPr>
    </w:p>
    <w:p>
      <w:pPr>
        <w:ind w:left="600" w:hanging="433"/>
        <w:spacing w:after="0"/>
        <w:tabs>
          <w:tab w:leader="none" w:pos="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0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580" w:type="dxa"/>
            <w:vAlign w:val="bottom"/>
            <w:tcBorders>
              <w:bottom w:val="single" w:sz="8" w:color="auto"/>
            </w:tcBorders>
          </w:tcPr>
          <w:p>
            <w:pPr>
              <w:jc w:val="right"/>
              <w:ind w:right="7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500" w:type="dxa"/>
            <w:vAlign w:val="bottom"/>
            <w:gridSpan w:val="4"/>
          </w:tcPr>
          <w:p>
            <w:pPr>
              <w:jc w:val="right"/>
              <w:ind w:right="272"/>
              <w:spacing w:after="0" w:line="141" w:lineRule="exact"/>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18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188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88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8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8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4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18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figures may not sum due to rounding.</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4" w:right="4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2023</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4"/>
                <w:szCs w:val="14"/>
                <w:color w:val="auto"/>
              </w:rPr>
            </w:pPr>
          </w:p>
        </w:tc>
        <w:tc>
          <w:tcPr>
            <w:tcW w:w="5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c>
          <w:tcPr>
            <w:tcW w:w="8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542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0" w:type="dxa"/>
            <w:vAlign w:val="bottom"/>
            <w:tcBorders>
              <w:top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82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gridSpan w:val="2"/>
          </w:tcPr>
          <w:p>
            <w:pPr>
              <w:jc w:val="center"/>
              <w:ind w:left="138"/>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5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0" w:type="dxa"/>
            <w:vAlign w:val="bottom"/>
            <w:tcBorders>
              <w:top w:val="single" w:sz="8" w:color="auto"/>
            </w:tcBorders>
            <w:gridSpan w:val="7"/>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82,690</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114,531</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31,841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2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820" w:type="dxa"/>
            <w:vAlign w:val="bottom"/>
          </w:tcPr>
          <w:p>
            <w:pPr>
              <w:spacing w:after="0"/>
              <w:rPr>
                <w:sz w:val="19"/>
                <w:szCs w:val="19"/>
                <w:color w:val="auto"/>
              </w:rPr>
            </w:pPr>
          </w:p>
        </w:tc>
        <w:tc>
          <w:tcPr>
            <w:tcW w:w="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4"/>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89,185</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122,784</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33,599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revenue increased $33.6 million, or 38%, for the year ended December 31, 2023 compared to the year ended December 31, 2022.</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Services revenue increased $31.8 million, or 39%, for the year ended December 31, 2023, compared with the year ended December 31, 2022, primarily due to an increase of $25.3 million related to growth in total members and $6.5 million in higher average fees per member. Higher average fees per member were driven primarily by an increase in the number of members enrolled in deployments of our cardiometabolic programs on our latest pricing models, including our higher-priced programs, and longer periods of active member enrollment in certain of our programs.</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Hardware revenue increased $1.8 million, or 27%, for the year ended December 31, 2023 compared to the year ended December 31, 2022, primarily due to an increase in devices delivered to new members enrolled in the program as the number of new members increased year over year.</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9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80" w:type="dxa"/>
            <w:vAlign w:val="bottom"/>
            <w:tcBorders>
              <w:top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tcPr>
          <w:p>
            <w:pPr>
              <w:jc w:val="center"/>
              <w:ind w:left="178"/>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7"/>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86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33,516</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  36,735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3,219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1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3,200</w:t>
            </w:r>
          </w:p>
        </w:tc>
        <w:tc>
          <w:tcPr>
            <w:tcW w:w="4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4"/>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86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46,394</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52,813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6,419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cost of revenue increased $6.4 million, or 14%, for the year ended December 31, 2023 compared to the year ended December 31, 2022.</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Cost of services revenue increased $3.2 million, or 10%, for the year ended December 31, 2023 compared to the year ended December 31, 2022, primarily due to a $2.3 million increase in personnel-related expenses related to an increase in headcount, an increase of $0.6 million in technology support costs, an increase of $0.2 million in core product costs, an increase of $0.2 million in intangible asset amortization, and an increase of $0.2 million in allocated technology expenses to support the growth in our total members. The increases were partially offset by a $0.3 million decrease in third-party consulting services.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Cost of hardware revenue increased by $3.2 million, or 25%, for the year ended December 31, 2023 compared to the year ended December 31, 2022, primarily due to an increase in the number of devices delivered to new members who enrolled in our programs.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4"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562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40" w:type="dxa"/>
            <w:vAlign w:val="bottom"/>
            <w:tcBorders>
              <w:top w:val="single" w:sz="8" w:color="auto"/>
            </w:tcBorders>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560" w:type="dxa"/>
            <w:vAlign w:val="bottom"/>
            <w:tcBorders>
              <w:top w:val="single" w:sz="8" w:color="auto"/>
            </w:tcBorders>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440" w:type="dxa"/>
            <w:vAlign w:val="bottom"/>
          </w:tcPr>
          <w:p>
            <w:pPr>
              <w:spacing w:after="0"/>
              <w:rPr>
                <w:sz w:val="12"/>
                <w:szCs w:val="12"/>
                <w:color w:val="auto"/>
              </w:rPr>
            </w:pPr>
          </w:p>
        </w:tc>
        <w:tc>
          <w:tcPr>
            <w:tcW w:w="1400" w:type="dxa"/>
            <w:vAlign w:val="bottom"/>
          </w:tcPr>
          <w:p>
            <w:pPr>
              <w:ind w:left="44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center"/>
              <w:ind w:left="8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5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4"/>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42,791</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69,971</w:t>
            </w:r>
          </w:p>
        </w:tc>
        <w:tc>
          <w:tcPr>
            <w:tcW w:w="1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   27,180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3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20"/>
                <w:szCs w:val="20"/>
                <w:color w:val="auto"/>
              </w:rPr>
            </w:pPr>
          </w:p>
        </w:tc>
        <w:tc>
          <w:tcPr>
            <w:tcW w:w="104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48.0%</w:t>
            </w:r>
          </w:p>
        </w:tc>
        <w:tc>
          <w:tcPr>
            <w:tcW w:w="56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57.0%</w:t>
            </w: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Gross margin increased by 9.0 percentage points during the year ended December 31, 2023 compared to the year ended December 31, 2022. This expansion is attributed to strategic utilization of Care Team resources, automated and streamlined processes, the mix of programs covered by our customers and members enrolled in those programs, and economies of scale related to increased services revenue.</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60" w:type="dxa"/>
            <w:vAlign w:val="bottom"/>
            <w:tcBorders>
              <w:top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520" w:type="dxa"/>
            <w:vAlign w:val="bottom"/>
            <w:tcBorders>
              <w:top w:val="single" w:sz="8" w:color="auto"/>
            </w:tcBorders>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2023    </w:t>
            </w:r>
          </w:p>
        </w:tc>
        <w:tc>
          <w:tcPr>
            <w:tcW w:w="300" w:type="dxa"/>
            <w:vAlign w:val="bottom"/>
          </w:tcPr>
          <w:p>
            <w:pPr>
              <w:spacing w:after="0"/>
              <w:rPr>
                <w:sz w:val="12"/>
                <w:szCs w:val="12"/>
                <w:color w:val="auto"/>
              </w:rPr>
            </w:pPr>
          </w:p>
        </w:tc>
        <w:tc>
          <w:tcPr>
            <w:tcW w:w="1320" w:type="dxa"/>
            <w:vAlign w:val="bottom"/>
          </w:tcPr>
          <w:p>
            <w:pPr>
              <w:ind w:left="42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gridSpan w:val="2"/>
          </w:tcPr>
          <w:p>
            <w:pPr>
              <w:jc w:val="center"/>
              <w:ind w:left="4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4"/>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26,168</w:t>
            </w: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33,738</w:t>
            </w:r>
          </w:p>
        </w:tc>
        <w:tc>
          <w:tcPr>
            <w:tcW w:w="13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   7,570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$7.6 million, or 29%, for the year ended December 31, 2023 compared to the year ended December 31, 2022, primarily due to an increase of $8.7 million in personnel-related expenses driven by an increase in headcount and an increase of $0.2 million in allocation of shared general corporate expenses primarily related to an increase in technology to support headcount growth, partially offset by a decrease of $1.3 million in third-party consulting services.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tcBorders>
              <w:top w:val="single" w:sz="8" w:color="auto"/>
            </w:tcBorders>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460" w:type="dxa"/>
            <w:vAlign w:val="bottom"/>
            <w:tcBorders>
              <w:top w:val="single" w:sz="8" w:color="auto"/>
            </w:tcBorders>
          </w:tcPr>
          <w:p>
            <w:pPr>
              <w:ind w:left="3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260" w:type="dxa"/>
            <w:vAlign w:val="bottom"/>
          </w:tcPr>
          <w:p>
            <w:pPr>
              <w:spacing w:after="0"/>
              <w:rPr>
                <w:sz w:val="12"/>
                <w:szCs w:val="12"/>
                <w:color w:val="auto"/>
              </w:rPr>
            </w:pPr>
          </w:p>
        </w:tc>
        <w:tc>
          <w:tcPr>
            <w:tcW w:w="1300" w:type="dxa"/>
            <w:vAlign w:val="bottom"/>
          </w:tcPr>
          <w:p>
            <w:pPr>
              <w:ind w:left="42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tcPr>
          <w:p>
            <w:pPr>
              <w:jc w:val="center"/>
              <w:ind w:left="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4"/>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8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58,484</w:t>
            </w: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66,249</w:t>
            </w:r>
          </w:p>
        </w:tc>
        <w:tc>
          <w:tcPr>
            <w:tcW w:w="1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     7,765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$7.8 million, or 13%, for the year ended December 31, 2023 compared to the year ended December 31, 2022, primarily due to an increase of $4.2 million in personnel-related expenses driven by an increase in headcount, a $5.0 million increase in referral fees, a $0.2 million increase in commissions expense, a $0.5 million increase in allocation of shared general corporate expenses primarily related to an increase in technology to support headcount growth, and a $0.2 million increase in other sales and marketing expenses. The increase was partially offset by a $2.0 million decrease in marketing campaign expenses and a $0.3 million decrease in third-party consulting services.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tcBorders>
              <w:top w:val="single" w:sz="8" w:color="auto"/>
            </w:tcBorders>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460" w:type="dxa"/>
            <w:vAlign w:val="bottom"/>
            <w:tcBorders>
              <w:top w:val="single" w:sz="8" w:color="auto"/>
            </w:tcBorders>
          </w:tcPr>
          <w:p>
            <w:pPr>
              <w:ind w:left="3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260" w:type="dxa"/>
            <w:vAlign w:val="bottom"/>
          </w:tcPr>
          <w:p>
            <w:pPr>
              <w:spacing w:after="0"/>
              <w:rPr>
                <w:sz w:val="12"/>
                <w:szCs w:val="12"/>
                <w:color w:val="auto"/>
              </w:rPr>
            </w:pPr>
          </w:p>
        </w:tc>
        <w:tc>
          <w:tcPr>
            <w:tcW w:w="1300" w:type="dxa"/>
            <w:vAlign w:val="bottom"/>
          </w:tcPr>
          <w:p>
            <w:pPr>
              <w:ind w:left="42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tcPr>
          <w:p>
            <w:pPr>
              <w:jc w:val="center"/>
              <w:ind w:left="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4"/>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30,489</w:t>
            </w: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35,981</w:t>
            </w:r>
          </w:p>
        </w:tc>
        <w:tc>
          <w:tcPr>
            <w:tcW w:w="1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     5,492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General and administrative expenses increased by $5.5 million, or 18%, for the year ended December 31, 2023 compared to the year ended December 31, 2022, primarily due to an increase of $5.3 million in personnel-</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4"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7"/>
          <w:szCs w:val="17"/>
          <w:color w:val="auto"/>
        </w:rPr>
        <w:t>related expenses driven by an increase in headcount and an increase in share-based compensation expense associated with secondary sales of common stock by certain current and former employees. See Note 12 to our consolidated financial statements included elsewhere in this prospectus for additional detail on the secondary transactions. There was a $0.8 million increase in other expenses for the year ended December 31, 2023, primarily driven by an increase in sales tax accruals, loss on disposal of property and equipment and an increase in bank charges. The increase was partially offset by a $0.6 million decrease in software and infrastructure costs and allocation of shared general corporate expenses primarily related to technology.</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4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5880" w:type="dxa"/>
            <w:vAlign w:val="bottom"/>
          </w:tcPr>
          <w:p>
            <w:pPr>
              <w:spacing w:after="0"/>
              <w:rPr>
                <w:sz w:val="12"/>
                <w:szCs w:val="12"/>
                <w:color w:val="auto"/>
              </w:rPr>
            </w:pPr>
          </w:p>
        </w:tc>
        <w:tc>
          <w:tcPr>
            <w:tcW w:w="24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80" w:type="dxa"/>
            <w:vAlign w:val="bottom"/>
          </w:tcPr>
          <w:p>
            <w:pPr>
              <w:jc w:val="right"/>
              <w:ind w:right="3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46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40" w:type="dxa"/>
            <w:vAlign w:val="bottom"/>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1740" w:type="dxa"/>
            <w:vAlign w:val="bottom"/>
          </w:tcPr>
          <w:p>
            <w:pPr>
              <w:ind w:left="80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gridSpan w:val="2"/>
          </w:tcPr>
          <w:p>
            <w:pPr>
              <w:jc w:val="center"/>
              <w:ind w:left="4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58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3"/>
          </w:tcPr>
          <w:p>
            <w:pPr>
              <w:ind w:left="26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4,201</w:t>
            </w: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7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        504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Interest expense increased by $0.5 million, or 12%, for the year ended December 31, 2023 compared to the year ended December 31, 2022, primarily due to an increase in borrowings under long-term debt arrangements and amortization of debt issuance costs.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590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80" w:type="dxa"/>
            <w:vAlign w:val="bottom"/>
            <w:tcBorders>
              <w:top w:val="single" w:sz="8" w:color="auto"/>
            </w:tcBorders>
          </w:tcPr>
          <w:p>
            <w:pPr>
              <w:jc w:val="right"/>
              <w:ind w:right="2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580" w:type="dxa"/>
            <w:vAlign w:val="bottom"/>
            <w:tcBorders>
              <w:top w:val="single" w:sz="8" w:color="auto"/>
            </w:tcBorders>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tcPr>
          <w:p>
            <w:pPr>
              <w:spacing w:after="0"/>
              <w:rPr>
                <w:sz w:val="12"/>
                <w:szCs w:val="12"/>
                <w:color w:val="auto"/>
              </w:rPr>
            </w:pPr>
          </w:p>
        </w:tc>
        <w:tc>
          <w:tcPr>
            <w:tcW w:w="1400" w:type="dxa"/>
            <w:vAlign w:val="bottom"/>
          </w:tcPr>
          <w:p>
            <w:pPr>
              <w:ind w:left="46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gridSpan w:val="2"/>
          </w:tcPr>
          <w:p>
            <w:pPr>
              <w:jc w:val="center"/>
              <w:ind w:left="4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59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4"/>
          </w:tcPr>
          <w:p>
            <w:pPr>
              <w:ind w:left="26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2,202</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5,775</w:t>
            </w:r>
          </w:p>
        </w:tc>
        <w:tc>
          <w:tcPr>
            <w:tcW w:w="1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     3,573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9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Interest income increased by $3.6 million, or 162%, for the year ended December 31, 2023 compared to the year ended December 31, 2022, primarily due to higher interest earned on cash and cash equivalents as a result of higher interest rates.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4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40" w:type="dxa"/>
            <w:vAlign w:val="bottom"/>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1700" w:type="dxa"/>
            <w:vAlign w:val="bottom"/>
          </w:tcPr>
          <w:p>
            <w:pPr>
              <w:ind w:left="76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ind w:left="30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4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3"/>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(1,831)</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7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     2,879</w:t>
            </w: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(157%)</w:t>
            </w:r>
          </w:p>
        </w:tc>
      </w:tr>
    </w:tbl>
    <w:p>
      <w:pPr>
        <w:spacing w:after="0" w:line="196"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8"/>
          <w:szCs w:val="18"/>
          <w:color w:val="auto"/>
        </w:rPr>
        <w:t>For the years ended December 31, 2022 and 2023, we recorded a gain associated with a change in fair value of the warrant liabilities of $1.8 million and a loss of $1.0 million, respectively. The change in fair value is primarily driven by the share price volatility and reduction in time to expiry.</w:t>
      </w:r>
    </w:p>
    <w:p>
      <w:pPr>
        <w:spacing w:after="0" w:line="3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r>
      <w:tr>
        <w:trPr>
          <w:trHeight w:val="140"/>
        </w:trPr>
        <w:tc>
          <w:tcPr>
            <w:tcW w:w="3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5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4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360" w:type="dxa"/>
            <w:vAlign w:val="bottom"/>
          </w:tcPr>
          <w:p>
            <w:pPr>
              <w:spacing w:after="0"/>
              <w:rPr>
                <w:sz w:val="12"/>
                <w:szCs w:val="12"/>
                <w:color w:val="auto"/>
              </w:rPr>
            </w:pPr>
          </w:p>
        </w:tc>
        <w:tc>
          <w:tcPr>
            <w:tcW w:w="1460" w:type="dxa"/>
            <w:vAlign w:val="bottom"/>
          </w:tcPr>
          <w:p>
            <w:pPr>
              <w:ind w:left="48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4"/>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1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1,536</w:t>
            </w:r>
          </w:p>
        </w:tc>
        <w:tc>
          <w:tcPr>
            <w:tcW w:w="1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     1,536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We recorded a loss on debt extinguishment of $1.5 million during the year ended December 31, 2023 in connection with the extinguishment of the Perceptive Credit Agreement in 2023.</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4"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use certain non-GAAP financial measures to supplement the performance measures in our consolidated financial statements, which are presented in accordance with GAAP. These non-GAAP financial measures include non-GAAP gross profit, non-GAAP gross margin, and non-GAAP operating loss. We use these non-GAAP financial measures for financial and operational decision-making and as a means to assist us in evaluating period-to-period comparisons. By excluding certain items that may not be indicative of our recurring core operating results, we believe that non-GAAP gross profit, non-GAAP gross margin, and non-GAAP operating loss provide meaningful supplemental information regarding our performance. Accordingly, we believe these non-GAAP financial measures, when taken collectively with GAAP financial information,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Gross Margin</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gross profit and gross margin, excluding share-based compensation expense, amortization of intangible assets, and depreciation and amortization. We have presented non-GAAP gross profit and non-GAAP gross margin because we consider non-GAAP gross profit and non-GAAP gross margin to be useful metrics for investors and other users of our financial information in evaluating our operating performance because they exclude the impact of share-based compensation expense, amortization of intangible assets, and depreciation and amortization, which are non-cash charges that can vary from period to period for reasons that are unrelated to our core operating performance. These metrics also provide investors and other users of our financial information with additional tools to compare business performance across periods, while eliminating the effects of items that may vary for reasons unrelated to core operating performance.</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 reconciliation of gross profit and gross margin, the most directly comparable GAAP financial measures, to non-GAAP gross profit and non-GAAP gross margin is presented below:</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4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600" w:type="dxa"/>
            <w:vAlign w:val="bottom"/>
            <w:gridSpan w:val="4"/>
          </w:tcPr>
          <w:p>
            <w:pPr>
              <w:jc w:val="center"/>
              <w:ind w:left="537"/>
              <w:spacing w:after="0" w:line="116"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4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except percentages)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42,791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GAAP gross margin (as a percentage of revenue)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Add:</w:t>
            </w:r>
          </w:p>
        </w:tc>
        <w:tc>
          <w:tcPr>
            <w:tcW w:w="8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14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gross profit</w:t>
            </w:r>
          </w:p>
        </w:tc>
        <w:tc>
          <w:tcPr>
            <w:tcW w:w="1180" w:type="dxa"/>
            <w:vAlign w:val="bottom"/>
            <w:gridSpan w:val="2"/>
            <w:shd w:val="clear" w:color="auto" w:fill="CCEEFF"/>
          </w:tcPr>
          <w:p>
            <w:pPr>
              <w:jc w:val="right"/>
              <w:ind w:right="420"/>
              <w:spacing w:after="0" w:line="195" w:lineRule="exact"/>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73,825</w:t>
            </w:r>
          </w:p>
        </w:tc>
        <w:tc>
          <w:tcPr>
            <w:tcW w:w="0" w:type="dxa"/>
            <w:vAlign w:val="bottom"/>
          </w:tcPr>
          <w:p>
            <w:pPr>
              <w:spacing w:after="0"/>
              <w:rPr>
                <w:sz w:val="1"/>
                <w:szCs w:val="1"/>
                <w:color w:val="auto"/>
              </w:rPr>
            </w:pPr>
          </w:p>
        </w:tc>
      </w:tr>
      <w:tr>
        <w:trPr>
          <w:trHeight w:val="20"/>
        </w:trPr>
        <w:tc>
          <w:tcPr>
            <w:tcW w:w="8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Non-GAAP gross margin (as a percentage of revenue)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00" w:type="dxa"/>
            <w:vAlign w:val="bottom"/>
            <w:gridSpan w:val="4"/>
            <w:vMerge w:val="continue"/>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w:t>
            </w:r>
          </w:p>
        </w:tc>
        <w:tc>
          <w:tcPr>
            <w:tcW w:w="8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 includes amortization of capitalized internal-use software costs.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
          </w:tcPr>
          <w:p>
            <w:pPr>
              <w:ind w:left="5020"/>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Loss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monitor non-GAAP operating loss for planning and performance measurement purposes. We define non-GAAP operating loss as operating loss reported on our consolidated statements of operations, excluding the impact of share-based compensation expense, amortization of intangible assets, depreciation and amortization, and loss on disposal of property and equipment. We have presented non-GAAP operating loss because we believe that the exclusion of these charges allows for a more relevant comparison of our results of operations and facilitates period-to-period comparisons as it eliminates the effect of certain factors unrelated to our overall operating performance. Our calculation of non-GAAP operating loss does not currently include the tax effects of the share-based compensation expense adjustment because such tax effects have not been material to date.</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 reconciliation of operating loss, the most directly comparable GAAP financial measure, to non-GAAP operating loss is presented below:</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0" w:type="dxa"/>
            <w:vAlign w:val="bottom"/>
            <w:tcBorders>
              <w:top w:val="single" w:sz="8" w:color="auto"/>
              <w:bottom w:val="single" w:sz="8" w:color="auto"/>
            </w:tcBorders>
            <w:gridSpan w:val="2"/>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bottom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4"/>
          </w:tcPr>
          <w:p>
            <w:pPr>
              <w:jc w:val="center"/>
              <w:ind w:left="317"/>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268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(72,350)</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(65,997)</w:t>
            </w:r>
          </w:p>
        </w:tc>
      </w:tr>
      <w:tr>
        <w:trPr>
          <w:trHeight w:val="214"/>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8,740</w:t>
            </w:r>
          </w:p>
        </w:tc>
      </w:tr>
      <w:tr>
        <w:trPr>
          <w:trHeight w:val="214"/>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2,044</w:t>
            </w:r>
          </w:p>
        </w:tc>
      </w:tr>
      <w:tr>
        <w:trPr>
          <w:trHeight w:val="214"/>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2,404</w:t>
            </w:r>
          </w:p>
        </w:tc>
      </w:tr>
      <w:tr>
        <w:trPr>
          <w:trHeight w:val="221"/>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68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(61,359)</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(52,658)</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typically close a higher percentage of sales to new customers, as well as renewals or expansions with existing customers, in late spring and early fall, aligning with benefits enrollment schedules and allowing us to launch our products at the start of the following year. This generally results in higher enrollment launch rates in the first and second quarters, which has historically increased hardware revenue and related hardware costs and increased health coaching and Care Team costs to support the newly enrolled members, resulting in lower overall gross margins in those quarters. In addition, we typically experience higher new member enrollment in the first quarter of our fiscal year, which results in increased shipments of devices to newly enrolled members in the same period. As a result, there is typically a notable decrease in device shipments and hardware revenue in the subsequent quarters.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proceeds from issuance of our redeemable convertible preferred stock, debt financing agreements, and cash generated from the sale of our products and services. As of December 31, 2023, our principal sources of liquidity were cash and cash equivalents of $115.6 million and working capital of $99.1 million. Cash and cash equivalents are composed of cash held in sweep accounts, checking accounts, and money market funds. Our principal use of cash is to fund our operations and invest in research and development to support our growth.</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generated significant losses from operations and negative cash flows from operating activities in the past, as reflected in our accumulated deficit of $396.8 million as of December 31, 2023. We believe that our current cash and cash equivalents will be sufficient to fund our operations for at least the next 12 months. Our</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80"/>
          </w:cols>
          <w:pgMar w:left="320" w:top="454"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May 2020, we entered into the Perceptive Credit Agreement for a senior secured delayed draw term loan facility in an aggregate principal amount of $50.0 million, with up to $30.0 million in aggregate principal available upon the closing date and up to $20.0 million in aggregate principal to be available after the closing date but prior to March 31, 2022 (the “Perceptive Loan”). Upon the closing date, we drew down $30.0 million of the Perceptive Loan. The maturity date of the Perceptive Loan was May 18, 2025. The outstanding principal balance and accrued interest were paid in full in June 2023 with a portion of the proceeds of the MidCap Term Facility (as defined below), and as of December 31, 2023, the outstanding balance was $0.</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Interest was charged on any outstanding principal of the Perceptive Loan at the sum of (i) 9.50% plus (ii) the greater of (x) the reference rate as of the second business day immediately preceding the first day of the month and (y) 1.75%, payable monthly. The Perceptive Loan was subject to monthly reporting requirements and a financial covenant to maintain a minimum balance of $3.0 million in cash and trailing 12-month revenue levels measured on the last day of each fiscal quarter.</w:t>
      </w:r>
    </w:p>
    <w:p>
      <w:pPr>
        <w:spacing w:after="0" w:line="18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(the “MidCap Credit Agreement”), for a senior secured term loan (the “MidCap Term Facility”) in an aggregate principal amount of $60.0 million, with up to $30.0 million available upon the closing date and up to $30.0 million to be available for draw from October 2024 through March 2025 conditional upon achievement of $120.0 million of trailing 12-month revenue and $60.0 million liquidity. Upon the closing date, we drew down on $30.0 million of the MidCap Term Facility and used a portion of the proceeds to repay the outstanding principal balance and accrued interest on the Perceptive Credit Agreement. The MidCap Term Facility is interest-only for 48 months. The MidCap Credit Agreement also includes a revolving line of credit facility (the “MidCap Revolving Facility”) allowing for up to $20.0 million in revolving borrowings. The availability of the MidCap Revolving Facility is calculated as a percentage of our outstanding accounts receivable and inventory balances. Upon the closing date, we drew $1.0 million on the MidCap Revolving Facility. The maturity date of the MidCap Term Facility and the MidCap Revolving Facility is June 1, 2028. As of December 31, 2023, the outstanding balance on the MidCap Term Facility was $30.0 million, and the outstanding balance on the MidCap Revolving Facility was $1.0 million.</w:t>
      </w:r>
    </w:p>
    <w:p>
      <w:pPr>
        <w:spacing w:after="0" w:line="19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Interest is charged on any outstanding principal of the MidCap Term Facility at the sum of the 30-day forward-looking term SOFR rate, as published by CME Group Benchmark Administration Limited (“CBA”), plus 0.10% (“Adjusted SOFR”), plus 7.00%, subject to a floor of 2.50%. Interest on the MidCap Revolving Facility is charged at the sum of Adjusted SOFR plus 4.00%, subject to a floor of 2.50%. Both interest rates are reset monthly. 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our ability to, among other things: sell, transfer, lease, or dispose of our assets subject to certain exclusions; create, incur, assume, guarantee, or assume additional indebtedness, other than certain permitted indebtedness; encumber or permit liens on any of our assets other than certain permitted liens; make restricted payments, including paying cash dividends on, repurchasing or making distributions with respect to any of our capital stock; make specified investments; consolidate, merge with, or acquire any other entity, or sell or otherwise dispose of all or substantially all of our assets; and enter into certain transactions with our affiliates.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54"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6985</wp:posOffset>
            </wp:positionV>
            <wp:extent cx="15538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ind w:left="8520"/>
        <w:spacing w:after="0"/>
        <w:tabs>
          <w:tab w:leader="none" w:pos="10100" w:val="left"/>
        </w:tabs>
        <w:rPr>
          <w:sz w:val="20"/>
          <w:szCs w:val="20"/>
          <w:color w:val="auto"/>
        </w:rPr>
      </w:pPr>
      <w:r>
        <w:rPr>
          <w:rFonts w:ascii="Times New Roman" w:cs="Times New Roman" w:eastAsia="Times New Roman" w:hAnsi="Times New Roman"/>
          <w:sz w:val="14"/>
          <w:szCs w:val="14"/>
          <w:b w:val="1"/>
          <w:bCs w:val="1"/>
          <w:color w:val="auto"/>
        </w:rPr>
        <w:t xml:space="preserve">      2022    </w:t>
      </w:r>
      <w:r>
        <w:rPr>
          <w:sz w:val="20"/>
          <w:szCs w:val="20"/>
          <w:color w:val="auto"/>
        </w:rPr>
        <w:tab/>
      </w:r>
      <w:r>
        <w:rPr>
          <w:rFonts w:ascii="Times New Roman" w:cs="Times New Roman" w:eastAsia="Times New Roman" w:hAnsi="Times New Roman"/>
          <w:sz w:val="14"/>
          <w:szCs w:val="14"/>
          <w:b w:val="1"/>
          <w:bCs w:val="1"/>
          <w:color w:val="auto"/>
        </w:rPr>
        <w:t xml:space="preserve">      2023 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-3810</wp:posOffset>
            </wp:positionV>
            <wp:extent cx="15538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ind w:left="9320"/>
        <w:spacing w:after="0" w:line="229"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(68,980)</w:t>
            </w: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(49,738)</w:t>
            </w:r>
          </w:p>
        </w:tc>
      </w:tr>
      <w:tr>
        <w:trPr>
          <w:trHeight w:val="21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(2,721)</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14"/>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16,319</w:t>
            </w: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r>
    </w:tbl>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proceeds from debt financing arrangements.</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of $49.7 million was the result of a $67.5 million net loss, adjusted for $19.3 million of non-cash adjustments and $1.5 million of net cash outflow from changes in operating assets and liabilities. The non-cash adjustments consisted primarily of $8.7 million in share-based compensation expense, $4.4 million of depreciation and amortization expense, $1.8 million of amortization of deferred commissions, $0.7 million of amortization of operating lease right-of-use assets, a $1.5 million loss on debt extinguishment, $0.4 million of amortization of debt issuance costs, a change in fair value of warrant liabilities of $1.0 million, $0.2 million of loss on disposal of property and equipment, and a $0.5 million increase in the provision for credit losses. The net cash outflow from changes in operating assets and liabilities was primarily the result of a $5.3 million increase in accounts receivable, a $1.5 million increase in prepaid and other current assets, a $3.7 million increase in deferred commissions, a $0.7 million decrease in operating lease liabilities, and a $0.3 million decrease in accounts payable. These were partially offset by a $8.3 million increase in accrued expenses and other current liabilities, a $1.4 million increase in deferred revenue, a $0.2 million decrease in other non-current assets, and a $0.1 million increase in other non-current liabilities.</w:t>
      </w:r>
    </w:p>
    <w:p>
      <w:pPr>
        <w:spacing w:after="0" w:line="18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2022 of $69.0 million was the result of a $72.5 million net loss, adjusted for $12.7 million of non-cash adjustments and $9.1 million of net cash outflow from changes in operating assets and liabilities. The non-cash adjustments consisted primarily of $6.7 million in share-based compensation expense, $4.3 million of depreciation and amortization expense, $1.4 million of amortization of operating lease right-of-use assets, $1.4 million of amortization of deferred commissions, $0.5 million of amortization of debt issuance costs, and a $0.2 million increase in the provision for credit losses, partially offset by a change in fair value of warrant liabilities of $1.8 million. The net cash outflow from changes in operating assets and liabilities was primarily the result of a $5.0 million decrease in accounts payable, a $3.9 million increase in accounts receivable, a $2.0 million increase in inventory, a $1.3 million decrease in operating lease liabilities, a $2.9 million increase in deferred commissions, a $0.5 million increase in other non-current assets, and a $0.5 million increase in prepaid expenses and other current assets. These were partially offset by a $5.1 million increase in accrued expenses and other current liabilities and a $1.8 million increase in deferred revenue.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3"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of $2.9 million was the result of purchases of property and equipment of $0.4 million and capitalized internal-use software costs of $2.5 million.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80"/>
          </w:cols>
          <w:pgMar w:left="320" w:top="454"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2022 of $2.7 million was the result of purchases of property and equipment of $0.7 million and capitalized internal-use software costs of $2.0 million.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of $0.2 million was the result of $1.8 million of proceeds from the exercise of stock options and $1.0 million net proceeds from the issuance of debt and payment of long-term debt financing, partially offset by $1.8 million of payments for debt issuance costs associated with the MidCap Credit Agreement, $0.6 million of debt extinguishment costs associated with terminating the Perceptive Loan, and $0.1 million of payments for deferred offering costs.</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of $16.3 million was the result of $14.6 million of net proceeds from issuance of our Series E redeemable convertible preferred stock and $1.7 million of proceeds from the exercise of stock options.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1"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r>
        <w:rPr>
          <w:rFonts w:ascii="Times New Roman" w:cs="Times New Roman" w:eastAsia="Times New Roman" w:hAnsi="Times New Roman"/>
          <w:sz w:val="18"/>
          <w:szCs w:val="18"/>
          <w:color w:val="auto"/>
        </w:rPr>
        <w:t>. Our operating lease commitments primarily consist of the lease of our corporate offices. As of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had fixed lease payment obligations of $1.3 million, with $0.8 million to be paid within 12 months and the remainder thereafter. For additional discussion of our operating leases, see Note 7 to our audited consolidated financial statements included elsewhere in this prospectus.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2023, we did not have any purchase commitments.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 arising out of the breach of such agreements, services to be provided by us, or from intellectual property infringement claims made by third parties. The term of these indemnification provisions generally survive the termination of the agreements indefinitely. The maximum 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spacing w:after="0" w:line="187"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certain officers that will require us, among other things, to indemnify them against certain liabilities that may arise by reason of their status or service as directors and officers.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5"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w:t>
      </w:r>
    </w:p>
    <w:p>
      <w:pPr>
        <w:spacing w:after="0" w:line="1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4"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w:t>
      </w:r>
    </w:p>
    <w:p>
      <w:pPr>
        <w:spacing w:after="0" w:line="1" w:lineRule="exact"/>
        <w:rPr>
          <w:sz w:val="20"/>
          <w:szCs w:val="20"/>
          <w:color w:val="auto"/>
        </w:rPr>
      </w:pPr>
    </w:p>
    <w:p>
      <w:pPr>
        <w:jc w:val="both"/>
        <w:ind w:left="160" w:firstLine="7"/>
        <w:spacing w:after="0" w:line="248" w:lineRule="auto"/>
        <w:tabs>
          <w:tab w:leader="none" w:pos="4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We had cash and cash equivalents of $168.1 million and $115.6 million as of December 31, 2022 and 2023, respectively. Our cash and cash equivalents consist of cash held in sweep accounts, checking accounts, and money market funds. The cash and cash equivalents are held primarily for working capital purposes. Such interest earning instruments carry a degree of interest rate risk. We had financing arrangements, described above, with $30.0 million and $31.0 million outstanding as of December 31, 2022 and 2023, respectively. Our financing arrangements subject us to a variable amount of interest on the principal balance outstanding and could be adversely impacted by rising interest rates in the future. The effect of a hypothetical 10% change in interest rates would not have had a material impact on our consolidated financial statements for the years ended December 31, 2022 and 2023.</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While we continue to see demand for our virtual care programs, we believe that current macroeconomic factors, including the impact of inflation,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or other factors. If our costs, in particular labor, sales and marketing, and cloud hosting costs, become subject to sustained or increased inflationary pressure, we may be unable to fully offset such higher costs through price increases, which could harm our business, financial condition, and results of operations.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4"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GAAP. The preparation of consolidated financial statements in conformity with GAAP requires certain estimates and assumptions to be made that may affect our consolidated financial statements. Accounting policies that have a significant impact on our results are described in Note 2 to our consolidated financial statements included elsewhere in this prospectus. The accounting policies discussed in this section are those that we consider to be the most critical. We consider an accounting policy to be critical if the policy is subject to a material level of judgment and if changes in those judgments are reasonably likely to materially impact our results.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base our estimates and judgments on reasonably available information. Our estimates and assumptions may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and such differences may be material to the consolidated financial statements.</w:t>
      </w:r>
    </w:p>
    <w:p>
      <w:pPr>
        <w:spacing w:after="0" w:line="180"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We continue to monitor and assess our critical estimates in light of developments, and as new events occur and additional information is obtained, our estimates may change materially in future periods.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generate services revenue from our customers by providing access to our virtual care programs. Revenue is recognized when, or as, the performance obligation is satisfied by transferring the control of the promised service to a customer. We recognize a portion of revenue upfront upon hardware delivery or initial consultation and the remaining revenue over the period members have access to our virtual care programs.</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customers are entities that have contracted with us, or with one of our channel partners, to offer one or more Omada virtual care programs to their covered employees and dependents, health plan or pharmacy members, or patients. We sell to our customers through our direct sales force and through our channel partners, including health plans, PBMs, and other resellers, who sell or assist us in selling to their own customers, which are separately evaluated to determine whether we are the principal in the transaction with the end customer. Our agreements typically provide a termination for convenience by either party, with a notice period generally ranging from 30 to 180 days.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For cardiometabolic programs, the transaction price includes monthly fees which are either activity-, outcome-, or milestone-based fees, as applicable, for the respective member service period and may include an upfront enrollment fee. Variable consideration related to the activity-, outcome-, or milestone-based fees are estimated at contract inception and included in the transaction price for the non-cancelable term, to the extent a significant reversal in revenue will not occur when the uncertainty is resolved. For our MSK program, the transaction price generally includes a fixed, upfront consultation fee and an additional fee for members that opt in to a physical therapist-guided treatment plan.</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The determination of stand-alone selling price uses judgments and estimates that are based on prices for those related services when sold separately, and when such observable prices are not available, we determine SSP based on overarching pricing objectives and strategies, taking into consideration market conditions and other factors, including customer size, volume purchased, market and industry conditions, product-specific factors, and historical sales of the deliverables.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4"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Contracts containing upfront enrollment fees generally contain a material right related to the discounted renewal option. The allocated value is recognized over the estimated benefit period to the member of twelve months.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Shipping and handling fees are included in cost of revenue and are recognized as activities to fulfill the promise to transfer the hardware.</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measure and recognize our share-based compensation expense for stock options based on the estimated fair value of the award. We use the Black-Scholes-Merton option pricing model to determine the grant date fair value of stock options. For awards with service conditions only, share-based compensation expense is recognized on a straight-line basis over the requisite service period of the awards, which is generally the vesting period. We account for forfeitures as they occur. As we continue to accumulate additional data related to our common stock, we may refine our estimates of expected volatility and expected term, which could materially impact our future share-based compensation expense.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common stock underlying our share-based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our board of directors exercised reasonable judgment and considered numerous objective and subjective factors to determine the best estimate of the fair value of our common stock at each grant date. These factors include:</w:t>
      </w:r>
    </w:p>
    <w:p>
      <w:pPr>
        <w:spacing w:after="0" w:line="210" w:lineRule="exact"/>
        <w:rPr>
          <w:sz w:val="20"/>
          <w:szCs w:val="20"/>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contemporaneous valuations performed at periodic intervals by a third-party valuation firm;</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redeemable convertible preferred stock and common stock sold to investors in arm’s-length transactions;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 and estimated trends and prospects for our future performance;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direct listing, or sale of our company, given prevailing market conditions;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involving securities in a private company;</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 valuing our common stock, the fair value of our business was determined using various valuation methods, including combinations of the market approach and the income approach with input from management.</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4"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 The market approach also included reference to our own stock transactions when issuances of redeemable convertible preferred stock were made close to the valuation date. The income approach involves applying an appropriate risk-adjusted discount rate to projected cash flows based on forecasted revenue and costs.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Once the enterprise value was determined under the market approach or income approach, we derived the equity value of our company using either an option pricing model (“OPM”) or a hybrid method of OPM and the probability weighted expected return method (“PWERM”) to allocate that value among the various classes of securities to arrive at the fair value of the common stock. The OPM is based on the Black-Scholes-Merton option pricing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unrelated parties, and whether the transactions involved investors with access to our financial information.</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and Common Stock Warrants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We account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 have issued redeemable convertible preferred stock warrants and common stock warrants which are classified as a liability on the consolidated balance sheets because the redeemable convertible preferred stock warrants are freestanding financial instruments that may require us to transfer assets upon exercise, and the common stock warrants contain a term that may require adjustment to the exercise price. We use the Black-Scholes-Merton option pricing model, which incorporates assumptions and estimates, to value the redeemable convertible preferred stock warrants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we do not anticipate paying any cash</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4"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dividends in the foreseeable future. As we continue to accumulate additional data related to our common stock and redeemable convertible preferred stock, we may refine our estimates of expected volatility and expected term, which could materially impact future fair values of outstanding warrants.</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this offering, the warrants to purchase shares of our Series D redeemable convertible preferred stock will be automatically exercised in accordance with its terms, and the warrants to purchase shares of our Series B redeemable convertible preferred stock will become exercisable for shares of common stock, at which time we expect to adjust the warrant liabilities to fair value prior to reclassifying the warrant liabilities to additional paid-in capital. As a result, following the closing of this offering, the redeemable convertible preferred stock warrants will no longer be subject to fair value accounting.</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see Note 2 to our consolidated financial statements included elsewhere in this prospectus.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see Note 2 to our consolidated financial statements included elsewhere in this prospectus.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4"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211455</wp:posOffset>
            </wp:positionV>
            <wp:extent cx="6929755" cy="8900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890016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2022, more than 156 million Americans suffered from one or more chronic conditions, like obesity, prediabetes, diabetes, hypertension, and musculoskeletal (“MSK”) conditions, and approximately 40% of U.S. adults suffered from two or more chronic conditions, based on data from the National Association of Chronic Disease Directors.</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Managing these conditions—and treating the acute problems they can lead to—creates significant costs for employers, health plans, pharmacy benefit managers (“PBMs”), and other entities that pay for the cost of care. According to the American Diabetes Association (the “ADA”)’s report “Economic Costs of Diabetes in the U.S. in 2022,” chronic diseases were the leading driver of U.S. medical spend, with diabetes alone accounting for $1 out of every $7 spent. According to research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in 2022, an employee with type 2 diabetes cost on average an additional $7,000 annually due to increased medical costs, absenteeism, and lost productivity. The direct medical cost of people living with diabetes increased by 35% from 2012 to 2022, despite stable diabetes prevalence.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 doesn’t have to be that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55155" cy="3252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55155" cy="325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Many chronic conditions can be managed or prevented at a more reasonable cost. One reason these conditions are often not managed efficiently is that the U.S. healthcare system was built mainly on encounter-based reimbursement models that pay for specific services, primarily as issues arise. Between what can be short and infrequent office visits, patients are often left to manage their condition on their own. Many have a hard time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4"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sticking to care plans and health goals—losing weight, eating better, exercising more—and have few resources to turn to for ongoing questions, accountability, and support as they work to change their lifestyle.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-20320</wp:posOffset>
            </wp:positionV>
            <wp:extent cx="6725920" cy="2743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2592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Behavior change is hard. Omada was created to make it easier.</w:t>
      </w:r>
    </w:p>
    <w:p>
      <w:pPr>
        <w:spacing w:after="0" w:line="217"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Our mission is to inspire and enable people to make lasting health changes on their own terms. We deliver virtual care </w:t>
      </w:r>
      <w:r>
        <w:rPr>
          <w:rFonts w:ascii="Times New Roman" w:cs="Times New Roman" w:eastAsia="Times New Roman" w:hAnsi="Times New Roman"/>
          <w:sz w:val="18"/>
          <w:szCs w:val="18"/>
          <w:b w:val="1"/>
          <w:bCs w:val="1"/>
          <w:i w:val="1"/>
          <w:iCs w:val="1"/>
          <w:color w:val="auto"/>
        </w:rPr>
        <w:t>between</w:t>
      </w:r>
      <w:r>
        <w:rPr>
          <w:rFonts w:ascii="Times New Roman" w:cs="Times New Roman" w:eastAsia="Times New Roman" w:hAnsi="Times New Roman"/>
          <w:sz w:val="18"/>
          <w:szCs w:val="18"/>
          <w:color w:val="auto"/>
        </w:rPr>
        <w:t xml:space="preserve"> doctor’s visits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providing an engaging, personalized, and integrated experience for our members that is designed to improve their health while delivering value for the employers, health plans, health systems, PBMs, and other entities that cover the cost of our programs.</w:t>
      </w:r>
    </w:p>
    <w:p>
      <w:pPr>
        <w:spacing w:after="0" w:line="17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and health systems that cover our programs for patients, among other types of customers. We also work closely with health plans and PBMs that either cover our programs for segments of their members as our customers or act as channel partners reselling our programs to their own end customers.</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MSK conditions; a newly launched GLP-1 Care Track; and behavioral health support across all programs. As we have expanded, we have kept our integrated human and technology approach at the center of our business model and have continued to base our program design on clinically validated evidence.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4"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203835</wp:posOffset>
            </wp:positionV>
            <wp:extent cx="6751320" cy="2963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51320"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Since our founding, our programs have had a meaningful, positive impact. As of March 31, 2024, we had more than 2,000 customers, over 460,000 total members enrolled in one or more programs, and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2023, our average customer satisfaction rate for the year was over 90%. In 2023, more than 55% of members still engaged with our cardiometabolic programs at least once per month after a year in the program, and over 50% still engaged monthly after two years. On average, in 2023, members in a cardiometabolic program engaged more than 30 times per month throughout their first year. We are proud of our progress, and we are just getting started.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147320</wp:posOffset>
            </wp:positionV>
            <wp:extent cx="6700520" cy="3184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0052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4"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Compassion Meets Intelligence</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virtual, Between-Visit Care model seeks to bring together the best of human care and technology. Our goal is to support people over time, with programs designed to be simple and engaging to use, accessible whenever and wherever people need them, and complementary and connected to the healthcare system at large. Our model is founded on three pillars:</w:t>
      </w:r>
    </w:p>
    <w:p>
      <w:pPr>
        <w:spacing w:after="0" w:line="198" w:lineRule="exact"/>
        <w:rPr>
          <w:sz w:val="20"/>
          <w:szCs w:val="20"/>
          <w:color w:val="auto"/>
        </w:rPr>
      </w:pPr>
    </w:p>
    <w:p>
      <w:pPr>
        <w:jc w:val="both"/>
        <w:ind w:left="1140" w:hanging="545"/>
        <w:spacing w:after="0" w:line="259"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human relationships and empathy are fundamental drivers of sustainable behavior change. Our Care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composed of health coaches, relevant specialists, and licensed physical therapists, are designed to remain with a member throughout their entire journey with Omada. They offer proactive and tailored support that builds trust with members and can contribute to positive outcomes.</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integrated technology platform is built to support member engagement at scale. We use our platform and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enrollment, engagement, and connected third-party devices to amplify the impact of our Care Teams through data-driven personalization, connected experiences, and real-time outcomes monitoring.</w:t>
      </w:r>
    </w:p>
    <w:p>
      <w:pPr>
        <w:spacing w:after="0" w:line="197"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Omada Insights Lab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scale, we invest in continuous innovation across our programs. The Omada Insights Lab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cross-functional collaboration of clinical, product, design, engineering, and Care Team experts, which leverages the insights delivered by our Care Teams and technology platform to identify opportunities to drive even greater results and efficiencies in our programs and business.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Multi-Condition Care</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U.S. healthcare system has largely been designed to treat acute conditions that have clear windows of treatment and resolution. Chronic conditions, however, often require a variety of healthcare professionals across disciplines and modalities over indefinite periods of time. As our company grew, we observed a demand from our customers and channel partners for us to expand beyond diabetes prevention and weight health and into other conditions, such as the treatment and management of diabetes, hypertension, and MSK conditions. Based on the significant overlap across these chronic conditions, we believed there was an opportunity to better meet members where they were: often suffering from multiple comorbid conditions at once. Our coordinated, multi-condition experience allows us to tailor care plans to members based on their comorbidities, which can be a major advantage in achieving clinical outcomes and a positive member experience. Many of our customers and channel partners also appreciate having a single partner for chronic condition care because it can simplify contracting, account management, implementation, and member outreach.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4"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47726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477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Grounded in Evidence Since Day One</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order to realize the full potential of our model, we sought to earn the trust of the existing healthcare ecosystem. Since our founding, we have worked to build bridges between the virtual and traditional (largely in-person) care communities through our commitment to delivering evidence-based care, publishing our outcomes, and earning accreditations and credentials.</w:t>
      </w:r>
    </w:p>
    <w:p>
      <w:pPr>
        <w:spacing w:after="0" w:line="198" w:lineRule="exact"/>
        <w:rPr>
          <w:sz w:val="20"/>
          <w:szCs w:val="20"/>
          <w:color w:val="auto"/>
        </w:rPr>
      </w:pPr>
    </w:p>
    <w:p>
      <w:pPr>
        <w:jc w:val="both"/>
        <w:ind w:left="1140" w:hanging="545"/>
        <w:spacing w:after="0" w:line="259"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Start with Science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foundation of each of our programs is an evidence-based intervention that exists in the in-person care setting,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the Centers for Disease Control and Prevention (the “CDC”)’s Diabetes Prevention Program. We have taken—in collaboration with groups like the CDC or ADA—the foundational designs of these programs and built upon them to create technology-enabled solutions able to reach patients at scale.</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demonstrated clinical outcomes and economic value across our multi-condition platform, including 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peer-reviewed studies as of June 3, 2024. These quantified results and data allow us to improve our programs and serve as a key differentiator in both product development and sales and marketing efforts.</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54"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140" w:hanging="545"/>
        <w:spacing w:after="0" w:line="255"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Validated by Experts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virtual care should be subject to many of the same quality control expectations as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in-person care. We have been at the forefront of seeking and achieving accreditations for our quality of care. We have received full recognition from the CDC’s Diabetes Prevention Recognition Program for certain deployments of our Omada for Prevention &amp; Weight Health program, as well as accreditations from the Association of Diabetes Care and Education Specialists (the “ADCES”) for our Diabetes program, the National Committee for Quality Assurance (the “NCQA”) for our type 2 Diabetes and combined Diabetes and Hypertension programs, and the Utilization Review Accreditation Commission (the “URAC”) for our MSK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220980</wp:posOffset>
            </wp:positionV>
            <wp:extent cx="6539230" cy="1485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3923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Scaled, Diversified Go-to-Market Model</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March 31, 2024, we had more than 2,000 customers, over 460,000 total members enrolled in one or more programs, and had served over one million members since launch. We believe that the breadth of our success is based in part on our diverse, customer-centric go-to-market strategy and our multi-condition approach. Our customers and channel partners are increasingly looking for solutions that effectively serve their members at scale and can be easily integrated within their existing benefits ecosystems.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contract with a wide variety of customers and channel partners, including fully insured health plans, self-insured employers, PBMs, and health systems that take on financial risk for some or all of their patients. Our diverse set of channels can offer customers flexibility in how they contract with Omada, either with Omada directly or through a channel partner, which can streamline enrollment, onboarding, and implementation. Our relationships with health plans and PBMs give many employers the flexibility to contract with us in the way they prefer.</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Representative customers include Costco, Intermountain Health, Honda, Louisiana Office of Group Benefits, and the State of Alaska. Our channel partner strategy also includes health plans and PBMs, such as Cigna Healthcare and Express Scripts by Evernorth.</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partner with our customers and channel partners across outreach, onboarding, and implementation with the goal of fostering long-term partnerships, retention, and commercial success. This focus on long-term partnerships is evident in our innovative pricing approach. We believe our incentives should be aligned with others in the broader ecosystem, particularly our customers and channel partners, and so we offer pricing models based on each enrolled member’s engagement and/or clinical outcomes.</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believe that we have established ourselves as a trusted partner in the virtual chronic condition management space. As a trusted healthcare provider for our members and a HIPAA covered entity, we are able to integrate with the broader healthcare ecosystem and obtain and use data more broadly to deliver evidence-based care and a connected member experience. Our track record of scaling the Compassionate Intelligence approach, serving multiple conditions, and delivering clinical results helps make Omada the partner of choice for many customers and channel partners to support their population.</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38% from $89.2 million to $122.8 million for the years ended December 31, 2022 and 2023, respectively. We incurred net losses of $72.5 million and $67.5 million for the years ended December 31, 2022 and 2023, respectively. We continue to generate revenue from recurring customers, as evidenced by our net dollar retention rate, which for customers who were contracted as of the beginning of the prior period, is calculated as total billings generated in a</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4"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particular period divided by total billings generated in the prior period and was 104% and 108% for the years ended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131445</wp:posOffset>
            </wp:positionV>
            <wp:extent cx="6929755" cy="12566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Chronic Condition Prevalence and Cost Continue to Rise Despite Traditional Approaches to Care</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Chronic condition prevalence has been rising for more than two decades and continues to rise. A RAND study from 2015 estimated that more than 170 million Americans could be living with one or more chronic conditions by 2030. According to the CDC, in 2023, chronic conditions were responsible for seven of every ten deaths in the U.S. and accounted for 90%, or $3.8 trillion, of annual medical spend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637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637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0" w:hanging="213"/>
        <w:spacing w:after="0" w:line="258" w:lineRule="auto"/>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American Diabetes Association, Dall, TM, Yang, W, Gillespie, K, et al., </w:t>
      </w:r>
      <w:r>
        <w:rPr>
          <w:rFonts w:ascii="Times New Roman" w:cs="Times New Roman" w:eastAsia="Times New Roman" w:hAnsi="Times New Roman"/>
          <w:sz w:val="14"/>
          <w:szCs w:val="14"/>
          <w:i w:val="1"/>
          <w:iCs w:val="1"/>
          <w:color w:val="auto"/>
        </w:rPr>
        <w:t>The Economic Burden of Elevated Blood Glucose Levels in 2017: Diagnosed and Undiagnosed Diabetes,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Gestational Diabetes Mellitus, and Prediabetes, </w:t>
      </w:r>
      <w:r>
        <w:rPr>
          <w:rFonts w:ascii="Times New Roman" w:cs="Times New Roman" w:eastAsia="Times New Roman" w:hAnsi="Times New Roman"/>
          <w:sz w:val="14"/>
          <w:szCs w:val="14"/>
          <w:color w:val="auto"/>
        </w:rPr>
        <w:t>Diabetes Care, September 2019; 42(9):1661-1668</w:t>
      </w:r>
    </w:p>
    <w:p>
      <w:pPr>
        <w:sectPr>
          <w:pgSz w:w="11900" w:h="16838" w:orient="portrait"/>
          <w:cols w:equalWidth="0" w:num="1">
            <w:col w:w="11080"/>
          </w:cols>
          <w:pgMar w:left="320" w:top="454" w:right="499" w:bottom="323" w:gutter="0" w:footer="0" w:header="0"/>
        </w:sectPr>
      </w:pPr>
    </w:p>
    <w:p>
      <w:pPr>
        <w:spacing w:after="0" w:line="1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080"/>
          </w:cols>
          <w:pgMar w:left="320" w:top="454" w:right="499" w:bottom="323"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There are several chronic conditions, including prediabetes, diabetes, obesity, hypertension, and MSK conditions, that are frequently comorbid and that we believe we can effectively treat with our Between-Visit Care model. According to the CDC, in 2021 prediabetes affected 98 million Americans, and 38 million Americans had diabetes. The ADA estimated annual costs of approximately $413 billion associated with diabetes, including approximately $307 billion in direct medical costs and $106 billion due to lost productivity, in 2022. The CDC also estimated that, between 2017 and 2020, obesity impacted 42% of adults in the U.S., equivalent to 104 million people, and in 2021, a study published in </w:t>
      </w:r>
      <w:r>
        <w:rPr>
          <w:rFonts w:ascii="Times New Roman" w:cs="Times New Roman" w:eastAsia="Times New Roman" w:hAnsi="Times New Roman"/>
          <w:sz w:val="18"/>
          <w:szCs w:val="18"/>
          <w:i w:val="1"/>
          <w:iCs w:val="1"/>
          <w:color w:val="auto"/>
        </w:rPr>
        <w:t>PLOS</w:t>
      </w:r>
      <w:r>
        <w:rPr>
          <w:rFonts w:ascii="Times New Roman" w:cs="Times New Roman" w:eastAsia="Times New Roman" w:hAnsi="Times New Roman"/>
          <w:sz w:val="18"/>
          <w:szCs w:val="18"/>
          <w:color w:val="auto"/>
        </w:rPr>
        <w:t xml:space="preserve"> estimated annual medical costs associated with obesity of nearly $173 billion. Hypertension also impacts a large population, with the CDC and Centers for Medicare &amp; Medicaid Services (“CMS”) estimating in 2021 that approximately 120 million Americans were living with the condition, and research published in the </w:t>
      </w:r>
      <w:r>
        <w:rPr>
          <w:rFonts w:ascii="Times New Roman" w:cs="Times New Roman" w:eastAsia="Times New Roman" w:hAnsi="Times New Roman"/>
          <w:sz w:val="18"/>
          <w:szCs w:val="18"/>
          <w:i w:val="1"/>
          <w:iCs w:val="1"/>
          <w:color w:val="auto"/>
        </w:rPr>
        <w:t>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American Heart Association </w:t>
      </w:r>
      <w:r>
        <w:rPr>
          <w:rFonts w:ascii="Times New Roman" w:cs="Times New Roman" w:eastAsia="Times New Roman" w:hAnsi="Times New Roman"/>
          <w:sz w:val="18"/>
          <w:szCs w:val="18"/>
          <w:color w:val="auto"/>
        </w:rPr>
        <w:t>in 2018 estimating costs of $131 billion annually. MSK conditions have an even broader prevalence, with a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The Lancet Regional Health – Americas</w:t>
      </w:r>
      <w:r>
        <w:rPr>
          <w:rFonts w:ascii="Times New Roman" w:cs="Times New Roman" w:eastAsia="Times New Roman" w:hAnsi="Times New Roman"/>
          <w:sz w:val="18"/>
          <w:szCs w:val="18"/>
          <w:color w:val="auto"/>
        </w:rPr>
        <w:t xml:space="preserve"> estimating that 127 million Americans—over one-third of the U.S. population—are affected by an MSK condition in 2019, at an approximate direct annual cost estimate in 2016 of $381 billion.</w:t>
      </w:r>
    </w:p>
    <w:p>
      <w:pPr>
        <w:spacing w:after="0" w:line="18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Employer-sponsored health insurance is the largest source of health coverage in the U.S., covering over 60% of the non-elderly population—over 164 million people—according to a 2023 report from the Peterson Center on Healthcare and KFF (formerly Kaiser Family Foundation). Employer annual health benefit costs and employee contributions are at all-time highs, with KFF showing employer premiums outpacing both wages and inflation in 2023 and for most of the last two decades. Given the portion of healthcare costs driven by chronic conditions, managing their financial impact is top of mind for employers and health plans.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we settle into a world where people regularly access healthcare in a number of different ways to meet their unique and changing needs, virtual care has a meaningful opportunity to improve patient outcomes with effective Between-Visit Care.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Many Digital Health Solutions Have Fallen Short in Attempts to Address Chronic Conditions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For more than a decade, digital health and virtual care solutions have promised to use technology to deliver greater access, lower costs, and provide a superior patient experience. While some gains have been made, when it comes to improving outcomes for those living with or at risk for chronic conditions, we believe many digital chronic condition management platforms have not meaningfully changed the trajectory. We believe there are several overlapping reasons for this, including:</w:t>
      </w:r>
    </w:p>
    <w:p>
      <w:pPr>
        <w:spacing w:after="0" w:line="203" w:lineRule="exact"/>
        <w:rPr>
          <w:sz w:val="20"/>
          <w:szCs w:val="20"/>
          <w:color w:val="auto"/>
        </w:rPr>
      </w:pPr>
    </w:p>
    <w:p>
      <w:pPr>
        <w:jc w:val="both"/>
        <w:ind w:left="1140" w:hanging="545"/>
        <w:spacing w:after="0" w:line="259"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Underestimating Trusted, Human-Led Relationships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digital health solutions underestimate the importance of trusted, consistent,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human-led relationships. Some solutions use an on-call panel of care staff to react to member needs, so each interaction is with a new provider. Other solutions remove humans entirely in favor of pure technology or bot-based services. We believe that trusted, consistent relationships and care continuity are key components of successful chronic condition management.</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One-Dimensional Care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solutions focus on a single condition or approach to treatment that ignores comorbidities or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status over time. This is inconvenient at best and potentially harmful at worst. Members with multiple chronic conditions will not have all of their needs met by a single point solution alone, and their care team may pursue a treatment path in isolation. Prescribed medications or exercises could be contraindicated with other necessary therapies, putting the burden on the member to reconcile different treatments.</w:t>
      </w:r>
    </w:p>
    <w:p>
      <w:pPr>
        <w:spacing w:after="0" w:line="206"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Lack of Personalization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 program that is flexible and takes members’ unique needs into account requires time and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many digital health solutions lead with overly automated, generic solutions. This “one size fits all” approach does not consider members’ unique backgrounds, identities, goals, and more—which can create a lack of trust and affinity to recommendations. Similarly, pushing a strict regimen, like a certain diet or exercise program, on members may only resonate with a small portion of a population that needs support. We believe a program that considers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4"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right="20"/>
        <w:spacing w:after="0" w:line="278" w:lineRule="auto"/>
        <w:rPr>
          <w:sz w:val="20"/>
          <w:szCs w:val="20"/>
          <w:color w:val="auto"/>
        </w:rPr>
      </w:pPr>
      <w:r>
        <w:rPr>
          <w:rFonts w:ascii="Times New Roman" w:cs="Times New Roman" w:eastAsia="Times New Roman" w:hAnsi="Times New Roman"/>
          <w:sz w:val="18"/>
          <w:szCs w:val="18"/>
          <w:color w:val="auto"/>
        </w:rPr>
        <w:t>context, changes over time, and encourages sustainable behavioral change is better positioned to achieve positive long-term health outcomes.</w:t>
      </w:r>
    </w:p>
    <w:p>
      <w:pPr>
        <w:spacing w:after="0" w:line="185" w:lineRule="exact"/>
        <w:rPr>
          <w:sz w:val="20"/>
          <w:szCs w:val="20"/>
          <w:color w:val="auto"/>
        </w:rPr>
      </w:pPr>
    </w:p>
    <w:p>
      <w:pPr>
        <w:jc w:val="both"/>
        <w:ind w:left="1140" w:hanging="545"/>
        <w:spacing w:after="0" w:line="25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Ignoring the Need for Clinical Evidence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digital health solutions do not ground their program design or offering in scientific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 and do not publish peer-reviewed clinical studies. Many do not seek or fail to achieve accreditation from third-party industry organizations that certify an ability to meet clinical quality standards or benchmarks. When companies do not take these measures to ensure quality or outcomes that can be independently measured and validated by relevant authorities, buyers may lack an unbiased basis on which to compare approaches and outcomes or calculate return on investment (“ROI”), which can lead to wasted time and money.</w:t>
      </w:r>
    </w:p>
    <w:p>
      <w:pPr>
        <w:spacing w:after="0" w:line="206"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Coordination With Overall Care Ecosystem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virtual care solutions fail to integrate with other stakeholders, such as providers,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or pharmacies, among others. This can create a disjointed member experience and increase complexity for patients. This lack of compatibility with the broader care ecosystem can be especially detrimental to those with chronic conditions, as it limits the opportunity to support patients between visits.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Navigating the Value (and Cost) of GLP-1s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It is an exciting time for the field of obesity and weight management. Glucagon-like peptide-1 agonists (“GLP-1s”) have demonstrated strong clinical efficacy, and several GLP-1s have U.S. Food and Drug Administration (“FDA”) approval to treat diabetes and obesity alongside changes in diet and exercise. Many consider these medications a generational breakthrough in the fight against obesity and obesity-related chronic conditions like diabetes, hypertension, and heart disease, among other conditions. Even with this breakthrough, we believe the critical need to encourage lasting behavior change remains. For those who can and choose to use GLP-1s, behavior change can help increase weight loss and counter the likely weight regain after discontinuation. For those who cannot or choose not to use GLP-1s, behavior change remains a core part of treatment for obesity and related conditions.</w:t>
      </w:r>
    </w:p>
    <w:p>
      <w:pPr>
        <w:spacing w:after="0" w:line="184"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 xml:space="preserve">GLP-1s have driven dramatic growth in the obesity market, with combined global sales of Ozempic, Rybelsus, Wegovy, and Mounjaro reaching $26.3 billion in 2023, according to Pew Research Center. GLP-1s represent a significant cost burden, however, and can cost over $1,000 per patient per month. Meanwhile, the lasting value derived from this therapy may be limited after discontinuation. An early randomized controlled trial published in </w:t>
      </w:r>
      <w:r>
        <w:rPr>
          <w:rFonts w:ascii="Times New Roman" w:cs="Times New Roman" w:eastAsia="Times New Roman" w:hAnsi="Times New Roman"/>
          <w:sz w:val="17"/>
          <w:szCs w:val="17"/>
          <w:i w:val="1"/>
          <w:iCs w:val="1"/>
          <w:color w:val="auto"/>
        </w:rPr>
        <w:t xml:space="preserve">Diabetes, Obesity &amp; Metabolism </w:t>
      </w:r>
      <w:r>
        <w:rPr>
          <w:rFonts w:ascii="Times New Roman" w:cs="Times New Roman" w:eastAsia="Times New Roman" w:hAnsi="Times New Roman"/>
          <w:sz w:val="17"/>
          <w:szCs w:val="17"/>
          <w:color w:val="auto"/>
        </w:rPr>
        <w:t>in 2022 showed patients regained two-thirds of their prior weight loss at one year after withdrawing from GLP-1 use.</w:t>
      </w:r>
    </w:p>
    <w:p>
      <w:pPr>
        <w:spacing w:after="0" w:line="16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These therapies present both an opportunity and a challenge: employers and other entities that pay for GLP-1s (including health plans and PBMs) must weigh the cost and long-term value of the therapies with the potential impact for the millions of U.S. adults who could be eligible for GLP-1s. According to a 2023 survey of 205 employers conducted by the International Foundation of Employee Benefit Plans, while the majority of employers cover obesity drugs for diabetes, only 27% of employers cover the drugs for weight loss, and only another 13% were considering adding weight loss coverage. Some employers, such as Hennepin Health, Ascension, and University of Texas, have publicly announced their intent to stop coverage for these drugs due to their high costs and low perceived benefit.</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When employers and health plans do choose to cover this class of drugs, FDA labeling recommendations as of December 31, 2023 guide that GLP-1s should be prescribed concurrently with a behavioral and lifestyle treatment plan. According to the </w:t>
      </w:r>
      <w:r>
        <w:rPr>
          <w:rFonts w:ascii="Times New Roman" w:cs="Times New Roman" w:eastAsia="Times New Roman" w:hAnsi="Times New Roman"/>
          <w:sz w:val="18"/>
          <w:szCs w:val="18"/>
          <w:i w:val="1"/>
          <w:iCs w:val="1"/>
          <w:color w:val="auto"/>
        </w:rPr>
        <w:t>2023 Trends in Drug Benefit Design Report</w:t>
      </w:r>
      <w:r>
        <w:rPr>
          <w:rFonts w:ascii="Times New Roman" w:cs="Times New Roman" w:eastAsia="Times New Roman" w:hAnsi="Times New Roman"/>
          <w:sz w:val="18"/>
          <w:szCs w:val="18"/>
          <w:color w:val="auto"/>
        </w:rPr>
        <w:t xml:space="preserve"> by the Pharmaceutical Strategies Group, of the benefits leaders across employers and health plans who indicated they would cover GLP-1s for weight loss or were considering coverage in the next one to two years, 22% required participation in a lifestyle modification program for coverage of the medication, and another 20% offered these programs with voluntary participation. We believe the long-term behavior change promoted by a lifestyle modification program can improve and extend the benefits of GLP-1 medications, can help to counter the drawbacks like loss of muscle mass, and can help benefits leaders justify near-term increases in prescription drug expense.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4"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2484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People with chronic health conditions are the largest and highest-cost populations in the entire U.S. healthcare system. Throughout our journey, we have dedicated significant resources and worked closely with the leading scientific and regulatory bodies to develop a novel, virtual approach to chronic condition management with interventions that are clinically validated and can fundamentally change lives.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target population comprises individuals covered by commercial health insurance. Based on 2023 estimates of the number of individuals covered under employer health plans, the estimated prevalence of prediabetes and diabetes in the U.S., and the monthly list price of our programs per active member, multiplied by 12, we estimate that the near-term addressable market size for prediabetes and diabetes is $44.3 billion and $18.5 billion, respectively.</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estimate that our hypertension program represents a $33.8 billion near-term addressable market, based on our target population, the estimated prevalence of the disease, and the monthly list price of our program per active member, multiplied by 12. Note that this estimation excludes those individuals who have hypertension and a comorbidity of prediabetes or diabetes.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Based on the high prevalence of MSK conditions in our target population and the list price of our program per member for a single episode of care, assuming typical utilization, we estimate that MSK conditions represent a $47.8 billion near-term addressable market.</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Over the longer term, we may promote our programs more deliberately to other lines of business where we have yet to place significant focus, such as Medicare Advantage plans. KFF estimated that in 2023 there were 30.8 million Medicare Advantage beneficiaries, which represents 51% of all eligible Medicare beneficiaries. Based on the U.S. prevalence estimates across prediabetes, diabetes, hypertension, and MSK conditions, the size of the Medicare Advantage population, and the list price of our programs per member as described below, we estimate an additional $30.1 billion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145415</wp:posOffset>
            </wp:positionV>
            <wp:extent cx="6692265" cy="34055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92265" cy="340550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080"/>
          </w:cols>
          <w:pgMar w:left="320" w:top="454" w:right="4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believe that our clinical programs position Omada as an attractive behavior and lifestyle companion choice for GLP-1 therapies. People receiving GLP-1s for an obesity diagnosis would likely also have a clinical need for an Omada program. Given the comorbidities between obesity and the chronic conditions we serve, and the FDA label recommendation as of December 31, 2023 for lifestyle management programs in conjunction with GLP-1s, we see an additional opportunity to capture members who can utilize our GLP-1 Care Track alongside our core programs.</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estimates of our market opportunity for adults with prediabetes, diabetes, hypertension, and MSK conditions rely on data across each condition for the U.S. population as a whole. These estimates assume that prevalence rates do not vary by geography or across age groups, with the exception of diabetes, which considers different prevalence rates across age groups based on estimates from the CDC. If estimates for the prevalence of adults with prediabetes, diabetes, hypertension, and MSK conditions change, our calculations would be affected correspondingly. Additionally, we use the current monthly list prices of our cardiometabolic programs per member, multiplied by 12, and the list price of our program per member for a single episode of care, assuming typical utilization, for our MSK program, assuming in each case no changes in the future, to determine the potential market opportunity and assume we could capture the entirety of the population with these conditions for purposes of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6929755" cy="5367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536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Despite much effort over the last two decades, there has been little improvement in diabetes outcomes. In fact, the World Health Organization noted that there was a 3% increase in mortality outcomes from diabetes from 2000 to 2019. While traditional providers and care teams can set a patient on the right treatment plan, factors outside of the doctor’s office significantly influence outcomes. According to a study in the </w:t>
      </w:r>
      <w:r>
        <w:rPr>
          <w:rFonts w:ascii="Times New Roman" w:cs="Times New Roman" w:eastAsia="Times New Roman" w:hAnsi="Times New Roman"/>
          <w:sz w:val="18"/>
          <w:szCs w:val="18"/>
          <w:i w:val="1"/>
          <w:iCs w:val="1"/>
          <w:color w:val="auto"/>
        </w:rPr>
        <w:t>American Journal 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4"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Preventive Medicine </w:t>
      </w:r>
      <w:r>
        <w:rPr>
          <w:rFonts w:ascii="Times New Roman" w:cs="Times New Roman" w:eastAsia="Times New Roman" w:hAnsi="Times New Roman"/>
          <w:sz w:val="18"/>
          <w:szCs w:val="18"/>
          <w:color w:val="auto"/>
        </w:rPr>
        <w:t>that looked at data from the 2015 County Health Rankings, less than 20% of what determines health outcomes are attributed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in-office medical care. The remaining more than 80% are determined outside of direct medical care and include factors like weight management, diet, exercise, social support, and medication adherence practices. We created Omada to provide support in the space between visits.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Omada members have valuable support at their fingertips, every day, for all the little and big moments that make or break their success between visits. We believe persistent, proactive, empathetic caregivers that can deeply understand a person, get to know their goals, and provide support and accountability are needed to impact outcomes. Technology improves and scales this by allowing for precision, visibility to data and insights, and a rich set of tools that enable personalization. We call the combination of people and technology—the Omada Care Approach—Compassionate Intelligence.</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For example, our technology analyzes millions of pieces of member data from disparate sources to provide a deep, rich analysis of what leads to better health outcomes. These insights are surfaced to our Care Teams who use them to develop a context-informed care plan, with personalized member outreach that aims to proactively deliver the right support to the right member at the right time. Actions and subsequent progress are observed, measured, and captured in our robust datasets, built from data from over one million members served since launch. The more members we serve, the more data we learn from, and the more effective we become at delivering personalized interventions that can drive engagement and clinical outcomes at scale.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Care Teams: Delivering Connected Care at Scale</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Care Teams are at the center of the relationship and the foundation of trust Omada builds with members and are key to our Compassionate Intelligence care approach. Our Care Teams work in close coordination to deliver personalized, virtual, Between-Visit Care to members. Our dedicated Care Teams are designed to remain with each member throughout their journey with Omada. They work to proactively engage members even before issues occur, providing support and guidance based on data and insights from our proprietary Care Team Platform.</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For more than a decade, studies in care delivery for chronic conditions have shown that multidisciplinary care teams with defined roles and functions outperform a single provider or caregiver. Our Care Teams were designed with this in mind. Each Care Team consists of a primary health coach, relevant specialists, and/or a licensed physical therapist, depending on the program, allowing us to cost-effectively leverage the right professionals for the right care delivery needs. Each Care Team member is empowered to operate effectively within their relevant training or licenses and is supported by technology that can help remove mundane administrative tasks and clear the way for member care.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4"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Below is how each member of our Care Team delivers care or support within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168910</wp:posOffset>
            </wp:positionV>
            <wp:extent cx="6581775" cy="3193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81775" cy="319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140" w:hanging="545"/>
        <w:spacing w:after="0" w:line="259"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Coach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Coaches provide one-on-one education and support directly to members across our Prevention &amp; Weight Health, 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(type 2 diabetes only), and Hypertension programs, including for members on GLP-1s. All coaches undergo specialty training, per CDC guidelines, and most coaches have a strong background in nutrition and health coaching. Each Omada health coach also obtains certification as a Diabetes Prevention Program Lifestyle Coach and receives on-the-job training.</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Diabetes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cardiometabolic specialists provide additional clinical data interpretation support to members in our 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reviewing data from continuous glucose monitors (“CGMs”) and blood glucose monitors, medication information, and labs. They work closely with the health coach, communicating via the Care Team Platform, as well as directly with the member. All Omada cardiometabolic specialists are Certified Diabetes Care and Education Specialists.</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Hypertension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cardiometabolic specialists provide additional clinical data interpretation support to members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Hypertension program, reviewing blood pressure monitor data, medication information, and labs. They work closely with the health coach, communicating via the Care Team Platform, as well as directly with the member. All Omada cardiometabolic specialists are Certified Diabetes Care and Education Specialists and complete additional hypertension-related training.</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Licensed Physical Therapist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physical therapists provide direct clinical care to members in the MSK program and also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consultative support and input to our coaches in our Prediabetes, Diabetes, and Hypertension programs on an as-needed basis. They have also recently focused on providing content and support on the potential loss of muscle mass from GLP-1 weight loss medication for our GLP-1 Care Track.</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Licensed Clinical Social Worker (Behavioral Health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clinical social workers provide behavioral health consultation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other Care Team members across all clinical programs on an as-needed basis when a coach, a member, or data suggests a need for enhanced behavioral health support.</w:t>
      </w:r>
    </w:p>
    <w:p>
      <w:pPr>
        <w:spacing w:after="0" w:line="197" w:lineRule="exact"/>
        <w:rPr>
          <w:rFonts w:ascii="Times New Roman" w:cs="Times New Roman" w:eastAsia="Times New Roman" w:hAnsi="Times New Roman"/>
          <w:sz w:val="18"/>
          <w:szCs w:val="18"/>
          <w:color w:val="auto"/>
        </w:rPr>
      </w:pPr>
    </w:p>
    <w:p>
      <w:pPr>
        <w:ind w:left="1140" w:hanging="545"/>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Member Support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Support Agents provide device and platform support to members across all programs, via phone,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self-service support articles.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4"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Omada provides a unique opportunity for individuals to make an impact across the lives of thousands of people each year. We believe that the differentiated structure of our Care Teams and the important position of each role, together with Omada’s employee compensation, benefits package, training and career opportunities, and workplace culture, make these highly desirable roles for those interested in health or wellness coaching and chronic condition care. As of December 31, 2023, our trailing-12-month retention rate for health coaches was 92%. Health coaches also have the opportunity to pursue a Certified Diabetes Care and Education Specialist credential, offering career path progression to a cardiometabolic specialist role. This helps us recruit and retain great talent who align with our mission and vision, serve to reinforce our culture, and underpin our efforts to engage members on their path to achieving long-term behavior change and lifelong health.</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Technology: Enabling a Personalized Health Experience</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technology platform is purpose-built to magnify the impact of our Between-Visit Care model and drive operational excellence in a trusted and secure way. We use technology to harness the distinctly human ability of our Care Teams to connect with members and build a personal relationship across a diverse and growing member population. Our technology enables our Care Teams to build trust with more members faster, targeting greater impact at lower cost than traditional care models. We also use technology to scale our enterprise and to drive internal efficiencies across our business, such as member enrollment, coach capacity planning, device fulfillment, and reporting for customers and channel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29755" cy="2836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283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collect data from a wide range of interactions between our members, our technology platform, connected third-party devices, and our Care Teams. Our Care Team Platform receives more than 100,000 data points every 30 minutes, as of March 2024. These data feed into and power continuous adjustments, inform care pathways unique to the member, and help our Care Teams determine when the human touch can be most effective using real-time engagement data. Our approach is designed to promote meaningful engagement across all of our programs:</w:t>
      </w:r>
    </w:p>
    <w:p>
      <w:pPr>
        <w:spacing w:after="0" w:line="207" w:lineRule="exact"/>
        <w:rPr>
          <w:sz w:val="20"/>
          <w:szCs w:val="20"/>
          <w:color w:val="auto"/>
        </w:rPr>
      </w:pPr>
    </w:p>
    <w:p>
      <w:pPr>
        <w:ind w:left="1140" w:right="20" w:hanging="545"/>
        <w:spacing w:after="0" w:line="278"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more than 55% of members still engaged with our cardiometabolic programs at least once per month after a year in the program, and over 50% still engaged monthly after two years.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in 2023, members in a cardiometabolic program engaged more than 30 times per month throughout their first year.</w:t>
      </w:r>
    </w:p>
    <w:p>
      <w:pPr>
        <w:spacing w:after="0" w:line="24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members with an active MSK condition spent an average of eight to eleven weeks in our MSK program and completed over 25 workouts on average during their episode of care.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4"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integrated technology platform supports activities across the entire lifecycle of our work with customers, channel partners, and members: from benefit eligibility confirmation and enrollment outreach to application and member onboarding, device management and fulfillment, member-facing tools and applications, Care Team tools, data capture and storage, and platform and billing infrastructure. The investments in our technology and Care Team Platform have enabled us to scale and serve more than one million members since launch, while retaining and ensuring the ability to deliver an exceptional member experience, with high clinical quality and consistency. For example, improvements in both the efficiency and effectiveness of our platform have yielded a 24% increase in total members per coach from full year 2022 to full year 2023, while maintaining comparable 6-month weight loss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146050</wp:posOffset>
            </wp:positionV>
            <wp:extent cx="6700520" cy="30232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00520" cy="302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Member-Facing Applications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member-facing platform is designed to offer a cohesive and integrated experience that encompasses the full range of direct interactions a member has with Omada. From their first introduction via our outbound outreach, through application and enrollment, to the delivery of our care programs, our members’ journeys come to life within the technology stack.</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Through a single log-in to our mobile and web applications, members can access interactive lessons, peer groups, social communities, devices and meal tracking, and their dedicated Care Team. Once the member enrolls in an Omada program, their journey is immediately personalized through what they experience in the app and by Care Team communications. Every time they log on, they land on a dynamic home screen that reflects specific content and activities based on their program and current goals. A continuous feedback loop is available through our analytics suite that informs continuous improvement of our recommendations, actions, and content.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Connected Devices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clinically appropriate, we provide members with a suite of connected third-party devices that quantitatively measure progress, surface real-time member data to our platform, and can inform further personalization they receive from their Care Team. Depending on the program, these devices can include scales, blood pressure monitors, blood glucose monitors, and CGMs. For example, a typical Prevention &amp; Weight Health member will receive a scale, whereas a typical Hypertension member might receive both a scale and a blood pressure monitor.</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Most devices are cellular-connected devices paired with their member account that require no setup by the member and transmit fast, accurate readings directly to Omada. Members get real-time visibility and awareness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4"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of how their behaviors are impacting their health, creating incredibly valuable learning moments and engagement with the program. Care Teams use the data to generate insights that further personalize members’ care plans and interventions, creating additional member learning moments.</w:t>
      </w:r>
    </w:p>
    <w:p>
      <w:pPr>
        <w:spacing w:after="0" w:line="16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CGM offering in our Omada for Diabetes program particularly stands out. CGMs can provide a motion-picture-like view of a member’s blood sugar compared to the still photo a blood glucose monitor provides. We support data integration for members who already use a CGM, and we provide third-party CGM sensors at critical points in our Diabetes program to members who do not have those sensors. We have a partnership with Abbott Laboratories that includes the supply of FreeStyle Libre sensors for our Diabetes program. We make available the FreeStyle Libre sensors at no cost to members and facilitate members’ ability to seek prescriptions for these CGMs, where appropriate, through a third-party care partner. We have seen that real-time glucose data can provide our members and Care Teams with rich insight into managing glucose levels. We have also seen that members who engage with CGMs are more engaged in the program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307340</wp:posOffset>
            </wp:positionV>
            <wp:extent cx="6640830" cy="22167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40830"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Care Team Platform</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Care Teams can drive human connections that build trust, improve effectiveness of interventions, and start the flywheel of positive experiences and outcomes for members. Facilitating this at scale is complex and requires integrated software that supports the member experience as well as Care Team and device operations. The most commonly used electronic health record (“EHR”) systems on the market do not offer all of the features we believe are necessary for Between-Visit Care. Existing EHR systems built for traditional care did not support the level of communication, content integration, continuous workflow optimization, or ease of use we desired. So we built our own.</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Care Team Platform is designed for easy and efficient navigation, and to enable our Care Teams to drive positive outcomes for members. Upon enrollment, we match health coaches to members based on key indicators of their needs, then assign a Care Team depending on the program and context. Through the Care Team Platform, we surface shared member context for easy reference and enable Care Team members to communicate with each other and with members through asynchronous messaging. Our proprietary tools also enhance many activities in the Care Team workflow. For example, we have developed algorithms, informed by data from our member interactions, that can help prioritize and organize our Care Teams’ inboxes. These algorithms can also identify potential high-impact opportunities to support a member and can surface those opportunities for review and action by our trained Care Teams.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regularly assess operating workflows and care path activities with a goal of making our Care Teams more effective and efficient. For example, in 2023, we reduced the time needed for a coach to support the first year of a member’s journey with Omada for Prevention &amp; Weight Health by 5% without negatively impacting our key measures of member engagement. To accomplish this, we highlighted patterns in members’ early</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4"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engagement profiles and incorporated new criteria to help our Care Teams identify priority members for outreach. We enabled our Care Teams to make more targeted clinical interventions that considered how likely a member was to respond and added detail to make the topics more relevant to a given member’s journey from the very first month. Going forward, we expect to continue evaluating potential workflow efficiencies to further scale the impact of our Care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142875</wp:posOffset>
            </wp:positionV>
            <wp:extent cx="6675120" cy="41275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75120" cy="412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Purpose-Built Infrastructure</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technology platform includes a combination of custom-built technology and commercially available software. Our eligibility and outreach layer can screen members for coverage, clinical eligibility, and program needs. Prospective members follow a single application that routes them into the best program based on their needs and eligibility. Our programs are mobile-first, across iOS and Android, which enables us to better reach members throughout their daily lives.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Omada is regulated as a healthcare provider and a HIPAA covered entity. Safe and secure data capture and storage are critical to our business. Our data technology stack includes data extraction, structuring, and warehousing; event tracking and analysis software; and integrations across tools designed to ensure a single source of truth for critical tasks, from billing via claims to Care Team intervention prompts.</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As we deliver care to members between visits with their in-person providers, we believe it is important to share data within the broader healthcare ecosystem rather than operate in isolation. We enable members to share their health information from our programs with their in-person providers. As a healthcare provider, we can also exchange health information bidirectionally in support of members through our access to health information exchanges. As part of our healthcare operations, we use data to inform and enable our delivery of relevant clinical interventions, and we look to leverage data analysis and data science to drive meaningful impact on member outcomes at scale.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4"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Continuous Innovation: The Omada Insights 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18415</wp:posOffset>
            </wp:positionV>
            <wp:extent cx="3719830" cy="27940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19830"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At Omada, we have invested in continuous innovation across our programs, conscious that every gain in efficiency and effectiveness could help more members to reach their health goals. Informed by our robust dataset from delivering care to over one million members since launch, the Omada Insights Lab develops dynamic insights and multi-disciplinary analysis. A cross-functional collaboration of experienced teams in clinical, product, design, engineering, and Care Teams, the Insights Lab targets the discovery of insights that drive innovative and cost-effective interventions in chronic condition care.</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As we learn, we use some of the best practice product design and development methodologies for rapid testing and iteration, like Continuous Discovery (opportunity mapping, hypothesis testing, frequent user interviewing), and (scrum) Agile software development practices. We also leverage artificial intelligence (“AI”), including generative AI (“GenAI”), and machine learning (“ML”), which we describe further below, to help us drive scalable operating efficiencies that support our Care Team-centered model. As the general state of AI and ML technology continues to evolve, we plan to evaluate new ways in which these technologies could further enhance the impact of what we build.</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Over time, we have produced improvements to a number of activities in order to drive meaningful impact at scale and reflect our member-centric design approach and commitment to exceptional experiences, including:</w:t>
      </w:r>
    </w:p>
    <w:p>
      <w:pPr>
        <w:spacing w:after="0" w:line="185" w:lineRule="exact"/>
        <w:rPr>
          <w:sz w:val="20"/>
          <w:szCs w:val="20"/>
          <w:color w:val="auto"/>
        </w:rPr>
      </w:pPr>
    </w:p>
    <w:p>
      <w:pPr>
        <w:jc w:val="both"/>
        <w:ind w:left="1140" w:hanging="545"/>
        <w:spacing w:after="0" w:line="265"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Instant Context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leverage the GenAI capabilities of prominent, third-party large language models, augmented with internal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interactions with members, to prepare helpful contextual summaries of certain member history and circumstances, for evaluation by our trained Care Teams. These summaries can reduce the time Care Teams spend gathering valuable context for individualized responses.</w:t>
      </w:r>
    </w:p>
    <w:p>
      <w:pPr>
        <w:spacing w:after="0" w:line="197"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Message Tagging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third-party embedding generators to encode messages between our Care Teams and members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categorization and then apply our own ML algorithms to help categorize and apply certain tags to those messages. This tagging can eliminate the need for Care Teams to manually categorize messages and can enrich our understanding of intervention effectiveness.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80"/>
          </w:cols>
          <w:pgMar w:left="320" w:top="454"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140" w:hanging="545"/>
        <w:spacing w:after="0" w:line="259"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Smart Recommendations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developed our own ML algorithms, informed by data from our member interactions and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our content libraries, to create a content recommendation engine that can use predictive insights to present members with relevant wellness content and resources based on circumstances and factors that our clinical teams believe are likely to make those resources most relevant. These smart recommendations can provide more impactful information to members at more opportune times.</w:t>
      </w:r>
    </w:p>
    <w:p>
      <w:pPr>
        <w:spacing w:after="0" w:line="203"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MSK Computer Vision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leverage and configure third-party computer vision libraries available on leading mobile devices to evaluate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form in performing certain exercises or motions. We have also developed a domain-specific language to enable non-engineers, like our affiliated physical therapists, to more easily write new scripts that allow us to assess additional types of exercises and motions for our MSK Program. This AI-powered computer vision technology can provide real-time feedback to members and help physical therapists analyze how well care plans are producing improvements in 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298450</wp:posOffset>
            </wp:positionV>
            <wp:extent cx="5732145" cy="38893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32145" cy="388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extensible, integrated technology platform has allowed us to evolve our programs in support of new conditions (including Omada for Diabetes, Omada for Hypertension, and Omada for MSK), additional comorbidities (like behavioral health issues), and new treatments that emerge (such as GLP-1s, supported through our new Care Track). We plan to leverage this extensible platform in similar ways in the future to pursue strategic clinical, customer, and market opportunities.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4"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2230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When our sales team engages with customers and channel partners, we often hear that obesity, diabetes, hypertension, and MSK conditions are impacting employee health and driving up the total cost of care. However, many still contract with multiple vendors, in some cases as many as ten, in order to construct a health benefits offering that meets their needs. This approach can result in several ongoing program implementations, confusion among employees, under-utilization of the different programs, and difficulty measuring outcomes across an employee population. Omada offers a single platform that delivers integrated, evidence-based chronic condition programs for several condition areas without the need to contract with multiple providers, providing a streamlined and convenient experience for members.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Since launching our first program in 2012, we observed a demand from our customers and channel partners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Prevention &amp; Weight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171450</wp:posOffset>
            </wp:positionV>
            <wp:extent cx="6929755" cy="25393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Omada for Prevention &amp; Weight Health, our first program launched in 2012, focuses on prediabetes and weight management, two critical elements of preventing diabetes and heart disease. Informed by guidelines and recommendations set by the U.S. Preventive Services Task Force and the CDC, the goal of the program is to enable members to lose weight, maintain a healthy weight, and increase physical activity. We pair members with a dedicated health coach for the entirety of their experience and support them with a connected scale, a personalized learning path, nutrition counseling, and support from peer groups to build community.</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for Prevention &amp; Weight Health program as our cardiometabolic programs.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4"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171450</wp:posOffset>
            </wp:positionV>
            <wp:extent cx="6725920" cy="2335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25920" cy="233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Launched in 2018, Omada for Diabetes is designed to help members with type 1 or type 2 diabetes achieve stable blood glucose levels and meet and reach their A1C reduction goals based in part on treatment guidelines from the ADA. According to the CDC, between 2017 and 2020, nearly 90% of people with type 2 diabetes had obesity or were overweight, and so we also support members with reaching and maintaining a healthy weight through modifications in diet, exercise, and other behaviors. Members are paired with a dedicated, professionally trained health coach and a Certified Diabetes Care and Education Specialist. Members are also provided with connected third-party devices based on their needs, which can include a connected scale and a blood glucose monitor. We can also facilitate prescriptions for CGM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spacing w:after="0" w:line="18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proud to have earned the NCQA’s Population Health Program Accreditation for our fully virtual type 2 Diabetes and combined Diabetes and Hypertension programs.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171450</wp:posOffset>
            </wp:positionV>
            <wp:extent cx="6725920" cy="23863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25920" cy="238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Launched in 2018, Omada for Hypertension is designed to help reduce members’ blood pressure and help them maintain healthy blood pressure based on clinical protocols recommended by the American Medical Association (the “AMA”), the American College of Cardiology (the “ACC”), and the American Heart Association (the “AHA”). As with type 2 diabetes, hypertension is often comorbid with obesity; according to a June 2021 report from the National Center of Health Statistics that reviewed data between 2017 and 2020, approximately 58% of U.S. adults who were classified as having obesity also had hypertension. We help members in need of weight management support in reaching and maintaining a healthy weight through</w:t>
      </w:r>
    </w:p>
    <w:p>
      <w:pPr>
        <w:sectPr>
          <w:pgSz w:w="11900" w:h="16838" w:orient="portrait"/>
          <w:cols w:equalWidth="0" w:num="1">
            <w:col w:w="11080"/>
          </w:cols>
          <w:pgMar w:left="320" w:top="454" w:right="499" w:bottom="1440" w:gutter="0" w:footer="0" w:header="0"/>
        </w:sectPr>
      </w:pP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080"/>
          </w:cols>
          <w:pgMar w:left="320" w:top="454" w:right="4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modifications to diet, exercise, and other behaviors. Members are paired with a dedicated, professionally trained health coach and a Certified Diabetes Care and Education Specialist. Members are also provided with connected third-party devices based on their needs, which can include a connected scale and a blood pressure monitor. As in our Prevention &amp; Weight Health program, members are engaged with a personalized learning path and supported by peer groups.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MSK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171450</wp:posOffset>
            </wp:positionV>
            <wp:extent cx="6725920" cy="22250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25920"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First offered by Omada in 2020, Omada for MSK connects individuals to licensed physical therapists for consultation and virtual treatment.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 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long-term health. Our education library includes hundreds of pieces of content, ranging from articles to interactive media and videos.</w:t>
      </w:r>
    </w:p>
    <w:p>
      <w:pPr>
        <w:spacing w:after="0" w:line="18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58% of people who had diabetes also suffered from an MSK condition, according to a </w:t>
      </w:r>
      <w:r>
        <w:rPr>
          <w:rFonts w:ascii="Times New Roman" w:cs="Times New Roman" w:eastAsia="Times New Roman" w:hAnsi="Times New Roman"/>
          <w:sz w:val="18"/>
          <w:szCs w:val="18"/>
          <w:i w:val="1"/>
          <w:iCs w:val="1"/>
          <w:color w:val="auto"/>
        </w:rPr>
        <w:t>Journal of Back and Musculoskeletal Rehabilitation</w:t>
      </w:r>
      <w:r>
        <w:rPr>
          <w:rFonts w:ascii="Times New Roman" w:cs="Times New Roman" w:eastAsia="Times New Roman" w:hAnsi="Times New Roman"/>
          <w:sz w:val="18"/>
          <w:szCs w:val="18"/>
          <w:color w:val="auto"/>
        </w:rPr>
        <w:t xml:space="preserve"> meta-analysis in 2019. As a result, we believe our MSK program can be highly complementary to our cardiometabolic offering. Independently accredited by URAC for virtual physical therapy services for joint and muscle health from licensed physical therapists, Omada for MSK meets the high clinical standards we have set across our suite of programs.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GLP-1 Care Track</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Launched in 2023, Omada’s GLP-1 Care Track is designed to support members on a GLP-1 therapy—while also engaged in one of our cardiometabolic programs—to enable their success before, during, and after GLP-1 therapy. This Care Track has resonated with our customers and channel partners, as demonstrated by the March 2024 announcement of our collaboration with Evernorth. Through this collaboration, our lifestyle support programs will be provided to eligible members enrolled in EncircleRx, an Express Scripts by Evernorth solution designed to help clients manage GLP-1 costs. The GLP-1 Care Track is intended to build and enhance outcomes from the combination of our virtual programs and the member’s medication, with the ultimate goal of supporting members to achieve and maintain weight loss long-term—even after they decide to discontinue GLP-1 therapy.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4"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9848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98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40" w:hanging="545"/>
        <w:spacing w:after="0" w:line="25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Omada supports entities covering the cost of GLP-1 therapy, such as employers and PBMs, by seeking to manage flexible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utilization of GLP-1 therapy through data-driven insights and our extensive experience with cardiometabolic conditions. GLP-1s represent a significant cost to medical budgets but are proven to result in significant clinical outcomes, often making the decision to include coverage for GLP-1 therapies a difficult one. Omada can provide data to plan sponsors to inform their decisions on how to effectively balance GLP-1 coverage while pursuing their goals across health outcomes, engagement, and cost.</w:t>
      </w:r>
    </w:p>
    <w:p>
      <w:pPr>
        <w:spacing w:after="0" w:line="206"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During 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enrolled in an Omada cardiometabolic program and taking a GLP-1 can receive support from our GLP-1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which emphasizes the importance of healthy behavior change while on the medication. Omada health coaches and credentialed specialists supporting this Care Track are trained on GLP-1s to provide relevant education, access to resources, and content around safe GLP-1 use and discontinuation, as well as access to a GLP-1 peer community. Our Care Track is designed to help members understand their prescriber’s instructions, how the medication may be affecting them, including managing side effects, and how to incorporate lifestyle changes, including nutrition changes, exercise, and muscle loss mitigation, with the goal of increasing the success of the therapy.</w:t>
      </w:r>
    </w:p>
    <w:p>
      <w:pPr>
        <w:spacing w:after="0" w:line="205" w:lineRule="exact"/>
        <w:rPr>
          <w:rFonts w:ascii="Times New Roman" w:cs="Times New Roman" w:eastAsia="Times New Roman" w:hAnsi="Times New Roman"/>
          <w:sz w:val="18"/>
          <w:szCs w:val="18"/>
          <w:color w:val="auto"/>
        </w:rPr>
      </w:pPr>
    </w:p>
    <w:p>
      <w:pPr>
        <w:jc w:val="both"/>
        <w:ind w:left="1140" w:hanging="545"/>
        <w:spacing w:after="0" w:line="253"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Post-Therapy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Omada encourages long-term weight loss through sustained lifestyle change across our cardiometabolic programs.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members choose to discontinue GLP-1s, the GLP-1 Care Track supports them as they prepare for this discontinuation, with the goal of maintaining benefits gained during therapy. In a 2022 clinical study published in </w:t>
      </w:r>
      <w:r>
        <w:rPr>
          <w:rFonts w:ascii="Times New Roman" w:cs="Times New Roman" w:eastAsia="Times New Roman" w:hAnsi="Times New Roman"/>
          <w:sz w:val="18"/>
          <w:szCs w:val="18"/>
          <w:i w:val="1"/>
          <w:iCs w:val="1"/>
          <w:color w:val="auto"/>
        </w:rPr>
        <w:t>Diabetes, Obesity and Metabolism</w:t>
      </w:r>
      <w:r>
        <w:rPr>
          <w:rFonts w:ascii="Times New Roman" w:cs="Times New Roman" w:eastAsia="Times New Roman" w:hAnsi="Times New Roman"/>
          <w:sz w:val="18"/>
          <w:szCs w:val="18"/>
          <w:color w:val="auto"/>
        </w:rPr>
        <w:t>, patients on GLP-1s regained on average two-thirds of weight lost one year after withdrawal of the GLP-1 protocol. The study found similar changes in cardiometabolic variables after stopping the drug. We believe that studies like this one reinforce the need for programs like Omada to help members take steps to maintain weight loss and other benefits from therapies like GLP-1s, particularly in light of the upfront cost burden to plan sponsors.</w:t>
      </w:r>
    </w:p>
    <w:p>
      <w:pPr>
        <w:spacing w:after="0" w:line="18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Given the dynamic nature of the GLP-1 space, we expect there may be further opportunities for Omada to provide additional value for members on GLP-1s in the coming years.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Member Experience</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virtual care programs are built on six foundational components that we deliver to help members to stay on track: flexible learning paths, dedicated Care Teams, curated peer support groups, connected third-party devices, medication support, and behavioral health support. Together, these components lead to engaging experiences, measurable outcomes, and sustainable behavior change.</w:t>
      </w:r>
    </w:p>
    <w:p>
      <w:pPr>
        <w:spacing w:after="0" w:line="198" w:lineRule="exact"/>
        <w:rPr>
          <w:sz w:val="20"/>
          <w:szCs w:val="20"/>
          <w:color w:val="auto"/>
        </w:rPr>
      </w:pPr>
    </w:p>
    <w:p>
      <w:pPr>
        <w:jc w:val="both"/>
        <w:ind w:left="1140" w:hanging="545"/>
        <w:spacing w:after="0" w:line="259"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Flexible Learning Paths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programs are flexible and allow members to follow a learning path that addresses their individual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challenges. As members identify specific goals, our Care Teams and technology platform can provide relevant information from our robust library of educational content and interactive resources to support members towards those goals. Our member applications are accessible 24/7, providing a member-centric experience when, where, and how members need it.</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4"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203835</wp:posOffset>
            </wp:positionV>
            <wp:extent cx="5273675" cy="2844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73675" cy="284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140" w:hanging="545"/>
        <w:spacing w:after="0" w:line="256"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Dedicated 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member is assigned a dedicated Care Team that is assembled based on data provided during enrollment.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Care Team includes a health coach, a specialist (for type 1 diabetes), or a physical therapist who acts as the member’s primary contact. Care Teams for members living with type 2 diabetes and/or hypertension also include a diabetes and/or hypertension specialist, as applicable, in addition to the member’s primary contact. Licensed clinical social workers and physical therapists are also available to consult with frontline Care Team members, and members can also interact with member support agents for platform and device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221615</wp:posOffset>
            </wp:positionV>
            <wp:extent cx="5044440" cy="32613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44440" cy="326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140" w:hanging="545"/>
        <w:spacing w:after="0" w:line="259"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Curated Peer Support Groups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member-facing applications provide access to peer groups that can foster a sense of community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based on members’ programs, timing, shared experiences, and common interests. These groups are topic- or condition-specific and can provide inspiration and support to help members stay on their care path. For example, our weight loss medication peer communities bring members on GLP-1s together with trained specialist support.</w:t>
      </w:r>
    </w:p>
    <w:p>
      <w:pPr>
        <w:sectPr>
          <w:pgSz w:w="11900" w:h="16838" w:orient="portrait"/>
          <w:cols w:equalWidth="0" w:num="1">
            <w:col w:w="11080"/>
          </w:cols>
          <w:pgMar w:left="320" w:top="454" w:right="499" w:bottom="1440"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1080"/>
          </w:cols>
          <w:pgMar w:left="320" w:top="454" w:right="49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203835</wp:posOffset>
            </wp:positionV>
            <wp:extent cx="4925695" cy="3337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25695"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140" w:hanging="545"/>
        <w:spacing w:after="0" w:line="279" w:lineRule="auto"/>
        <w:tabs>
          <w:tab w:leader="none" w:pos="11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Connected Devices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enrollment, we supply every member in a cardiometabolic program with connected third-party devices specific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condition and needs that surface real-time member data to our platform. These data are simultaneously integrated into the Omada Care Team Platform and improve the insights and data used across the care delivery and development teams. We also integrate with many third-party health apps and devices a member may already be using, which can further enrich our data and enhance member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133350</wp:posOffset>
            </wp:positionV>
            <wp:extent cx="5001895" cy="34226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01895" cy="342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140" w:hanging="545"/>
        <w:spacing w:after="0" w:line="265"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Medication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support for members taking medication within our GLP-1 Care Track and our cardiometabolic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We collect medication information upon enrollment, update this information along the way when we learn that a member’s prescriptions</w:t>
      </w:r>
    </w:p>
    <w:p>
      <w:pPr>
        <w:sectPr>
          <w:pgSz w:w="11900" w:h="16838" w:orient="portrait"/>
          <w:cols w:equalWidth="0" w:num="1">
            <w:col w:w="11080"/>
          </w:cols>
          <w:pgMar w:left="320" w:top="454" w:right="499" w:bottom="1440" w:gutter="0" w:footer="0" w:header="0"/>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080"/>
          </w:cols>
          <w:pgMar w:left="320" w:top="454" w:right="4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spacing w:after="0" w:line="308" w:lineRule="auto"/>
        <w:rPr>
          <w:sz w:val="20"/>
          <w:szCs w:val="20"/>
          <w:color w:val="auto"/>
        </w:rPr>
      </w:pPr>
      <w:r>
        <w:rPr>
          <w:rFonts w:ascii="Times New Roman" w:cs="Times New Roman" w:eastAsia="Times New Roman" w:hAnsi="Times New Roman"/>
          <w:sz w:val="17"/>
          <w:szCs w:val="17"/>
          <w:color w:val="auto"/>
        </w:rPr>
        <w:t>change, and check in via regular surveys. Members can also submit photos of medication for easy sharing with their Care Team. We focus especially on identifying and tackling barriers to adherence through Care Team discussions, resources, and related peer support groups.</w:t>
      </w:r>
    </w:p>
    <w:p>
      <w:pPr>
        <w:spacing w:after="0" w:line="163" w:lineRule="exact"/>
        <w:rPr>
          <w:sz w:val="20"/>
          <w:szCs w:val="20"/>
          <w:color w:val="auto"/>
        </w:rPr>
      </w:pPr>
    </w:p>
    <w:p>
      <w:pPr>
        <w:jc w:val="both"/>
        <w:ind w:left="1140" w:hanging="545"/>
        <w:spacing w:after="0" w:line="255"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Behavioral Health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Teams are trained to initiate important conversations with members to understand how mental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might affect their ability to work on their health goals. We deploy tools like the PHQ-4 assessment to help surface potential member needs. Care Teams are able to address some concerns directly, with tools like audio breathing techniques and educational content, and provide care navigation to an employer’s Employee Assistance Program or other resources for greater care needs. Behind the scenes, our licensed clinical social workers provide training, conduct workshops, and offer individual member consultations and guidance to their Care Team colleagues.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67945</wp:posOffset>
            </wp:positionV>
            <wp:extent cx="6929755" cy="12566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At Omada, we pride ourselves in our clinical leadership, which we achieve through our commitment to an evidence-based care model, our history of demonstrating outcomes and value through peer-reviewed studies, and our pursuit and achievement of recognized industry accreditations.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38557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385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designing our programs and care model, we begin by studying what has been shown to work in traditional, often in-person, settings. We study prevailing practices and the clinical literature to inform both higher-level program design and smaller-order feature development. Our clinical teams advise on clinical best practices and work closely with our product development teams to incorporate the science of behavior change into our programs and features.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4"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dedicated significant resources to conducting peer-reviewed research to show the value of our programs. As of June 3, 2024, we had published 29 peer-reviewed studies. In sponsoring and publishing research, including randomized controlled trials—the gold standard of clinical research—we seek to demonstrate our outcomes, bolster credibility, and strengthen our position in the market with prospective customers and channel partners.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to sponsoring and publishing research, we have sought and received several healthcare industry certifications and accreditations traditionally recognized as indicators of clinical quality for in-person care. These accomplishments validate our ability to meet independent standards in a variety of areas, including the quality and safety of the care we provide.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Proven Outcomes Through a Novel Approach</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programs are modeled after standard-of-care interventions historically delivered in a traditional, in-person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168910</wp:posOffset>
            </wp:positionV>
            <wp:extent cx="5868035" cy="2844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68035" cy="284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Traditional programs for diabetes prevention, diabetes, hypertension, and MSK conditions can produce results, but they are generally designed for local, in-person engagement, which is a major challenge to scale. Our virtual, Between-Visit Care model has the potential to reach millions of individuals with an effective approach that is personalized and flexible, grounded in science, and powered by a combination of human care and technology for scale.</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As we develop our programs and enhance our features, we continue to use insights from literature. For example, at the start of the Omada program, we assess a member’s self-efficacy, motivation, and barriers to change to determine how we can better engage with the member. Literature suggests that those who self-score lower in these categories may benefit from more support and accountability, which allows us to focus our Care Teams where they can be most effective. We have applied this theory in our goal setting feature, among other areas. Whenever a member sets a goal, the Care Team sees the member’s self-score and can tailor the interaction alongside. In this way, by adapting insights from clinical literature in enabling our Care Team and building our technology, we can support many members at once while maintaining a focus on outcomes.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Raising the Bar for Digital Health</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proud of our ability to demonstrate clinical outcomes across our multi-condition platform through respected scientific research methodologies and publications, including a randomized controlled trial published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4"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 2022. We quantify our clinical results and have ready access to data to continuously improve our programs, which we believe is a significant strategic advantage in both our product development and sales efforts.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June 3, 2024, we had published 29 peer-reviewed studies across our program portfolio, and more under investigation. We have published on topics ranging from the long-term health outcomes of our virtual programs to the financial impact of our programs and the impact of our programs on sub-populations, including those eligible for Medicare and Medicaid.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Clinical Outcomes</w:t>
      </w:r>
    </w:p>
    <w:p>
      <w:pPr>
        <w:spacing w:after="0" w:line="22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We have demonstrated clinical outcomes for each of our programs through peer-reviewed studies published in medical journals. Some of our published outcomes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132080</wp:posOffset>
            </wp:positionV>
            <wp:extent cx="6725920" cy="50698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25920" cy="506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80"/>
          </w:cols>
          <w:pgMar w:left="320" w:top="454"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828155" cy="508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28155" cy="508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Financial Savings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For our customers and channel partners, the value proposition of our programs includes member enrollment, engagement, and satisfaction, in addition to demonstrated clinical outcomes and cost savings in areas where outcomes improve. To demonstrate the economic value of our cardiometabolic programs, we have utilized a simulation model, created by GlobalData, that provides projected cost savings estimates up to five years. Our savings model is based on over 500,000 members who provided clinical data points between their sixth and twelfth month in the program, collected between 2019 and 2023. Using this member clinical data, our model simulates a matched cohort from National Health and Nutrition Examination Survey (“NHANES”) and Medical Expenditure Panel Survey (“MEPS”) data to estimate reduction of disease onset and associated cost savings, assuming improvements in clinical outcomes at year one will be maintained in future years. These projections are modeled based on assumptions and may not be realized by customers and channel partners.</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Across these diverse populations where individuals suffer from obesity and other cardiometabolic diseases, our model shows that cost savings accumulate over time and can generate long-term ROI. We believe this is consistent with the expectations of many customers and channel partners that savings will be realized in two to three years for programs like ours. In our model, savings accumulate in year two and beyond, in part because a person’s behavior has changed, and that impact is realized over time.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4"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Simulated average gross healthcare savings per member at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168910</wp:posOffset>
            </wp:positionV>
            <wp:extent cx="6683375" cy="22250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83375"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right="360"/>
        <w:spacing w:after="0" w:line="258" w:lineRule="auto"/>
        <w:rPr>
          <w:sz w:val="20"/>
          <w:szCs w:val="20"/>
          <w:color w:val="auto"/>
        </w:rPr>
      </w:pPr>
      <w:r>
        <w:rPr>
          <w:rFonts w:ascii="Times New Roman" w:cs="Times New Roman" w:eastAsia="Times New Roman" w:hAnsi="Times New Roman"/>
          <w:sz w:val="14"/>
          <w:szCs w:val="14"/>
          <w:i w:val="1"/>
          <w:iCs w:val="1"/>
          <w:color w:val="auto"/>
        </w:rPr>
        <w:t>Footnote to Table: Table reflects projected average savings for members that remain active in the program and report clinical data between their sixth and twelfth month. Table does not include fees paid by customers and channel partners for the Omada programs themselves.</w:t>
      </w:r>
    </w:p>
    <w:p>
      <w:pPr>
        <w:spacing w:after="0" w:line="16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also published a model to estimate the cost savings of our MSK program. We have used a Markov counterfactual simulation model, created by GlobalData, to estimate the potential savings from patient-initiated virtual physical therapy services. The model applies parameters of effectiveness of physical therapy and patient-initiated physical therapy from peer-reviewed publications to a nationally representative sample from MEPS of patients with MSK conditions.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Simulated average gross healthcare savings per person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168910</wp:posOffset>
            </wp:positionV>
            <wp:extent cx="6683375" cy="798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83375" cy="79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Footnote to Table: Table does not include fees paid by customers and channel partners for the Omada program itself.</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Validated by Experts</w:t>
      </w:r>
    </w:p>
    <w:p>
      <w:pPr>
        <w:spacing w:after="0" w:line="225"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7"/>
          <w:szCs w:val="17"/>
          <w:color w:val="auto"/>
        </w:rPr>
        <w:t>Our programs have earned multiple recognitions and accreditations, demonstrating how we meet exacting standards with our innovative, virtual Between-Visit Care programs. Among our primary competitors (named below), our Diabetes and combined Diabetes and Hypertension programs were the first type 2 diabetes programs to be awarded NCQA’s Population Health Program accreditation in March 2021, and ours was the first MSK program to be awarded URAC’s Telehealth accreditation in August 2023. We believe these achievements advance the digital health industry more broadly, showing that modalities other than traditional, in-person care can meet standards for quality and outcomes. These recognitions and accreditations lend credence to our value proposition for potential customers and channel partners, especially with health plans, PBMs, and health systems who often involve senior clinical leaders in evaluating digital health solutions, which helps us reach more people living with chronic conditions.</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54"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recognitions and accreditations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168910</wp:posOffset>
            </wp:positionV>
            <wp:extent cx="6683375" cy="43059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83375" cy="430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believe that our deep clinical underpinning and track record of peer-reviewed research, together with these independent recognitions and accreditations, are key differentiators in a market with many consumer-focused programs. We are committed to publishing new learnings as we advance and improve our programs to meet the changing needs of our members and create value for our customers and channel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12312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123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Increasingly, customers and channel partners are looking for solutions that can address the multiple conditions impacting their members or employees, demonstrate proven clinical outcomes and economic value, and be easily implemented and seamlessly integrated with their existing benefits ecosystem.</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go-to-market strategy follows a business-to-business-to-consumer (“B2B2C”) motion. We sell primarily to employers, who either contract with Omada directly or obtain access to our programs through a channel partner, such as a health plan or PBM. These employer customers are highly diversified across industry, size, and geography, and, as of December 31, 2023, included 86 Fortune 500 companies. The remainder of our revenue is derived from inclusion as a benefit in fully insured health plans (primarily in the commercial market), from PBMs through specific therapeutic programs, or via health systems that assume the cost of care for their patients.</w:t>
      </w:r>
    </w:p>
    <w:p>
      <w:pPr>
        <w:sectPr>
          <w:pgSz w:w="11900" w:h="16838" w:orient="portrait"/>
          <w:cols w:equalWidth="0" w:num="1">
            <w:col w:w="11080"/>
          </w:cols>
          <w:pgMar w:left="320" w:top="454" w:right="499" w:bottom="1440" w:gutter="0" w:footer="0" w:header="0"/>
        </w:sectPr>
      </w:pP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1080"/>
          </w:cols>
          <w:pgMar w:left="320" w:top="454" w:right="4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partner with our customers and channel partners, collaborating across implementation and onboarding as we aim to meet their needs in deploying the Omada offering for their employees, members or patients. We then build upon this relationship to offer ongoing analytics and account support, which add to our value proposition and can lead to longer relationships, greater retention, and commercial success. Our focus on partnership with our customers and channel partners is demonstrated by our innovative approach to pricing models for our cardiometabolic programs, offering models based on each enrolled member’s program engagement and/or clinical outcomes. We believe this aligns how we are paid with the goals of our customers and channel partners. The success of our offering, as well as our approach to sales, onboarding, and support, is demonstrated by our customer satisfaction score of over 90% as of December 31, 2023.</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After customers and channel partners contract with Omada, we collaborate with them to support enrollment of covered employees or dependents, covered health plan or PBM members, or health system patients. Once contracted, Omada works with the customer or channel partner to increase awareness and access for eligible members through outreach led by Omada or by the customer or channel partner. In the year ended December 31, 2023, we supported our customers and channel partners by sending approximately 90 million emails across approximately 4,000 outreach campaigns to drive awareness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145415</wp:posOffset>
            </wp:positionV>
            <wp:extent cx="6725920" cy="32950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25920" cy="329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Diverse, Customer-Centric Strategy</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diverse channel approach offers customers optionality in how they purchase our programs and expands our ability to reach more customers and meet their different enterprise goals. We organize our sales channels into four categories:</w:t>
      </w:r>
    </w:p>
    <w:p>
      <w:pPr>
        <w:spacing w:after="0" w:line="185" w:lineRule="exact"/>
        <w:rPr>
          <w:sz w:val="20"/>
          <w:szCs w:val="20"/>
          <w:color w:val="auto"/>
        </w:rPr>
      </w:pPr>
    </w:p>
    <w:p>
      <w:pPr>
        <w:jc w:val="both"/>
        <w:ind w:left="1140" w:hanging="545"/>
        <w:spacing w:after="0" w:line="265"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Employers can access Omada programs through a channel partner, if covered by their health plan or PBM, or they can contract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with Omada if they prefer to hold the contract. This flexibility is valuable to customers, especially many of our largest employer customers.</w:t>
      </w:r>
    </w:p>
    <w:p>
      <w:pPr>
        <w:spacing w:after="0" w:line="197"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and national health plan channel partners typically contract directly with us. They make our programs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self-insured employer customers as a channel partner and/or include our programs as covered benefits for their fully insured populations as our customer.</w:t>
      </w:r>
    </w:p>
    <w:p>
      <w:pPr>
        <w:spacing w:after="0" w:line="197" w:lineRule="exact"/>
        <w:rPr>
          <w:rFonts w:ascii="Times New Roman" w:cs="Times New Roman" w:eastAsia="Times New Roman" w:hAnsi="Times New Roman"/>
          <w:sz w:val="18"/>
          <w:szCs w:val="18"/>
          <w:color w:val="auto"/>
        </w:rPr>
      </w:pPr>
    </w:p>
    <w:p>
      <w:pPr>
        <w:ind w:left="1140" w:hanging="545"/>
        <w:spacing w:after="0" w:line="282"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Pharmacy Benefit Managers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PBMs act as channel partners to offer our programs directly to self-insured employers or they include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as part of a therapeutic benefit program with direct coverage for prospective members as our customer.</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4"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140" w:hanging="545"/>
        <w:spacing w:after="0" w:line="26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Systems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systems, a more nascent channel for Omada which includes hospitals and other large practices that assume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care for their patients, may cover our programs for those patients with us directly. By offering Omada programs to their patients, health systems hope to meet quality performance metrics and manage the total cost of care for which they are at-risk.</w:t>
      </w:r>
    </w:p>
    <w:p>
      <w:pPr>
        <w:spacing w:after="0" w:line="197"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Platform Resellers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programs are available through other resellers, including several wellness platforms, who act as channel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This provides another opportunity for employers to launch Omada programs seamlessly alongside other benefit solutions they deploy.</w:t>
      </w:r>
    </w:p>
    <w:p>
      <w:pPr>
        <w:spacing w:after="0" w:line="17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As of December 31, 2023, customers accessing our programs via a channel partner represented more than 85% of our customer base. Channel partners can support customer sales targeting, improve the reach and velocity of our sales funnel, and validate our product offering to potential customers. We offer a similar customer support model regardless of the channel a customer uses to purchase our programs; our goal is to build and maintain strong relationships supporting implementation, program deployment, member enrollment, and long-term customer success. For most large employers that contract with Omada through a channel partner, we maintain relationships directly. Maintaining a trusted partnership with employers, regardless of sales channel, is key to our go-to-market approach, as it ensures continued stability and drives expansion opportunities across our employers and channels.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Pricing and Billing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95250</wp:posOffset>
            </wp:positionV>
            <wp:extent cx="6929755" cy="1681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principally generate revenue in our cardiometabolic programs by billing based on each enrolled member’s program engagement and/or clinical outcomes, which we believe aligns our goals closely with those of our customers and channel partners. We bill our MSK program based on utilization, consistent with the episodic nature of physical therapy. We also offer clinical performance guarantees in some cases, further standing behind our commitment to outcomes. We believe our innovative approach to pricing—offering models that charge only for members who enroll and engage rather than at a population level—is valuable to employers and directly contributes to the sales success we have experienced.</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When supported by our customers’ health plans, we can bill our services through electronic claims, like many other healthcare providers. Electronic claims provide more easily analyzed data and can simplify administration and spend tracking. Those claims may also be counted as medical or pharmacy expenses, depending on plan determinations, which differentiates our fees from those for wellness offerings, which often come from separate and significantly smaller wellness budgets.</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 typical member can enroll in our cardiometabolic programs without incurring copays, coinsurance, or deductibles. Because these programs are designed to manage these conditions and to prevent their exacerbation, our customers and channel partners typically offer these programs at no cost to the member, generally based on their determination that the U.S. Preventive Services Task Force recommends these programs as Grade A or Grade B preventive services. Members in Omada for MSK may incur copays, coinsurance, or deductibles when receiving physical therapy services, depending on plan design and much like in-person physical therapy. Omada for MSK also includes preventive, educational materials available to all covered members at no cost.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4"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Operational Excellence</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Core to earning and maintaining the trust of our customers and channel partners is a robust set of mature operational processes and an enterprise data platform that drives the key elements of our go-to-market approach: customer onboarding, experience, and retention; member outreach and enrollment; and ongoing enrollment optimization and innovation. Our integrated systems allow us to handle a high volume of customers, channel partners, and members, manage outreach precisely, and scale efficiently.</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Onboarding, Experience, and Retention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Once a customer or channel partner chooses Omada, whether a health plan, PBM, employer, or health system, our customer experience and partner management teams nurture these relationships. These teams are designed to provide seamless customer onboarding, member enrollment support, insightful data reporting, tailored business reviews, product roadmap updates, and more, based on the needs of each customer and channel partner. The strength of our customer relationships is evidenced in our three-year average customer retention rate of 90%, our customer satisfaction rate of over 90%, and our customer net promoter score of 75, each as of December 31, 2023.</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After initial onboarding, we support customers and channel partners with reporting tools that provide transparency into their population’s progress. These tools include a broad portfolio of reports covering program performance metrics such as enrollment, engagement, clinical outcomes, and satisfaction. We can also facilitate deeper insights through custom reporting solutions and supplementary tools to meet specific needs of our customers and channel partners.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Outreach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171450</wp:posOffset>
            </wp:positionV>
            <wp:extent cx="5146675" cy="2683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667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Member outreach and enrollment is central to promoting awareness and increasing the number of enrolled members across our covered populations. We work with customers and channel partners to develop tailored, multi-channel outreach programs spanning email, traditional mail, company communications, and workplace collateral that encourage individuals to enroll in an Omada program.</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Over the years, we have developed and honed our best practice approach to member enrollment outreach. We can lead outreach campaigns ourselves or support customers and channel partners with materials to lead their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4"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right="20"/>
        <w:spacing w:after="0" w:line="258" w:lineRule="auto"/>
        <w:rPr>
          <w:sz w:val="20"/>
          <w:szCs w:val="20"/>
          <w:color w:val="auto"/>
        </w:rPr>
      </w:pPr>
      <w:r>
        <w:rPr>
          <w:rFonts w:ascii="Times New Roman" w:cs="Times New Roman" w:eastAsia="Times New Roman" w:hAnsi="Times New Roman"/>
          <w:sz w:val="18"/>
          <w:szCs w:val="18"/>
          <w:color w:val="auto"/>
        </w:rPr>
        <w:t>own campaigns, providing flexibility for them in engaging their populations. In 2023, more than half of new member enrollments came from campaigns where Omada led the outreach. Increased adoption of our email outreach program, combined with ongoing email optimizations, has led to significant enrollment rate growth over the last few years. Email-attributed enrollments increased by 31% from 2022 to 2023 and 56% from the first quarter of 2023 to the first quarter of 2024.</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also develop custom strategies for our customers and channel partners to identify and reach prospective members who are likely to benefit from our programs. Data from customers or channel partners can identify individuals known to have the conditions we serve, and with this data, we can deliver more tailored outreach messaging. In 2023, customers and channel partners who enabled us to launch email outreach campaigns saw average enrollments equal to 10% of the total eligible population we emailed. However, where we were able to deliver more tailored outreach for relevant conditions, we saw some higher rates. For example, when customers and channel partners enabled email outreach tailored for the subset of people living with diabetes, they saw an average 22% enrollment rate in the same period.</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enrollment platform’s testing and learning environment powers our outreach optimization efforts. We continuously test outreach messaging and strategies, and monitor performance during live campaigns, to understand which content resonates best with which members. Customers and channel partners appreciate our insights on how to engage their population, and we have consistently achieved improvements in enrollment rates over the last two years. We hope to further improve these efforts through our consistent, iterative campaign testing, increasing the reach and frequency of campaigns where we lead outreach, and continued exploration of future potential AI and ML capabilities across our business.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purpose-built enrollment platform supports the entire go-to-market process from closed sale to member enrollment. We efficiently intake population outreach files, operationalize enrollment outreach strategies, and generate custom reports for customers and channel partners to quantify the success of our efforts. As we have scaled our operations, we have proactively invested in robust data systems, platform upgrades, and risk mitigation. We also invest in data visibility, quality, and system resiliency to support our goals of seamless outreach and an excellent experience for customers and channel partners. Recent platform upgrades executed in 2023 resulted in significant operational efficiencies in the 2024 enrollment period, including significant decreases in processing time while maintaining our focus on quality control.</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Enrollment Optimization and Innovation</w:t>
      </w:r>
    </w:p>
    <w:p>
      <w:pPr>
        <w:spacing w:after="0" w:line="225"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Our markets, customers, channel partners, and members are dynamic, and we continuously look to improve and innovate from within to meet their changing needs and preferences. We recognize that, in many ways, healthcare remains disjointed and confusing for the average consumer. According to NFP’s 2023 U.S. Benefits Trend Report, 61% of employees with employer-sponsored health insurance did not fully understand their benefits. This makes it even more important and challenging to identify prospective members and to deliver effective messaging at the right time to drive enrollment.</w:t>
      </w:r>
    </w:p>
    <w:p>
      <w:pPr>
        <w:spacing w:after="0" w:line="16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Through our more than 2,000 customers as of March 31, 2024, we cover a significant number of total lives, but we believe that member enrollment is considerably limited by awareness. As a trusted partner within the healthcare ecosystem, we are continuously exploring new methods and potential partnerships to increase awareness of Omada programs, coverage, and the benefits of enrolling.</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For example, we have begun to partner with third parties, starting with a large online retailer, to enable consumers to begin the process of checking coverage for our programs in more online spaces beyond our customers’ benefits sites, such as on retail sites where consumers are looking for healthcare-related goods or services. When consumers visit those spaces, they may see a suggestion to check if they have access to relevant benefits like Omada, and if the coverage check indicates that a user may be eligible for an Omada program, they will be guided to our website to complete the enrollment process.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4"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211455</wp:posOffset>
            </wp:positionV>
            <wp:extent cx="6929755" cy="8917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891730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0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890016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8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9084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0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89084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17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9755" cy="891730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2401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Through years of investments in member-facing and customer-driven innovation, we have built a competitive advantage that has served us to date and lays the foundation for future growth.</w:t>
      </w:r>
    </w:p>
    <w:p>
      <w:pPr>
        <w:spacing w:after="0" w:line="16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human-led, technology-enabled care approach—Compassionate Intelligence—and our ability to offer multi-condition, contextually relevant care, are core to our success with members—the foundation of our competitive advantage. We believe our multi-condition platform and our differentiated experience for members also resonate with customers and channel partners as a significant advantage. In addition, we believe our commitment to high clinical standards, our customer-centric experience, and the sophistication of our compliance and security programs have attracted customers and channel partners over the years. We have invested since our founding in maintaining and nurturing trust-based relationships with customers and channel partners, allowing us to grow with them over time and to expand our capacities to work together.</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Compassionate Intelligence: Why Members Love Omada</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Compassionate Intelligence care is designed to resonate with members. A 2022 survey conducted by Pew Research Center demonstrated this appeal, with 60% of the respondents noting they would be uncomfortable with their own healthcare provider relying on AI to make critical healthcare decisions. We intentionally constructed our technology platform to help facilitate a trusted relationship between our members and their Care Teams. This ongoing, consistent, human relationship can create a sense of connection as members and Care Teams get to know each other over time. Members appreciate the ability to reach out with questions, to be held accountable, and to have dedicated support at their fingertips.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applications are designed to be engaging, simple, and convenient to use wherever and whenever a member may need. With the help of our algorithm-driven AI and ML support described earlier in this document, our Care Teams aim to align the right care intervention with the right member at the right time. We consider personal goals, cultural background, geographic location, and more in our efforts to provide contextually relevant care. We do not push a one-size fits all diet or approach to health. We understand deeply that different members find success with different kinds of support. Members can engage differently with our Care Teams, content, connected third-party devices, and other data and technology, depending on what works effectively for them.</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Multi-Condition Platform: The Anti-Point Solution</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National Association of Chronic Disease Directors, in 2022, approximately 40% of adults in the U.S. were living with two or more chronic conditions, which can leave many individuals to struggle with a healthcare system that treats each one of their issues separately. The CDC reported in 2023 that people with diabetes were more than twice as likely to experience depression; a 2019 study published in the </w:t>
      </w:r>
      <w:r>
        <w:rPr>
          <w:rFonts w:ascii="Times New Roman" w:cs="Times New Roman" w:eastAsia="Times New Roman" w:hAnsi="Times New Roman"/>
          <w:sz w:val="18"/>
          <w:szCs w:val="18"/>
          <w:i w:val="1"/>
          <w:iCs w:val="1"/>
          <w:color w:val="auto"/>
        </w:rPr>
        <w:t>Journal of Back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Musculoskeletal Rehabilitation </w:t>
      </w:r>
      <w:r>
        <w:rPr>
          <w:rFonts w:ascii="Times New Roman" w:cs="Times New Roman" w:eastAsia="Times New Roman" w:hAnsi="Times New Roman"/>
          <w:sz w:val="18"/>
          <w:szCs w:val="18"/>
          <w:color w:val="auto"/>
        </w:rPr>
        <w:t>found that 58% of people with diabetes also experienced an MSK condition; and a 2021 study published in</w:t>
      </w:r>
      <w:r>
        <w:rPr>
          <w:rFonts w:ascii="Times New Roman" w:cs="Times New Roman" w:eastAsia="Times New Roman" w:hAnsi="Times New Roman"/>
          <w:sz w:val="18"/>
          <w:szCs w:val="18"/>
          <w:i w:val="1"/>
          <w:iCs w:val="1"/>
          <w:color w:val="auto"/>
        </w:rPr>
        <w:t xml:space="preserve"> Endotext </w:t>
      </w:r>
      <w:r>
        <w:rPr>
          <w:rFonts w:ascii="Times New Roman" w:cs="Times New Roman" w:eastAsia="Times New Roman" w:hAnsi="Times New Roman"/>
          <w:sz w:val="18"/>
          <w:szCs w:val="18"/>
          <w:color w:val="auto"/>
        </w:rPr>
        <w:t>found that approximately 74% of adults with diabetes also had hypertension. We have carefully selected the conditions that we treat in an effort to address significant areas of comorbidity in an integrated member experience with one provider. We are able to deliver care to members diagnosed with prediabetes, obesity, type 1 or type 2 diabetes, and hypertension; members taking GLP-1 therapy; and members who suffer from MSK conditions. Additionally, all members may receive additional support for behavioral health challenges from anxiety or stress to depression to promote overall wellbeing and support their physical and mental health. We believe that our members appreciate that we look beyond their primary condition to support them in their journey towards health.</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4"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Much like our members, our customers and channel partners are also increasingly seeking multi-condition solutions. According to the 2023 Segal Health Plan Cost Trend Survey, employers may work with as many as ten different vendors to construct their health and wellness portfolio and to construct a health benefits offering that meets their needs. Segal further expects this to prompt plan sponsors to look for integrated solutions from their current health provider network and PBM carriers to replace multiple, separate contracts. We see this desire to manage fewer vendors reflected in our own sales pipeline: the number of customers and channel partners buying two or more of our programs has grown to approximately 25% of all customers as of December 31, 2023, with the proportion growing by a total of over 50% in the prior two-year period. Consolidating vendors can streamline buying, implementation, account management, data reporting, evaluation, and enrollment outreach processes. We believe no single competitor offers a broad, effective multi-condition platform at our scale and across the condition areas we address.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Commitment to Outcomes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consider our commitment to outcomes a core competitive advantage in selling to our customers and channel partners. Each Omada program is based on clinical guidelines that inform an evidence-based approach. Our programs are designed to reflect clinical best practices, tracked against validated industry metrics, and embraced by important industry stakeholders. In holding ourselves to many of the same quality standards as other healthcare providers, we strive to be a trusted member of the healthcare ecosystem at large, valued by our customers and channel partners alike.</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Against a growing landscape of technology-enabled products and services categorized as “digital health,” our demonstrated history of producing robust, peer-reviewed outcomes distinguishes Omada as a data-driven leader in virtual care. Through our 29 published, peer-reviewed studies as of June 3, 2024, we have established and validated the health impact of our programs and their value for customers and channel partners. Our publications include findings from our randomized controlled trial, which we observe to be a rarity in the digital health space and in our competitive set. Our programs also hold certifications and accreditations from relevant medical associations or accreditation bodies, which underscore their quality and safety. We believe this commitment to clinical quality strongly aligns with what customers and channel partners expect from a virtual care provider. Among our primary competitors (named below), our Diabetes and combined Diabetes and Hypertension programs were the first type 2 diabetes programs to be awarded NCQA’s PHP accreditation in March 2021, and ours was the first MSK program to be awarded URAC’s Telehealth accreditation in August 2023.</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ability to quantify our clinical results and to have data at our fingertips extends beyond clinical trials and peer-reviewed publications. Our technology and analytics platform allows us to analyze member data in pursuit of constant improvement in our programs, through our Omada Insights Lab. We offer customizable reports that show the progress of outreach and enrollment efforts and demonstrate how Omada programs progress against their goals.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Flexible, Customer-Centric Experience</w:t>
      </w:r>
    </w:p>
    <w:p>
      <w:pPr>
        <w:spacing w:after="0" w:line="225" w:lineRule="exact"/>
        <w:rPr>
          <w:sz w:val="20"/>
          <w:szCs w:val="20"/>
          <w:color w:val="auto"/>
        </w:rPr>
      </w:pPr>
    </w:p>
    <w:p>
      <w:pPr>
        <w:jc w:val="both"/>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Our diversified go-to-market strategy and connectivity with employers, health plans, and PBMs have created a channel-agnostic and flexible sales approach. As the number of point solutions increases, employers are streamlining benefit strategies through their health plans and PBMs in addition to contracting directly with digital health companies. Our relationships with health plans, PBMs, and other channel partners give employers the flexibility to contract with us in the way they prefer.</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Providing access to our programs through channel partners eases the burden of contracting, implementation, and account management for employer customers. Additionally, for customers who purchase our programs through a health plan that supports electronic claims billing of our services, Omada can submit claims to the employer’s health plan claims administrator directly. This additional level of integration with health plans allows our fees to be treated as medical spend, where consistent with plan design, instead of being expensed as a part of the employer’s separate and often smaller wellness budget.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4"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We also support their delivery of coordinated care, employee navigation, and wellness incentive programs through integrations with our channel partners and customers’ benefit-referral and wellness-platform solutions.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Trusted to Deliver at Scale</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customers and channel partners are sophisticated, and when partnering with new digital solutions, they thoughtfully evaluate potential risks and seek lasting partnerships. We believe that we have established ourselves as a trusted partner with a strong track record for both longevity and security. We have scaled to more than 2,000 customers as of March 31, 2024, and have served more than one million members since launch. As a healthcare provider and covered entity under HIPAA, we value the trust of our customers, channel partners, and members. We have implemented safeguards designed to protect member privacy and to maintain high levels of data security and member safety. Our experience as a seasoned partner for more than a decade distinguishes us from new, emerging solutions.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subject to many of the same data privacy and security responsibilities as a hospital or physician’s office, and we take our ability to create and receive member protected health information seriously. We thoughtfully design our processes to meet and embrace these responsibilities, and we believe our customers and channel partners value our deep respect for data privacy and security compliance. We also carefully design and manage our information security program to uphold the trust of our customers, channel partners, and members. We have completed SOC 2 Type II audits annually and have earned HITRUST Certification, which was most recently renewed for two years in September 2023. We believe that these certifications, the investments we have made in the security of our technology platform, and our track record of operational excellence at scale reinforce our ability to be a customer’s partner of choice to support their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6929755" cy="12401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We have several immediate and long-term growth opportunities that carry with them the potential to reach millions of new members and deliver greater impact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131445</wp:posOffset>
            </wp:positionV>
            <wp:extent cx="6504940" cy="27260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0494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4"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Expand Our Channel Partnerships and Grow Our Customer Base</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seek to grow our business by acquiring more covered lives across multiple buyer segments: selling to new customers and channel partners as well as expanding within our existing channel partners to new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131445</wp:posOffset>
            </wp:positionV>
            <wp:extent cx="6734175" cy="43821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34175" cy="438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had more than 2,000 customers as of March 31, 2024, and we believe there is still a significant opportunity for us to grow our number of covered lives through existing channels. According to the U.S. census bureau, during 2022, 304 million people had health insurance. As of February 2024, our existing health plan partners provided health insurance for 156 million lives across their networks. That population, combined with our other current customers as of December 31, 2023, represented an estimated 20 million individuals with benefits coverage for one or more Omada programs, where they have a clinical need. This represents a large opportunity for us to expand within current channels by selling to more self-insured and fully insured employers and expanding to new lines of business.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also see opportunity with new channels and in lines of business where we have yet to place significant focus, such as Medicare Advantage and fully insured lines of business, and we believe there is potential for growth in our more nascent channels like health systems and government programs, such as the Department of Defense and Veterans Affairs. We believe our proven outcomes and value proposition will resonate with these buyers similar to how they have resonated within our core markets.</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Additionally, we expect the attention and focus that GLP-1s bring to our industry, along with the launch of our GLP-1 Care Track to support individuals who take GLP-1 therapy alongside those who do not, will help accelerate our growth. Our GLP-1 Care Track, which will be offered only to members enrolled in another Omada program, builds on outcomes from our existing programs. This offering leverages our experience driving healthy behavior change for over a decade and represents a significant growth opportunity as customers and channel partners look for ways to both support their populations and manage their costs.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4"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Sell Multiple Programs Into Existing Customer Base</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seen significant uptake of our multi-condition offering, both from existing customers and channel partners who initially entered into contracts for one program but later added others and from new customers and channel partners who enter into contracts for multi-condition solutions from day one. We believe there is still opportunity to continue multi-condition expansion. As of December 31, 2023, approximately 25% of our customers offered more than one Omada program, which leaves a sizable opportunity to sell additional programs.</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Additionally, we believe that delivering our GLP-1 Care Track to support people taking this novel class of drugs presents a significant opportunity, particularly for individuals with the chronic conditions we serve. Given the FDA’s label recommendation as of December 31, 2023 for GLP-1 use as an adjunct to diet and exercise, we may see new interest from customers and channel partners with access to Omada programs. As GLP-1 coverage increases over time, we believe our value proposition positions us to capitalize on the long-term tailwinds in this growing market, as we believe many of our accounts who are covering GLP-1s for obesity would value a lifestyle intervention alongside.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Increase Member Enrollment</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December 31, 2023, we estimate that 20 million individuals had benefits coverage for one or more Omada programs through their employers, health plans, PBMs, health systems, or other customers, where they have a clinical need. Having served over one million members since launch, there is still significant opportunity to enroll more members, and future efforts in a number of areas could increase enrollment rates.</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 We also have a strong outreach optimization engine, and we continuously work to iterate and improve our tactics to drive higher enrollment rates. As the general state of AI and ML technology continues to evolve, we plan to evaluate new ways in which these technologies could further optimize our outreach strategies.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Additionally, we can collaborate with other healthcare providers to expand awareness and potentially increase member enrollment. Through collaboration, providers can recommend that individuals enroll in our programs where consistent with their treatment guidance for patients, further promoting awareness of our programs from within these trusted relationships. We currently work with some healthcare providers in this manner, but there may be more opportunity to increase enrollments through similar collaborations.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can also leverage other new and innovative strategies to expand awareness of our programs. For example, our recently announced partnership with a large online retailer provides us with an additional pathway to increase awareness among millions of potential members who may have Omada covered as a benefit.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Enhance Member Engagement Within Existing Customer Base</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Given the engagement-based pricing models that we offer for cardiometabolic programs, increased member engagement can drive significant growth going forward. In 2023, more than 55% of members still engaged with our cardiometabolic programs at least once per month after a year in the program. Our data, Care Teams, and technology power our ability to drive increased engagement, through frequent touchpoints, reminders, and progress tracking tools.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General advancements in AI and ML also may present opportunities for us to more effectively and efficiently interact and engage with our members. Recent AI and ML improvements that we have launched, including processes for automatically tagging and categorizing messages from members, smart content recommendations, and computer vision form assessments, each described earlier in this document, focus on driving more frequent engagement with members across the platform.</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4"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Future Innovation Horizons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a demonstrated history of launching new offerings (Omada for Diabetes and Omada for Hypertension in 2018) on our current infrastructure and new Care Tracks within existing products (GLP-1 Care Track). We also successfully added MSK care to our program offerings through an acquisition in 2020. Based on this history of growth, we believe that we have the foundation to grow our platform capabilities on the back of our existing technology investments. Though our focus remains on continued progress in our current care areas, we will continue to monitor the needs of our customers and channel partners, and we believe we are well positioned to respond to their requirements organically or, where appropriate, to add new capabilities through partnerships and potential acquisitions.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Considering these opportunities and the size of our market, we currently remain focused on operations within the U.S. However, we recognize that chronic disease is a global issue, and we may consider expanding our programs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12484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December 31, 2023, we had 699 full-time employees, which includes our health coaches and other Care Team members as well as individuals across sales and marketing, research and development, and general and administrative. We care deeply about attracting, motivating, and retaining high-performing talent. Omada strives to be a place where people can be at their best and do their best work. In 2023, we were certified as a “Great Place to Work” by the Great Place to Work Institute.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culture is based on three core principles.</w:t>
      </w:r>
    </w:p>
    <w:p>
      <w:pPr>
        <w:spacing w:after="0" w:line="244" w:lineRule="exact"/>
        <w:rPr>
          <w:sz w:val="20"/>
          <w:szCs w:val="20"/>
          <w:color w:val="auto"/>
        </w:rPr>
      </w:pPr>
    </w:p>
    <w:p>
      <w:pPr>
        <w:ind w:left="1140" w:hanging="545"/>
        <w:spacing w:after="0" w:line="282"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Mission Driven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 inspire and nurture lifelong health, one day at a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mission attracts talented high performers who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motivated to go above and beyond each day.</w:t>
      </w:r>
    </w:p>
    <w:p>
      <w:pPr>
        <w:spacing w:after="0" w:line="182" w:lineRule="exact"/>
        <w:rPr>
          <w:rFonts w:ascii="Times New Roman" w:cs="Times New Roman" w:eastAsia="Times New Roman" w:hAnsi="Times New Roman"/>
          <w:sz w:val="18"/>
          <w:szCs w:val="18"/>
          <w:color w:val="auto"/>
        </w:rPr>
      </w:pPr>
    </w:p>
    <w:p>
      <w:pPr>
        <w:ind w:left="1140" w:right="20" w:hanging="545"/>
        <w:spacing w:after="0" w:line="282"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Remote First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seek to use our technology platform and capabilities to attract and retain the best talent regardless of location,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emphasizing the importance of in-person time and effective collaboration.</w:t>
      </w:r>
    </w:p>
    <w:p>
      <w:pPr>
        <w:spacing w:after="0" w:line="182"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Values Focused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six core values are the foundation of our culture and are meant to guide everything we do.</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4"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The Foundation of Our Culture</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We embody six core values that keep us focused on key success factors as we continue to grow. We seek to live these values in processes and ways of working across our business day-to-day. These values ultimately support our high-performing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132080</wp:posOffset>
            </wp:positionV>
            <wp:extent cx="4959350" cy="34137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59350" cy="341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40" w:hanging="545"/>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Cultivate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listen closely, and we operate with kindness. We provide respectful and candid feedback to each other.</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Seek Context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ask to understand, and we build connections. We do our research up front to move faster down the road.</w:t>
      </w:r>
    </w:p>
    <w:p>
      <w:pPr>
        <w:spacing w:after="0" w:line="247" w:lineRule="exact"/>
        <w:rPr>
          <w:rFonts w:ascii="Times New Roman" w:cs="Times New Roman" w:eastAsia="Times New Roman" w:hAnsi="Times New Roman"/>
          <w:sz w:val="18"/>
          <w:szCs w:val="18"/>
          <w:color w:val="auto"/>
        </w:rPr>
      </w:pPr>
    </w:p>
    <w:p>
      <w:pPr>
        <w:ind w:left="1140" w:hanging="545"/>
        <w:spacing w:after="0" w:line="282"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Act Boldly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innovate daily to solve problems, improve processes, and find new opportunities for our customers, channel partners,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w:t>
      </w:r>
    </w:p>
    <w:p>
      <w:pPr>
        <w:spacing w:after="0" w:line="182"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Deliver Results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reward impact over output. We set a high bar. We are not afraid to fail, and we take pride in our work.</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Succeed Together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prioritize Omada’s progress above team or self. We have fun as we get our work done, and we celebrate together.</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Remember Why We’re Here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push through the challenges of changing healthcare because we know the destination is worth it.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4"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Differentiated Employee Value Proposition</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employee value proposition is differentiated in the market, enabling us to attract and retain high performing talent. This is true for our corporate staff and our member-facing Care Team—our health coaches, clinical and behavioral health specialists, and physical therapists—who are core to our mission, as they directly impact the lives of our members through Omada’s scale. We support this level of impact from our Care Teams enabling them to focus on what they do best—coaching to improve the lives of our members. We leverage our Care Team Platform to maximize their focus and impact, and work collaboratively across our teams to ensure we understand and meet our members’ needs across a broad set of conditions from prevention to chronic care management.</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As a company, we offer a unique combination of benefits to support our employees, grounded in our strong culture and mission and supported by a commitment to learning and development, competitive compensation and benefits, and flexibility through our remote-first way of working and generous paid time-off policies. Our employee value proposition is reflected in our quantitative employee engagement scores: as of October 2023, our overall engagement score was 79% across the entire organization, and overall engagement among health coaches was 84%. Correspondingly, our respective trailing-12-month voluntary attrition rates remained low, both 8% as of December 31, 2023.</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None of our employees are represented by a labor union or covered by a collective bargaining agreement. We have not experienced any work stoppages and consider our relationship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12401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Sales and Marketing Teams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sell our programs directly to customers and through channel partners. Our sales and account management teams are structured to reflect our growth opportunities and to serve our various customers and channel partners:</w:t>
      </w:r>
    </w:p>
    <w:p>
      <w:pPr>
        <w:spacing w:after="0" w:line="185" w:lineRule="exact"/>
        <w:rPr>
          <w:sz w:val="20"/>
          <w:szCs w:val="20"/>
          <w:color w:val="auto"/>
        </w:rPr>
      </w:pPr>
    </w:p>
    <w:p>
      <w:pPr>
        <w:jc w:val="both"/>
        <w:ind w:left="1140" w:hanging="545"/>
        <w:spacing w:after="0" w:line="265"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Employer Sales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organized by employer size and is responsible for selling Omada’s programs to new employers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selling additional programs to existing employer customers. Our embedded consultant relations team also builds relationships to help grow Omada awareness amongst benefit consultants in support of sales.</w:t>
      </w:r>
    </w:p>
    <w:p>
      <w:pPr>
        <w:spacing w:after="0" w:line="197"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Partner Sales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engages health plans and PBMs to identify new and expand existing partner channels through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can sell directly to their end customers through a channel partner relationship or access and enroll their member lives directly. This team also sells to health systems, such as hospitals and other large practices, with a focus on health systems that assume the cost of care for their patients and may choose risk-bearing systems to cover Omada programs for their patients.</w:t>
      </w:r>
    </w:p>
    <w:p>
      <w:pPr>
        <w:spacing w:after="0" w:line="203" w:lineRule="exact"/>
        <w:rPr>
          <w:rFonts w:ascii="Times New Roman" w:cs="Times New Roman" w:eastAsia="Times New Roman" w:hAnsi="Times New Roman"/>
          <w:sz w:val="18"/>
          <w:szCs w:val="18"/>
          <w:color w:val="auto"/>
        </w:rPr>
      </w:pPr>
    </w:p>
    <w:p>
      <w:pPr>
        <w:ind w:left="1140" w:hanging="545"/>
        <w:spacing w:after="0" w:line="282"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Customer Experience and Partner Management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teams support channel partner and customer relationships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ongoing basis after the initial sale. They are accountable for account</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4"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right="20"/>
        <w:spacing w:after="0" w:line="278" w:lineRule="auto"/>
        <w:rPr>
          <w:sz w:val="20"/>
          <w:szCs w:val="20"/>
          <w:color w:val="auto"/>
        </w:rPr>
      </w:pPr>
      <w:r>
        <w:rPr>
          <w:rFonts w:ascii="Times New Roman" w:cs="Times New Roman" w:eastAsia="Times New Roman" w:hAnsi="Times New Roman"/>
          <w:sz w:val="18"/>
          <w:szCs w:val="18"/>
          <w:color w:val="auto"/>
        </w:rPr>
        <w:t>health, customer satisfaction and retention, driving awareness and enrollments, deepening relationships with customers and channel partners, and providing strategic guidance on improving health outcomes across member populations.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marketing team has two overall functions, each of which plays an important part in our revenue generation strategy. Our B2B marketing team builds our reputation as a preferred solution in the market, and our enrollment outreach team drives member awareness and enrollment for our existing accounts post sale:</w:t>
      </w:r>
    </w:p>
    <w:p>
      <w:pPr>
        <w:spacing w:after="0" w:line="198" w:lineRule="exact"/>
        <w:rPr>
          <w:sz w:val="20"/>
          <w:szCs w:val="20"/>
          <w:color w:val="auto"/>
        </w:rPr>
      </w:pPr>
    </w:p>
    <w:p>
      <w:pPr>
        <w:jc w:val="both"/>
        <w:ind w:left="1140" w:hanging="545"/>
        <w:spacing w:after="0" w:line="265"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B2B Marketing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responsible for brand strategy, thought leadership, PR campaigns, and strategic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positioning. The team develops audience-level messaging, product demos, customer value stories, and content strategy and establishes industry presence at important trade shows, conferences, roundtables, and health fairs.</w:t>
      </w:r>
    </w:p>
    <w:p>
      <w:pPr>
        <w:spacing w:after="0" w:line="197"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Enrollment Outreach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responsible for driving member awareness and enrollment outreach. The team designs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implements the multi-channel enrollment approach for both Omada-led and client-led outreach, including through email, traditional direct mail, company communications, and workplace physical collateral. The team explains our product offerings to prospective members and encourages them to proceed with application and eligibility checks, which precede enrollment. The team also runs our enrollment operations and platform to drive seamless campaign execution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29755" cy="12401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research and development (“R&amp;D”) teams are responsible for the design, development, functionality, and impact of our programs across our enterprise, member, Care Team, and infrastructure technologies. Our teams evaluate existing tools and build custom solutions and integrations to offer quality member, Care Team, customer, and channel partner experiences.</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member and Care Team experiences are developed by a core “quad,” consisting of a product manager, an engineer, a designer, and a clinical product lead, who work together to bring clinical and care delivery subject matter expertise to user-centric design and engineering. Our enterprise, foundational data, platform, and infrastructure teams are led by “duos” of product managers and engineers, who work closely with legal, regulatory, privacy, marketing, security, analytics, and other stakeholders to build innovative integrations with customers, channel partners, and the healthcare ecosystem at large. Our R&amp;D teams are structured to learn quickly through Continuous Discovery and develop incrementally through scrum Agile, delivering innovative programs with proven outcomes. We believe our ability to innovate in program development is a core competency that helps us compete in the market.</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80"/>
          </w:cols>
          <w:pgMar w:left="320" w:top="454" w:right="4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2484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While our market is in an early stage of development, it is evolving rapidly and becoming increasingly competitive. We currently face competition from a range of digital health companies, including DarioHealth Corp., Hello Heart Inc., Hinge Health, Inc., Lark Technologies, Inc., Livongo (via Teladoc Health, Inc.), Onduo LLC, SWORD Health, Inc., Vida Health, Inc., and Virta Health Corp. In some cases, our competitors include healthcare providers and health plans that have developed their own digital healthcare platforms or tools, large technology companies that are engaged in or may enter the healthcare industry, including initiatives and partnerships launched by these companies, smaller companies that offer point solutions for one or more chronic conditions, and specialized software providers or device manufacturers. In addition, healthcare providers may choose not to implement a digital health solution at all and instead may continue to rely on traditional, in-person approaches to healthcare. We believe that our broad program offerings, combined with our focus on producing clinically validated outcomes, allow us to deliver demonstrated results to our customers and channel partners and better health to our members and differentiate us from our competitors.</w:t>
      </w:r>
    </w:p>
    <w:p>
      <w:pPr>
        <w:spacing w:after="0" w:line="19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As our market grows and rapidly changes, we expect it will continue to attract new companies and offerings. Some of our competitors may have, or may be acquired by third parties that have, greater name and brand recognition, larger customer bases, more or larger channel partnerships, more widely adopted proprietary technologies, greater marketing expertise, larger sales forces, longer operating histories, and/or significantly greater resources than we do. In addition, our competitors have established, and may in the future establish, cooperative relationships with vendors of complementary products, technologies, or services to increase the availability of their solutions in the marketplace.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believe the principal competitive factors for our industry include:</w:t>
      </w:r>
    </w:p>
    <w:p>
      <w:pPr>
        <w:spacing w:after="0" w:line="248" w:lineRule="exact"/>
        <w:rPr>
          <w:sz w:val="20"/>
          <w:szCs w:val="20"/>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evidence-based care informed by high clinical and quality standards;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employers, health plans, health systems, pharmacy benefit managers, and government entities;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influence members to improve health and financial outcomes;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billing model;</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member enrollments and engagement;</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depth, and reliability of platform functionality and technology, including integrations with third-party devices;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convenience for customers, channel partners, and members, including customer integrations;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satisfaction among customers, channel partners, and members;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and retain skilled employees and Care Team members;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rapidly innovate and respond to new or changing opportunities, technologies, standards, legislation and regulatory developments, and the needs and requirements of customers and channel partners;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80"/>
          </w:cols>
          <w:pgMar w:left="320" w:top="454"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compliance and security programs.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While we believe that we compete favorably with respect to these factors, to remain competitive, we will need to continue to focus on, among other things, delivering meaningful and clinically validated outcomes to customers, channel partners, and members through human-led and technology-enabled care; increasing the number of customers and channel partners who offer more than one Omada program; increasing member enrollment rates; enhancing member engagement with our programs; providing a flexible customer experience across contracting, implementation, and account management; and maintaining high levels of data security and member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29755" cy="12484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rely on a combination of trademark, copyright, patent, and trade secret laws, as well as license agreements, confidentiality procedures, and contractual protections with our employees, contractors, affiliates, customers, including channel partners, and other business partners, to establish and protect our intellectual property and proprietary rights.</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As of March 31, 2024, we had four issued patents and three pending patent applications in the U.S. Due to the nature of our technology and the rapid technological changes that characterize the markets we operate in, we believe that trade secrets and other unpatented know-how relied upon in connection with the development of new products and the enhancement of existing products are generally more important than patent protection in establishing and maintaining a competitive advantage. Nevertheless, we continually review our development efforts to assess the existence and patentability of new intellectual property. As of March 31, 2024, we held six registered or applied-for trademarks in the U.S. and also held 16 registered trademarks in foreign jurisdictions. In addition, we have registered domain names for websites that we use in our business, such as www.omadahealth.com.</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the aggregate, our intellectual property assets are of material importance to our business; however, we believe that no single patent, technology, trademark, intellectual property asset, or license is material in relation to any segment of our business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12401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operations are subject to comprehensive laws and regulation at both the federal and state level, including those relating to healthcare, medical or health-related software, and privacy and security of personal health information. The laws and regulations governing our business and interpretations of those laws and regulations continue to expand and evolve, and therefore we devote significant resources to monitoring developments in laws and regulations. As the applicable laws and regulations change, we may make conforming modifications in our business from time to time.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4"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additional discussion of our regulatory environment, see the section titled “Risk Factors” included elsewhere in this prospectus.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Healthcare Fraud and Abuse Laws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and our affiliated professional entities are subject to a number of federal and state healthcare regulatory laws that restrict certain business practices in the healthcare industry. These laws include, but are not limited to, federal and state anti-kickback, false claims, self-referral, and other healthcare fraud and abuse laws.</w:t>
      </w:r>
    </w:p>
    <w:p>
      <w:pPr>
        <w:spacing w:after="0" w:line="17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(the “AKS”)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AKS includes statutory exceptions and regulatory safe harbors that protect certain arrangements. Failure to meet the requirements of a safe harbor, however, does not render an arrangement illegal. Rather, the government may evaluate such arrangements on a case-by-case basis, taking into account all facts and circumstances, including the parties’ intent and the arrangement’s potential for abuse, and arrangements may be subject to greater scrutiny by enforcement agencies.</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Stark Law prohibits a physician who has a financial relationship, or who has an immediate family member who has a financial relationship, with entities providing designated health services (“DHS”) from referring Medicare and Medicaid patients to such entities for the furnishing of DHS, unless an exception applies. The Stark Law also prohibits the entity from billing for any such prohibited referral. Unlike the AKS, the Stark Law is violated if the financial arrangement does not meet an applicable exception, regardless of any intent by the parties to induce or reward referrals or the reasons for the financial relationship and the referral.</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Federal False Claims Act (the “FCA”) prohibits a person from knowingly presenting, or causing to be presented, a false or fraudulent request for payment from the federal government or from making a false statement or using a false record to have a claim approved. The FCA further provides that a lawsuit thereunder may be initiated in the name of the U.S. by an individual (a “whistleblower”) who is an original source of the allegations. Moreover, the government may assert that a claim including items and services resulting from a violation of the AKS or the Stark Law constitutes a false or fraudulent claim for purposes of the civil FCA. Penalties for a violation of the FCA include fines for each false claim, plus up to three times the amount of damages caused by each false claim.</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Further, the Civil Monetary Penalties Statute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and regulations implemented thereunder (collectively, “HIPAA”), also established federal criminal statutes that prohibit, among other things,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Several states in which we operate also have adopted similar fraud and abuse laws as described above. The scope of these laws and the interpretations of them vary from state to state and are enforced by state courts and regulatory authorities, each with broad discretion. Some state fraud and abuse laws apply to items or services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4"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reimbursed by any payer, including patients and commercial insurers, not just those reimbursed by a federally funded healthcare program.</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contractual damages, the curtailment or restructuring of operations, exclusion from participation in government healthcare programs, and/or imprisonment.</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many of which are intended to contain or reduce healthcare costs. By way of example, the Affordable Care Act (the “ACA”) substantially changed the way healthcare is financed by both governmental and private insurers. Since its enactment, there have been judicial, executive, and Congressional challenges to certain aspects of the ACA. On June 17, 2021, the U.S. Supreme Court dismissed the most recent judicial challenge to the ACA without specifically ruling on the constitutionality of the ACA.</w:t>
      </w:r>
    </w:p>
    <w:p>
      <w:pPr>
        <w:spacing w:after="0" w:line="184" w:lineRule="exact"/>
        <w:rPr>
          <w:sz w:val="20"/>
          <w:szCs w:val="20"/>
          <w:color w:val="auto"/>
        </w:rPr>
      </w:pPr>
    </w:p>
    <w:p>
      <w:pPr>
        <w:jc w:val="both"/>
        <w:ind w:left="160" w:firstLine="436"/>
        <w:spacing w:after="0" w:line="268" w:lineRule="auto"/>
        <w:rPr>
          <w:sz w:val="20"/>
          <w:szCs w:val="20"/>
          <w:color w:val="auto"/>
        </w:rPr>
      </w:pPr>
      <w:r>
        <w:rPr>
          <w:rFonts w:ascii="Times New Roman" w:cs="Times New Roman" w:eastAsia="Times New Roman" w:hAnsi="Times New Roman"/>
          <w:sz w:val="17"/>
          <w:szCs w:val="17"/>
          <w:color w:val="auto"/>
        </w:rPr>
        <w:t>In addition, the ACA requires (with limited exceptions) that private health plans cover certain recommended preventive services without imposing member cost-sharing. For individuals covered by high-deductible health plans, receiving preventive care coverage without cost-sharing will not affect their eligibility to make health savings account (“HSA”) contributions. Furthermore, high-deductible health plan participants retain their HSA-eligibility if they receive (i) telehealth and other remote services (under an exception that is currently scheduled to expire at the end of 2024 for most plans) and</w:t>
      </w:r>
    </w:p>
    <w:p>
      <w:pPr>
        <w:spacing w:after="0" w:line="2" w:lineRule="exact"/>
        <w:rPr>
          <w:sz w:val="20"/>
          <w:szCs w:val="20"/>
          <w:color w:val="auto"/>
        </w:rPr>
      </w:pPr>
    </w:p>
    <w:p>
      <w:pPr>
        <w:jc w:val="both"/>
        <w:ind w:left="160" w:firstLine="7"/>
        <w:spacing w:after="0" w:line="250" w:lineRule="auto"/>
        <w:tabs>
          <w:tab w:leader="none" w:pos="4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management or wellness programs that do not provide significant benefits in the nature of medical care or treatment, even if these are provided before the high deductible is met. Finally, qualified health plans for individuals and the small group market must cover certain “essential benefits,” including chronic disease management, although those plans may meet that ACA requirement with other services and are not required to cover Omada’s programs specifically.</w:t>
      </w:r>
    </w:p>
    <w:p>
      <w:pPr>
        <w:spacing w:after="0" w:line="18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and we expect that additional state and federal healthcare reform measures will be adopted in the future, any of which could limit the amounts that federal and state governments and other third-party payers will pay for healthcare products and services.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In the U.S., federal and state laws and regulations, including data breach notification laws, health information privacy and security laws, such as HIPAA, and federal and state consumer protection laws and regulations, such as Section 5 of the Federal Trade Commission Act, that govern the collection, use, disclosure, and protection of health-related and other personal information could apply to our operations or the operations of our partners. In addition, certain state and foreign laws, such as the California Consumer Privacy Act, as amended by the California Privacy Rights Act (collectively, “CCPA”),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For example, HIPAA imposes privacy, security, and breach notification obligations on certain healthcare providers, health plans, and healthcare clearinghouses, known as covered entities, as well as their business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80"/>
          </w:cols>
          <w:pgMar w:left="320" w:top="454"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associates that perform certain services that involve creating, receiving, maintaining, or transmitting individually identifiable health information for or on behalf of such covered entities, and their covered subcontractors. Entities found to be in violation of HIPAA as the result of a breach of unsecured protected health information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While HIPAA does not create a private right of action allowing individuals to sue us in civil court for violations of HIPAA, HIPAA authorizes state Attorneys General to file suit on behalf of their residents, and its standards have been used as the basis for duty of care in state civil suits such as those for negligence or recklessness in the misuse or breach of PHI.</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U.S. Food and Drug Administration</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FDA regulates medical or health-related software, including machine learning functionality and predictive algorithms, if such software falls within the definition of a “medical device” under the Federal Food, Drug, and Cosmetic Act (the “FDCA”). Historically, the FDA has exercised enforcement discretion for certain low-risk software functions and has issued several guidance documents outlining its approach to the regulation of certain software functionality as a medical device. In addition, the FDCA excludes certain types of software from the definition of a medical device, including certain medical-related software used for administrative support at a healthcare facility, software intended for maintaining or encouraging a healthy lifestyle, certain software designed to store electronic health records, software for transferring, storing, or displaying medical device data or in vitro diagnostic data, and certain clinical decision support software. We believe our current software applications generally provide clinical decision support functionality for our Care Teams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w:t>
      </w:r>
    </w:p>
    <w:p>
      <w:pPr>
        <w:spacing w:after="0" w:line="189"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The FDA also regulates as medical devices certain of the connected devices provided to members in connection with our programs. These connected devices include blood pressure monitors and blood glucose monitors (including continuous glucose monitors). In the U.S., the FDCA, as well as FDA regulations and other federal and state statutes and regulations, govern, among other things, medical device design and development, preclinical and clinical testing, device safety, premarket clearance and approval, establishment registration and device listing, manufacturing, labeling, storage, record-keeping, advertising, and promotion, sales, and distribution, export and import, recalls and field safety corrective actions, and post-market surveillance, including complaint handling and medical device reporting of adverse events. Failure to comply with applicable requirements may subject a company to a variety of administrative or judicial sanctions, such as warning or untitled letters, product recalls, product seizures, total or partial suspension of production or distribution, injunctions, fines, civil penalties, and criminal prosecution. The FDA can also refuse to approve or clear pending product applications. We do not manufacture, reprocess, repackage, remanufacture, import, export, or act as a specification developer for the medical devices we provide to members, nor have we sought or obtained 510(k) clearance, PMA approval, or other marketing authorizations for the connected devices provided in connection with our programs. We are wholly reliant on our suppliers and contract manufacturers to obtain the requisite marketing authorizations for their products and to comply with applicable FDA regulations and other legal requirements.</w:t>
      </w:r>
    </w:p>
    <w:p>
      <w:pPr>
        <w:spacing w:after="0" w:line="19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FDA premarket clearance and approval requirements</w:t>
      </w:r>
      <w:r>
        <w:rPr>
          <w:rFonts w:ascii="Times New Roman" w:cs="Times New Roman" w:eastAsia="Times New Roman" w:hAnsi="Times New Roman"/>
          <w:sz w:val="18"/>
          <w:szCs w:val="18"/>
          <w:color w:val="auto"/>
        </w:rPr>
        <w:t>—Unless an exemption applies, each medical device commercially distributed in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either FDA clearance of a 510(k) premarket notification,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4"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r>
        <w:rPr>
          <w:rFonts w:ascii="Times New Roman" w:cs="Times New Roman" w:eastAsia="Times New Roman" w:hAnsi="Times New Roman"/>
          <w:sz w:val="18"/>
          <w:szCs w:val="18"/>
          <w:color w:val="auto"/>
        </w:rPr>
        <w:t>—After a device is cleared or approved for marketing, numerous and pervasive regulatory requirements continue to apply.</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These include:</w:t>
      </w:r>
    </w:p>
    <w:p>
      <w:pPr>
        <w:spacing w:after="0" w:line="229" w:lineRule="exact"/>
        <w:rPr>
          <w:sz w:val="20"/>
          <w:szCs w:val="20"/>
          <w:color w:val="auto"/>
        </w:rPr>
      </w:pPr>
    </w:p>
    <w:p>
      <w:pPr>
        <w:ind w:left="1140" w:hanging="545"/>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w:t>
      </w:r>
    </w:p>
    <w:p>
      <w:pPr>
        <w:spacing w:after="0" w:line="202"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02"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2"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requirements governing Unique Device Identifiers on devices and also requiring the submission of certain information about each device to the FDA’s Global Unique Device Identification Database;</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Manufacturers of medical device products marketed in the U.S. are required to comply with the applicable portions of the QSR, which cover the methods and the facilities and controls for the design, manufacture, testing, production, processes, controls, quality assurance, labeling, packaging, distribution, installation, and servicing of</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4"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finished devices intended for human use. The QSR also requires, among other things, maintenance of a device master file, device history file, and complaint files. Device manufacturers are also subject to periodic scheduled or unscheduled inspections by the FDA. The FDA has broad regulatory compliance and enforcement powers.</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If the FDA determines that a company has failed to comply with applicable regulatory requirements, including a determination that medical software applications require prior FDA clearance or approval to be legally marketed in the U.S., it can take a variety of compliance or enforcement actions, which may result in any of the following sanctions: warning letters, untitled letters, fines, injunctions, consent decrees, and civil penalties; recalls, withdrawals, or administrative detentions or seizures of products; operating restrictions or partial suspension or total shutdown of production; refusing or delaying requests for 510(k) clearance or PMA approvals of new products or modified products; withdrawing 510(k) clearances or PMA approvals that have already been granted; refusal to grant export or import approvals; or criminal prosecution.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State Corporate Practice of Physical Therapy and Fee-Splitting Laws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arrangements with Physera Physical Therapy Group, PC (“PPTG”) are subject to various state laws in California and other jurisdictions, commonly referred to as corporate practice of physical therapy and fee-splitting laws, which are intended to prevent unlicensed persons from interfering with or influencing the physical therapists’ professional judgment and prohibit the sharing of professional service fees with non-professional or business interests. These laws vary from state to state and are subject to broad interpretation and enforcement by state regulators. A determination of non-compliance against us and/or PPTG could lead to adverse judicial or administrative action, civil or criminal penalties, receipt of cease and desist orders from state regulators, loss of provider licenses, and/or restructuring of these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29755" cy="12484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Omada is headquartered in San Francisco, California, and we are a party to a lease agreement through July 2025 for approximately 13,606 square feet of office space. We believe our facilities are sufficient for our current needs and that, should it be needed, suitable additional or alternative space will be available to accommodate our operations.</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Omada’s workplace philosophy is focused on providing versatility for employees while fostering a diverse and high-performing company culture. Our ability to recruit and retain top talent is bolstered by our flexible work policy, which provides support and opportunities for employees to work remotely or in our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12484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4"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including their ages as of April 30, 2024:</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9"/>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6"/>
        </w:trPr>
        <w:tc>
          <w:tcPr>
            <w:tcW w:w="20" w:type="dxa"/>
            <w:vAlign w:val="bottom"/>
          </w:tcPr>
          <w:p>
            <w:pPr>
              <w:spacing w:after="0"/>
              <w:rPr>
                <w:sz w:val="17"/>
                <w:szCs w:val="17"/>
                <w:color w:val="auto"/>
              </w:rPr>
            </w:pPr>
          </w:p>
        </w:tc>
        <w:tc>
          <w:tcPr>
            <w:tcW w:w="37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20" w:type="dxa"/>
            <w:vAlign w:val="bottom"/>
            <w:tcBorders>
              <w:top w:val="single" w:sz="8" w:color="auto"/>
            </w:tcBorders>
          </w:tcPr>
          <w:p>
            <w:pPr>
              <w:spacing w:after="0"/>
              <w:rPr>
                <w:sz w:val="17"/>
                <w:szCs w:val="17"/>
                <w:color w:val="auto"/>
              </w:rPr>
            </w:pP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Duffy</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Cook</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Wei-Li Shao</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w:t>
            </w:r>
          </w:p>
        </w:tc>
      </w:tr>
      <w:tr>
        <w:trPr>
          <w:trHeight w:val="21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Chairperson and Lead Director</w:t>
            </w: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Casper de Clercq</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Trevor Fetter</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James</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and Co-Founder</w:t>
            </w: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 Pande, Ph.D.</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Root, M.D.</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7" w:lineRule="exact"/>
        <w:rPr>
          <w:sz w:val="20"/>
          <w:szCs w:val="20"/>
          <w:color w:val="auto"/>
        </w:rPr>
      </w:pPr>
    </w:p>
    <w:p>
      <w:pPr>
        <w:ind w:left="600" w:hanging="433"/>
        <w:spacing w:after="0"/>
        <w:tabs>
          <w:tab w:leader="none" w:pos="6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ind w:left="600" w:hanging="433"/>
        <w:spacing w:after="0"/>
        <w:tabs>
          <w:tab w:leader="none" w:pos="6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corporate governance committee.</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Duffy </w:t>
      </w:r>
      <w:r>
        <w:rPr>
          <w:rFonts w:ascii="Times New Roman" w:cs="Times New Roman" w:eastAsia="Times New Roman" w:hAnsi="Times New Roman"/>
          <w:sz w:val="18"/>
          <w:szCs w:val="18"/>
          <w:color w:val="auto"/>
        </w:rPr>
        <w:t>has served as our co-founder, Chief Executive Officer, and as a member of our board of directors since April 2011. From June 2010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2011, Mr. Duffy worked at IDEO LP, a design firm, in IDEO’s health and wellness practice. He also previously worked in the people analytics group at Google LLC, a global technology company, from June 2007 to August 2009. Mr. Duffy holds a B.A. in Neuroscience from Columbia University and was enrolled in the combined M.D. and M.B.A. program at Harvard University from July 2009 to May 2010. We believe that Mr. Duffy is qualified to serve on our board of directors due to the valuable expertise and perspective he brings in his capacity as a co-founder and our Chief Executive Officer and because of his extensive experience and knowledge of our industry.</w:t>
      </w:r>
    </w:p>
    <w:p>
      <w:pPr>
        <w:spacing w:after="0" w:line="178"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 Cook </w:t>
      </w:r>
      <w:r>
        <w:rPr>
          <w:rFonts w:ascii="Times New Roman" w:cs="Times New Roman" w:eastAsia="Times New Roman" w:hAnsi="Times New Roman"/>
          <w:sz w:val="18"/>
          <w:szCs w:val="18"/>
          <w:color w:val="auto"/>
        </w:rPr>
        <w:t>has served as our Chief Financial Officer since July 2021. Prior to joining our company, Mr. Cook held various finance roles at 1Life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Inc., d/b/a One Medical, a primary care provider now owned by Amazon, serving as Vice President, Head of Strategic Finance from January 2021 to July 2021, Senior Director, Strategic Finance and Head of FP&amp;A from January 2020 to December 2020, and Director, Strategic Finance from February 2018 to December 2019. Prior to that, he held various finance roles at Salesforce, Inc., a cloud-based software company, from October 2011 to January 2018. Mr. Cook holds a B.A. in Political Science from the University of California, San Diego.</w:t>
      </w:r>
    </w:p>
    <w:p>
      <w:pPr>
        <w:spacing w:after="0" w:line="180"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Wei-Li Shao </w:t>
      </w:r>
      <w:r>
        <w:rPr>
          <w:rFonts w:ascii="Times New Roman" w:cs="Times New Roman" w:eastAsia="Times New Roman" w:hAnsi="Times New Roman"/>
          <w:sz w:val="18"/>
          <w:szCs w:val="18"/>
          <w:color w:val="auto"/>
        </w:rPr>
        <w:t>has served as our President since December 2021, after previously serving as our Chief Commercial Officer from May 2019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2021. Prior to joining our company, Mr. Shao held various roles at Eli Lilly and Company, a global pharmaceutical company, from 2001 to February 2019, including Vice President of Lilly China Diabetes, General Manager of Lilly Taiwan, Lilly New Zealand, and most recently as Vice President of the U.S. Neuroscience Business Unit. Mr. Shao holds a B.S. in Biochemistry from the University of Wisconsin-Madison and an M.B.A. from Indiana University’s Kelley School of Business.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1"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Jeryl Hilleman </w:t>
      </w:r>
      <w:r>
        <w:rPr>
          <w:rFonts w:ascii="Times New Roman" w:cs="Times New Roman" w:eastAsia="Times New Roman" w:hAnsi="Times New Roman"/>
          <w:sz w:val="18"/>
          <w:szCs w:val="18"/>
          <w:color w:val="auto"/>
        </w:rPr>
        <w:t>has served as a member of our board of directors since April 2019, including as Chairperson since July 2020. Ms. Hilleman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Chief Financial Officer of several publicly held healthcare companies, including most recently at Intersect ENT, Inc., a medical device company subsequently acquired by Medtronic plc, from June 2014 to December 2019. Prior to joining Intersect ENT, Ms. Hilleman was Chief</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4" w:right="4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Financial Officer of publicly held Ocera Therapeutics, Inc., a biopharmaceutical company acquired by Mallinckrodt Pharmaceuticals, Inc., Amyris, Inc., a renewable products company, and Symyx Technologies, Inc., a software and instruments company acquired by Accelrys, Inc. She has served on the boards of directors of NovoCure Limited, a publicly held oncology company, since July 2018, SI-Bone, Inc., a publicly held medical device company, since December 2019, and HilleVax, Inc., a publicly held biopharmaceutical company, since April 2021, and has been appointed to the board of directors of Cutera, Inc., a publicly held medical device company, effective July 12, 2024. Ms. Hilleman has also served as a director of Minerva Neuroscience since July 2018, but has resigned effective August 6, 2024. In addition, she previously served on the boards of directors of Xenoport Inc., a publicly held biotechnology company, from January 2005 to July 2016, and Talis Biomedical Corporation, a publicly held diagnostics company, from April 2021 to June 2022. Ms. Hilleman holds an A.B. in History from Brown University and an M.B.A. from The Wharton School at the University of Pennsylvania. We believe that Ms. Hilleman is qualified to serve on our board of directors due to her extensive business, accounting and management experience and her service as an executive and board member of several biotechnology and healthcare companies.</w:t>
      </w:r>
    </w:p>
    <w:p>
      <w:pPr>
        <w:spacing w:after="0" w:line="18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Casper de Clercq </w:t>
      </w:r>
      <w:r>
        <w:rPr>
          <w:rFonts w:ascii="Times New Roman" w:cs="Times New Roman" w:eastAsia="Times New Roman" w:hAnsi="Times New Roman"/>
          <w:sz w:val="18"/>
          <w:szCs w:val="18"/>
          <w:color w:val="auto"/>
        </w:rPr>
        <w:t>has served as a member of our board of directors since September 2015. Mr. de Clercq has served as a General Partner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Norwest Venture Partners, a venture capital firm, since January 2011. Prior to joining Norwest Venture Partners, Mr. de Clercq was a Partner at U.S. Venture Partners, a venture capital firm, from August 2004 to January 2011. He currently serves on the boards of directors of several privately held medical device, healthcare, and life sciences companies, including Avivomed Inc., Clever Care Health Plan, Inc., Monogram Health, Neocis, Inc., Route92 Medical, Inc., and Science Exchange, Inc. He also previously served on the boards of directors of Intersect ENT, Inc., a publicly held healthcare equipment company, iRhythm Technologies, Inc., a publicly held surgical and medical equipment company, and several privately held companies. Prior to his investing career, Mr. de Clercq had 15 years of operating experience leading commercialization of healthcare products and services. Mr. de Clercq holds a B.A. in Biochemistry from Dartmouth College, an M.S. in Biology from Stanford University, and a M.B.A. from Stanford University Graduate School of Business. We believe that Mr. de Clercq is qualified to serve on our board of directors because of his background in overseeing public healthcare companies and his background in the investment industry, including his experience with investments in healthcare and technology companies.</w:t>
      </w:r>
    </w:p>
    <w:p>
      <w:pPr>
        <w:spacing w:after="0" w:line="187"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Trevor Fetter </w:t>
      </w:r>
      <w:r>
        <w:rPr>
          <w:rFonts w:ascii="Times New Roman" w:cs="Times New Roman" w:eastAsia="Times New Roman" w:hAnsi="Times New Roman"/>
          <w:sz w:val="18"/>
          <w:szCs w:val="18"/>
          <w:color w:val="auto"/>
        </w:rPr>
        <w:t>has served as a member of our board of directors since March 2021. Mr. Fetter has served as a Senior Lecturer at Harvard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since January 2019 and previously served in numerous executive leadership roles at Tenet Healthcare, a publicly held healthcare services company, including as Chief Executive Officer from September 2003 to October 2017, President from November 2002 to October 2017, Chairman from May 2015 to October 2017, and Executive Vice President and Chief Financial Officer from October 1995 to February 2000. Mr. Fetter has served on the board of directors of The Hartford Financial Services Group, Inc., a publicly held investment and insurance company, since January 2007, including as Lead Director since May 2017, and he also currently serves on the boards of directors of several privately held healthcare services companies. Mr. Fetter holds an A.B. in Economics from Stanford University and an M.B.A. from Harvard Business School. We believe that Mr. Fetter is qualified to serve on our board of directors due to his extensive business and management experience leading a public healthcare company, and his service as a board member of several biotechnology and healthcare companies.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Adrian James </w:t>
      </w:r>
      <w:r>
        <w:rPr>
          <w:rFonts w:ascii="Times New Roman" w:cs="Times New Roman" w:eastAsia="Times New Roman" w:hAnsi="Times New Roman"/>
          <w:sz w:val="18"/>
          <w:szCs w:val="18"/>
          <w:color w:val="auto"/>
        </w:rPr>
        <w:t>has served as our co-founder and as a member of our board of directors since May 2011. He also served as our President from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2011 to December 2021, and continued to serve in an executive role until June 2023. Prior to co-founding our company, Mr. James held various roles at IDEO LP, a design firm, from November 2001 to May 2011, and most recently led IDEO’s medical products division. He has served on the board of directors of Movn Health, a privately held virtual care provider focused on remote cardiac rehabilitation, since December 2020, and currently serves as a strategic advisor to several health technology companies and venture capital firms. Mr. James holds a B.S. and M.S. in Mechanical Engineering from Stanford University. We believe that Mr. James is qualified to serve on our board of directors due to his perspective, experience, and leadership as a co-founder and former President of our company.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54"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Vijay Pande, Ph.D. </w:t>
      </w:r>
      <w:r>
        <w:rPr>
          <w:rFonts w:ascii="Times New Roman" w:cs="Times New Roman" w:eastAsia="Times New Roman" w:hAnsi="Times New Roman"/>
          <w:sz w:val="18"/>
          <w:szCs w:val="18"/>
          <w:color w:val="auto"/>
        </w:rPr>
        <w:t>has served as a member of our board of directors since August 2015. Dr. Pande has served as a General Partner at Andreessen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Horowitz since September 2015, where he was the founding investor of the firm’s Bio Fund and leads the firm’s investments at the cross section of biology and computer science. From September 1999 to October 2015, Dr. Pande served as a Professor of Chemistry, Structural Biology, and Computer Science at Stanford University, where he led the Biophysics Program. During his time at Stanford, Dr. Pande co-founded Globavir Biosciences, Inc., a privately held infectious disease company. From October 1999 to August 2019, Dr. Pande served as Founding Director of Folding@home, a distributed computing project for disease research. He currently serves on the board of directors of Nautilus Biotechnology, Inc., a publicly held biotechnology company, and on the boards of directors of several privately held companies in the biopharma and healthcare industries. Dr. Pande holds a B.A. in Physics from Princeton University and a Ph.D. in Physics from the Massachusetts Institute of Technology. We believe that Dr. Pande is qualified to serve on our board of directors due to his educational background, his management and science expertise, and his experience as an investor in companies in the healthcare industry.</w:t>
      </w:r>
    </w:p>
    <w:p>
      <w:pPr>
        <w:spacing w:after="0" w:line="18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Root, M.D. </w:t>
      </w:r>
      <w:r>
        <w:rPr>
          <w:rFonts w:ascii="Times New Roman" w:cs="Times New Roman" w:eastAsia="Times New Roman" w:hAnsi="Times New Roman"/>
          <w:sz w:val="18"/>
          <w:szCs w:val="18"/>
          <w:color w:val="auto"/>
        </w:rPr>
        <w:t>has served as a member of our board of directors since January 2013. Dr. Root has served as the Managing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Presidio Management Group X, LLC and several U.S. Venture Partners’ funds, which are the general partners of various other venture capital funds, since 1998. Dr. Root has served on the boards of directors of Edgewise Therapeutics, Inc., a publicly held biopharmaceutical company, since August 2019, and Inari Medical, Inc., a publicly held medical device company, since September 2011, and also currently serves on the boards of directors of several privately held companies in the healthcare industry. He previously served on the boards of directors of Silverback Therapeutics, Inc., a publicly held biopharmaceutical company, from March 2020 until its merger with ARS Pharmaceuticals, Inc. in November 2022, eFFECTOR Therapeutics, Inc., a publicly held biopharmaceutical company, from May 2013 to February 2022, and OncoMed Pharmaceuticals, Inc., a publicly held biopharmaceutical company, from August 2004 until its merger with Mereo BioPharma Group plc in April 2019. Dr. Root holds an A.B. in Economics from Dartmouth College, an M.D. from University of Florida, College of Medicine, and an M.B.A. from Columbia Business School. We believe that Dr. Root is qualified to serve on our board of directors due to his medical, management, and director experience in the healthcare industry.</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Our board of directors has determined that all of our directors, other than Mr. Duffy and Mr. James, qualify as “independent” directors in accordance with the listing rules of The Nasdaq Stock Market LLC (the “Listing Rules”). Mr. Duffy is not considered independent by virtue of his position as our Chief Executive Officer. Mr. James is not considered independent because he was our employee, including serving as our President until December 2021. Under the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Listing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which will be effective immediately prior to the completion of this offering, our board of directors will be divided into three classes with</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4"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The Class I directors will be 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and            , and their terms will expire at the annual meeting of stockholders to be</w:t>
            </w:r>
          </w:p>
        </w:tc>
      </w:tr>
      <w:tr>
        <w:trPr>
          <w:trHeight w:val="233"/>
        </w:trPr>
        <w:tc>
          <w:tcPr>
            <w:tcW w:w="300" w:type="dxa"/>
            <w:vAlign w:val="bottom"/>
          </w:tcPr>
          <w:p>
            <w:pPr>
              <w:spacing w:after="0"/>
              <w:rPr>
                <w:sz w:val="20"/>
                <w:szCs w:val="20"/>
                <w:color w:val="auto"/>
              </w:rPr>
            </w:pPr>
          </w:p>
        </w:tc>
        <w:tc>
          <w:tcPr>
            <w:tcW w:w="2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 in 2025;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3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The Class II directors will be 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1"/>
              </w:rPr>
              <w:t>and 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 and their terms will expire at the annual meeting of stockholders to be held in 2026;</w:t>
            </w:r>
          </w:p>
        </w:tc>
      </w:tr>
      <w:tr>
        <w:trPr>
          <w:trHeight w:val="233"/>
        </w:trPr>
        <w:tc>
          <w:tcPr>
            <w:tcW w:w="300" w:type="dxa"/>
            <w:vAlign w:val="bottom"/>
          </w:tcPr>
          <w:p>
            <w:pPr>
              <w:spacing w:after="0"/>
              <w:rPr>
                <w:sz w:val="20"/>
                <w:szCs w:val="20"/>
                <w:color w:val="auto"/>
              </w:rPr>
            </w:pPr>
          </w:p>
        </w:tc>
        <w:tc>
          <w:tcPr>
            <w:tcW w:w="2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5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4"/>
              </w:rPr>
              <w:t>The Class III directors will be 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2"/>
              </w:rPr>
              <w:t>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 and their terms will expire at the annual meeting of stockholders to be held in 2027.</w:t>
            </w:r>
          </w:p>
        </w:tc>
      </w:tr>
    </w:tbl>
    <w:p>
      <w:pPr>
        <w:spacing w:after="0" w:line="19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Arrangements</w:t>
      </w:r>
    </w:p>
    <w:p>
      <w:pPr>
        <w:spacing w:after="0" w:line="225"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The election of the members of our board of directors is governed by the amended and restated voting agreement that we entered into with certain holders of our common stock and certain holders of our redeemable convertible preferred stock and the related provisions of our restated certificate of incorporation. Pursuant to our amended and restated voting agreement, the following directors were designated as directors to our board of directors:</w:t>
      </w:r>
    </w:p>
    <w:p>
      <w:pPr>
        <w:spacing w:after="0" w:line="186" w:lineRule="exact"/>
        <w:rPr>
          <w:sz w:val="20"/>
          <w:szCs w:val="20"/>
          <w:color w:val="auto"/>
        </w:rPr>
      </w:pPr>
    </w:p>
    <w:p>
      <w:pPr>
        <w:ind w:left="1140" w:hanging="545"/>
        <w:spacing w:after="0" w:line="278"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Root, M.D. was designated by U.S. Venture Partners X, L.P. and its affiliates and elected by the holders of a majority of the shares of our Series A redeemable convertible preferred stock;</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 Pande, Ph.D. was designated by Andreessen Horowitz Fund IV, L.P. and its affiliates and elected by the holders of a majority of the shares of our Series B redeemable convertible preferred stock;</w:t>
      </w:r>
    </w:p>
    <w:p>
      <w:pPr>
        <w:spacing w:after="0" w:line="189"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Casper de Clercq was designated by Norwest Venture Partners XII, LP and its affiliates and elected by the holders of a majority of the shares of our Series C redeemable convertible preferred stock;</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58"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Jeryl Hilleman was designated by the mutual agreement of the Chief Executive Officer and the directors elected and designated by the holders of a majority of the shares of our common stock who are parties to the voting agreement, and approved by the board of directors (including the approval of at least two of the directors designated and elected by the holders of our Series A, Series B, Series C, Series C-1 and Series E redeemable convertible preferred stock) as our independent director;</w:t>
      </w:r>
    </w:p>
    <w:p>
      <w:pPr>
        <w:spacing w:after="0" w:line="206"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Duffy was elected and designated as our then-current Chief Executive Officer; and</w:t>
      </w:r>
    </w:p>
    <w:p>
      <w:pPr>
        <w:spacing w:after="0" w:line="247"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Adrian James and Trevor Fetter were designated by the holders of a majority of the shares of our common stock held by the holders of our common stock who are parties to the voting agreement and elected by the holders of a majority of the outstanding shares of our common stock.</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holders of our common stock and redeemable convertible preferred stock who are parties to our amended and restated voting agreement are obligated to vote for such designees indicated above. The provisions of this voting agreement will terminate upon the consummation of this offering and our restated certificate of incorporation will be amended and restated, after which there will be no further contractual obligations or charter provisions regarding the election of our directors. Our current directors will hold office until their successors have been elected and qualified or appointed or the earlier of their death, resignation, or removal.</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4"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to be in place immediately prior to the consummation of this offering will provide our board of directors with flexibility to combine or separate the positions of Chair of the board of directors and Chief Executive Officer and to implement a lead director in accordance with its determination regarding which structure would be in the best interests of our company.</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strategic risks facing us. Throughout the year, senior management reviews these strategic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company-wide and information security risk assessment processes, our major financial risk exposures, and the steps our management has taken to monitor and control these risks and exposures. The audit committee then reviews these matters with the full board of directors as part of the audit committee’s reports at regular board meetings. The audit committee also approves or disapproves any related-party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intends to adopt a written charter that satisfies the applicable rules and regulations of the SEC and Listing Rules, which we will post on our website at www.omadahealth.com upon the completion of this offering.</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248" w:lineRule="exact"/>
        <w:rPr>
          <w:sz w:val="20"/>
          <w:szCs w:val="20"/>
          <w:color w:val="auto"/>
        </w:rPr>
      </w:pPr>
    </w:p>
    <w:p>
      <w:pPr>
        <w:ind w:left="1140" w:hanging="545"/>
        <w:spacing w:after="0"/>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247" w:lineRule="exact"/>
        <w:rPr>
          <w:rFonts w:ascii="Times New Roman" w:cs="Times New Roman" w:eastAsia="Times New Roman" w:hAnsi="Times New Roman"/>
          <w:sz w:val="18"/>
          <w:szCs w:val="18"/>
          <w:color w:val="auto"/>
        </w:rPr>
      </w:pPr>
    </w:p>
    <w:p>
      <w:pPr>
        <w:ind w:left="5500" w:right="2140" w:hanging="4905"/>
        <w:spacing w:after="0" w:line="448"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 166</w:t>
      </w:r>
    </w:p>
    <w:p>
      <w:pPr>
        <w:sectPr>
          <w:pgSz w:w="11900" w:h="16838" w:orient="portrait"/>
          <w:cols w:equalWidth="0" w:num="1">
            <w:col w:w="11080"/>
          </w:cols>
          <w:pgMar w:left="320" w:top="454"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pre-approves the audit and non-audit fees and services;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related-party transactions on an ongoing basis;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any complaints received by us regarding accounting, internal accounting controls, or auditing matters;</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our independent registered public accounting firm the results of the annual audit and the review of our quarterly financial statements;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on a periodic basis, or as appropriate, with management our policies and procedures with respect to risk assessment and risk management;</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investigates any reports received through the ethics helpline and reports to the Board periodically with respect to any information received through the ethics helpline and any related investigations; and</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audit committee’s performance on an annual basis.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audit committee consists of         ,         , and         . Our board of directors has determined that all members are independent under the Listing Rules and Rule 10A-3(b)(1) of the Exchange Act. The chair of our audit committee is         . Our board of directors has determined that        and        are each an “audit committee financial expert” as such term is currently defined in Item 407(d)(5) of Regulation S-K. Our board of directors has also determined that each member of our audit committee can read and understand fundamental consolidated financial statements, in accordance with applicable requirements.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employees. Among other matters, the compensation committee:</w:t>
      </w:r>
    </w:p>
    <w:p>
      <w:pPr>
        <w:spacing w:after="0" w:line="189" w:lineRule="exact"/>
        <w:rPr>
          <w:sz w:val="20"/>
          <w:szCs w:val="20"/>
          <w:color w:val="auto"/>
        </w:rPr>
      </w:pPr>
    </w:p>
    <w:p>
      <w:pPr>
        <w:ind w:left="1140" w:hanging="545"/>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recommends corporate goals and objectives relevant to compensation of our executive officers (other than our Chief Executive Officer);</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these officers in light of those goals and objectives and approves the compensation of these officers based on such evaluations;</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makes recommendations to our board of directors regarding the issuance of stock options and other awards under our stock plans to our executive officers (other than our Chief Executive Officer);</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308" w:lineRule="auto"/>
        <w:tabs>
          <w:tab w:leader="none" w:pos="11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 and</w:t>
      </w:r>
    </w:p>
    <w:p>
      <w:pPr>
        <w:spacing w:after="0" w:line="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4"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compensation committee charter and the compensation committee’s performance on annual basis.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compensation committee consists of         ,         , and        . Our board of directors has determined that all members are independent under the Listing Rules and are non-employee directors, as defined by Rule 16b-3 promulgated under the Exchange Act. The chair of our compensation committee is         .</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policies relating to our corporate governance. Among other matters, the nominating and corporate governance committee:</w:t>
      </w:r>
    </w:p>
    <w:p>
      <w:pPr>
        <w:spacing w:after="0" w:line="189" w:lineRule="exact"/>
        <w:rPr>
          <w:sz w:val="20"/>
          <w:szCs w:val="20"/>
          <w:color w:val="auto"/>
        </w:rPr>
      </w:pPr>
    </w:p>
    <w:p>
      <w:pPr>
        <w:ind w:left="1140" w:hanging="545"/>
        <w:spacing w:after="0" w:line="27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recommends candidates for membership on our board of directors, including the consideration of nominees submitted by stockholders, and on each of the board’s committees;</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our corporate governance guidelines and policies;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process of evaluating the performance of our board of directors;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our board of directors on corporate governance matters.</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         , and         . Our board of directors has determined that all members are independent under the Listing Rules. The chair of our nominating and corporate governance committee is         .</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our board of directors intends to adopt a written code of business conduct and ethics that applies to all of our directors, officers, and employees, including our principal executive officer, principal financial officer, and principal accounting officer or controller, or persons performing similar functions, and agents and representatives. The full text of our code of business conduct and ethics will be posted on our website at www.omadahealth.com upon the completion of this offering. The nominating and corporate governance committee of our board of directors will be responsible for overseeing our code of business conduct and ethics and any waivers applicable to any director, executive officer, or employee. We intend to disclose any future amendments to certain provisions of our code of business conduct and ethics, or waivers of such provisions applicable to our directors, officers, and employees, including our principal executive officer, principal financial officer, principal accounting officer or controller, or persons performing similar functions, and agents and representatives, on our website identified above or in public filings.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both of which will become effective immediately prior to the completion of this offering, limit our directors’ and officers’ liability and provide that we may indemnify our directors and officers to the fullest extent permitted under the General Corporation Law of the State of Delaware (the “DGCL”). The DGCL provides that directors and officers of a corporation will not be personally liable for monetary damages for breach of their fiduciary duties as directors or officers, except for liability for any:</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80"/>
          </w:cols>
          <w:pgMar w:left="320" w:top="454"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the director or officer derives an improper personal benefit;</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not in good faith or that involves intentional misconduct or a knowing violation of law;</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redemption of shares; or</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director’s or officer’s duty of loyalty to the corporation or its stockholders.</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DGCL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amended and restated certificate of incorporation and amended and restated bylaws and these indemnification agreements are necessary to attract and retain qualified persons as directors and officers.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80"/>
          </w:cols>
          <w:pgMar w:left="320" w:top="454"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“2023</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Summary Compensation Table” below. In 2023, our “named executive officers” and their positions with us were as follows:</w:t>
      </w:r>
    </w:p>
    <w:p>
      <w:pPr>
        <w:spacing w:after="0" w:line="229" w:lineRule="exact"/>
        <w:rPr>
          <w:sz w:val="20"/>
          <w:szCs w:val="20"/>
          <w:color w:val="auto"/>
        </w:rPr>
      </w:pPr>
    </w:p>
    <w:p>
      <w:pPr>
        <w:ind w:left="1140" w:hanging="545"/>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Duffy, Chief Executive Officer;</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Cook, Chief Financial Officer;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Wei-Li Shao, President.</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2023 Summary Compensation Table</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 ended December 31, 2023.</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tcPr>
          <w:p>
            <w:pPr>
              <w:jc w:val="right"/>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60" w:type="dxa"/>
            <w:vAlign w:val="bottom"/>
            <w:gridSpan w:val="2"/>
          </w:tcPr>
          <w:p>
            <w:pPr>
              <w:jc w:val="right"/>
              <w:ind w:right="5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6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2"/>
        </w:trPr>
        <w:tc>
          <w:tcPr>
            <w:tcW w:w="47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(1)</w:t>
            </w:r>
          </w:p>
        </w:tc>
        <w:tc>
          <w:tcPr>
            <w:tcW w:w="580" w:type="dxa"/>
            <w:vAlign w:val="bottom"/>
          </w:tcPr>
          <w:p>
            <w:pPr>
              <w:spacing w:after="0"/>
              <w:rPr>
                <w:sz w:val="14"/>
                <w:szCs w:val="14"/>
                <w:color w:val="auto"/>
              </w:rPr>
            </w:pPr>
          </w:p>
        </w:tc>
        <w:tc>
          <w:tcPr>
            <w:tcW w:w="880" w:type="dxa"/>
            <w:vAlign w:val="bottom"/>
          </w:tcPr>
          <w:p>
            <w:pPr>
              <w:jc w:val="right"/>
              <w:ind w:right="225"/>
              <w:spacing w:after="0" w:line="172"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(2)</w:t>
            </w:r>
          </w:p>
        </w:tc>
        <w:tc>
          <w:tcPr>
            <w:tcW w:w="580" w:type="dxa"/>
            <w:vAlign w:val="bottom"/>
          </w:tcPr>
          <w:p>
            <w:pPr>
              <w:spacing w:after="0"/>
              <w:rPr>
                <w:sz w:val="14"/>
                <w:szCs w:val="14"/>
                <w:color w:val="auto"/>
              </w:rPr>
            </w:pPr>
          </w:p>
        </w:tc>
        <w:tc>
          <w:tcPr>
            <w:tcW w:w="880" w:type="dxa"/>
            <w:vAlign w:val="bottom"/>
          </w:tcPr>
          <w:p>
            <w:pPr>
              <w:jc w:val="center"/>
              <w:spacing w:after="0" w:line="172"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(3)</w:t>
            </w:r>
          </w:p>
        </w:tc>
        <w:tc>
          <w:tcPr>
            <w:tcW w:w="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Duffy</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553,500</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267,918</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Cook</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380,000</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161,968</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Wei-Li Shao</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380,000</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605,000</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254,522</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1,932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7645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9" w:lineRule="exact"/>
        <w:rPr>
          <w:sz w:val="20"/>
          <w:szCs w:val="20"/>
          <w:color w:val="auto"/>
        </w:rPr>
      </w:pPr>
    </w:p>
    <w:p>
      <w:pPr>
        <w:ind w:left="600" w:hanging="433"/>
        <w:spacing w:after="0" w:line="231" w:lineRule="auto"/>
        <w:tabs>
          <w:tab w:leader="none" w:pos="6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stock options granted during 2023 computed in accordance with ASC Topic 718, rather than the amounts paid to or realized by the named individual. See Note 12 to our consolidated financial statements included elsewhere in this prospectus for the assumptions used in calculating these amounts.</w:t>
      </w:r>
    </w:p>
    <w:p>
      <w:pPr>
        <w:ind w:left="600" w:hanging="433"/>
        <w:spacing w:after="0" w:line="219" w:lineRule="auto"/>
        <w:tabs>
          <w:tab w:leader="none" w:pos="6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bonuses earned by each named executive officer in 2023 and paid in cash as to 25% of the target bonus amount in 2023 and as to the remainder of the annual bonus earned in 2024. See “—</w:t>
      </w:r>
      <w:r>
        <w:rPr>
          <w:rFonts w:ascii="Times New Roman" w:cs="Times New Roman" w:eastAsia="Times New Roman" w:hAnsi="Times New Roman"/>
          <w:sz w:val="14"/>
          <w:szCs w:val="14"/>
          <w:i w:val="1"/>
          <w:iCs w:val="1"/>
          <w:color w:val="auto"/>
        </w:rPr>
        <w:t>2023 Bonuses</w:t>
      </w:r>
      <w:r>
        <w:rPr>
          <w:rFonts w:ascii="Times New Roman" w:cs="Times New Roman" w:eastAsia="Times New Roman" w:hAnsi="Times New Roman"/>
          <w:sz w:val="14"/>
          <w:szCs w:val="14"/>
          <w:color w:val="auto"/>
        </w:rPr>
        <w:t>” below.</w:t>
      </w:r>
    </w:p>
    <w:p>
      <w:pPr>
        <w:ind w:left="600" w:hanging="433"/>
        <w:spacing w:after="0"/>
        <w:tabs>
          <w:tab w:leader="none" w:pos="6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“All Other Compensation” column include the amounts set forth in the table below:</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Group Term Life</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147"/>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Imputed Income</w:t>
            </w:r>
          </w:p>
        </w:tc>
        <w:tc>
          <w:tcPr>
            <w:tcW w:w="0" w:type="dxa"/>
            <w:vAlign w:val="bottom"/>
          </w:tcPr>
          <w:p>
            <w:pPr>
              <w:spacing w:after="0"/>
              <w:rPr>
                <w:sz w:val="1"/>
                <w:szCs w:val="1"/>
                <w:color w:val="auto"/>
              </w:rPr>
            </w:pPr>
          </w:p>
        </w:tc>
      </w:tr>
      <w:tr>
        <w:trPr>
          <w:trHeight w:val="172"/>
        </w:trPr>
        <w:tc>
          <w:tcPr>
            <w:tcW w:w="3440" w:type="dxa"/>
            <w:vAlign w:val="bottom"/>
            <w:vMerge w:val="continue"/>
          </w:tcPr>
          <w:p>
            <w:pPr>
              <w:spacing w:after="0"/>
              <w:rPr>
                <w:sz w:val="14"/>
                <w:szCs w:val="14"/>
                <w:color w:val="auto"/>
              </w:rPr>
            </w:pPr>
          </w:p>
        </w:tc>
        <w:tc>
          <w:tcPr>
            <w:tcW w:w="7420" w:type="dxa"/>
            <w:vAlign w:val="bottom"/>
            <w:gridSpan w:val="3"/>
          </w:tcPr>
          <w:p>
            <w:pPr>
              <w:jc w:val="center"/>
              <w:ind w:left="62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Duffy</w:t>
            </w:r>
          </w:p>
        </w:tc>
        <w:tc>
          <w:tcPr>
            <w:tcW w:w="5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Steve Cook</w:t>
            </w:r>
          </w:p>
        </w:tc>
        <w:tc>
          <w:tcPr>
            <w:tcW w:w="7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Wei-Li Shao</w:t>
            </w:r>
          </w:p>
        </w:tc>
        <w:tc>
          <w:tcPr>
            <w:tcW w:w="7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3440" w:type="dxa"/>
            <w:vAlign w:val="bottom"/>
          </w:tcPr>
          <w:p>
            <w:pPr>
              <w:spacing w:after="0"/>
              <w:rPr>
                <w:sz w:val="24"/>
                <w:szCs w:val="24"/>
                <w:color w:val="auto"/>
              </w:rPr>
            </w:pPr>
          </w:p>
        </w:tc>
        <w:tc>
          <w:tcPr>
            <w:tcW w:w="5460" w:type="dxa"/>
            <w:vAlign w:val="bottom"/>
          </w:tcPr>
          <w:p>
            <w:pPr>
              <w:jc w:val="right"/>
              <w:ind w:right="3215"/>
              <w:spacing w:after="0"/>
              <w:rPr>
                <w:sz w:val="20"/>
                <w:szCs w:val="20"/>
                <w:color w:val="auto"/>
              </w:rPr>
            </w:pPr>
            <w:r>
              <w:rPr>
                <w:rFonts w:ascii="Times New Roman" w:cs="Times New Roman" w:eastAsia="Times New Roman" w:hAnsi="Times New Roman"/>
                <w:sz w:val="18"/>
                <w:szCs w:val="18"/>
                <w:color w:val="auto"/>
              </w:rPr>
              <w:t>170</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2023 Salaries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2023, our named executive officers received an annual base salary to compensate them for services rendered to us. The base salary payable to each named executive officer is intended to provide a fixed component of compensation reflecting the executive’s skill set, experience, role, and responsibilities.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For fiscal year 2023, Mr. Duffy’s annual base salary was $400,000, Mr. Cook’s base salary was $380,000, and Mr. Shao’s base salary was $380,000. In January 2024, the compensation committee of our board of directors approved a base salary of $389,000 for Mr. Cook and $400,000 for Mr. Shao, each effective February 1, 2024. In February 2024, our board of directors approved a base salary of $412,000 for Mr. Duffy, effective February 1, 2024.</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2023 Bonuses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2023, Messrs. Duffy, Cook, and Shao were each eligible to earn an annual cash bonus pursuant to our 2023 Corporate Bonus Plan targeted at 55%, 35%, and 55%, respectively, of their respective annual base salaries. Pursuant to the 2023 Corporate Bonus Plan, each named executive officer was eligible to earn his annual cash bonus based on the attainment of pre-established annual company and individual performance objectives, which were composed of our performance against the financial plan (weighted 80% of the executive’s bonus opportunity), including revenue, gross margin, and operational expenditure metrics, and individual goals (weighted 20% of the executive’s bonus opportunity). Twenty-five percent of the target bonus amount was paid at mid-year (subject to our tracking to achieve at least target performance), and the remainder was paid in 2024 based on achievement of company and individual performance objectives for the full 2023 performance year.</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actual annual cash bonuses awarded to each named executive officer for 2023 performance are set forth above in the Summary Compensation Table in the column entitled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December 2023, our board of directors approved a 2024 Corporate Bonus Plan on substantially the same terms as the 2023 Corporate Bonus Plan except that our performance metrics were limited to total revenue and adjusted EBITDA margin. Individual goals for Mr. Duffy were approved by our board of directors in February 2024, and individual goals for Messrs. Cook and Shao were approved by the compensation committee of our board of directors in January 2024.</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5" w:lineRule="exact"/>
        <w:rPr>
          <w:sz w:val="20"/>
          <w:szCs w:val="20"/>
          <w:color w:val="auto"/>
        </w:rPr>
      </w:pPr>
    </w:p>
    <w:p>
      <w:pPr>
        <w:jc w:val="both"/>
        <w:ind w:left="160" w:firstLine="436"/>
        <w:spacing w:after="0" w:line="234" w:lineRule="auto"/>
        <w:rPr>
          <w:sz w:val="20"/>
          <w:szCs w:val="20"/>
          <w:color w:val="auto"/>
        </w:rPr>
      </w:pPr>
      <w:r>
        <w:rPr>
          <w:rFonts w:ascii="Times New Roman" w:cs="Times New Roman" w:eastAsia="Times New Roman" w:hAnsi="Times New Roman"/>
          <w:sz w:val="18"/>
          <w:szCs w:val="18"/>
          <w:color w:val="auto"/>
        </w:rPr>
        <w:t>Each of our named executive officers currently holds outstanding stock option awards granted pursuant to the Omada Health, Inc. 2011 Stock Plan (as amended, the “2011 Plan”). In 2023, Mr. Duffy was granted a stock option award covering 450,000 shares of our common stock, and Mr. Shao was granted a stock option covering 500,000 shares of our common stock; Mr. Cook was not granted a stock option or other equity award in 2023. The stock options generally vest as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thereto on each monthly anniversary of the applicable vesting commencement date, subject to continued service. The options granted to our named executive officers are also subject to acceleration upon certain termination of employment pursuant to their change in control and severance agreements, each as described below.</w:t>
      </w:r>
    </w:p>
    <w:p>
      <w:pPr>
        <w:spacing w:after="0" w:line="19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intend to adopt a 2024 Incentive Award Plan (the “2024 Plan”) in order to facilitate the grant of cash and equity incentives to our directors and to our and certain of our affiliates’ employees (including our named executive officers) and consultants and to enable us to obtain and retain the services of these individuals, which is essential to our long-term success. We expect that the 2024 Plan will be effective as of the date of the effectiveness of the registration statement of which this prospectus is a part. For additional information about the 2024 Plan, please see “—Equity Incentive Plans” below.</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4"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22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did not make any matching contributions on behalf of our executives in 2023. We anticipate that, following the consummation of this offering, our named executive officers will continue to participate in this 401(k) plan on the same terms as other full-time employees.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1"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named executive officers, are eligible to participate in our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including:</w:t>
      </w:r>
    </w:p>
    <w:p>
      <w:pPr>
        <w:spacing w:after="0" w:line="188" w:lineRule="exact"/>
        <w:rPr>
          <w:sz w:val="20"/>
          <w:szCs w:val="20"/>
          <w:color w:val="auto"/>
        </w:rPr>
      </w:pPr>
    </w:p>
    <w:p>
      <w:pPr>
        <w:ind w:left="1140" w:hanging="545"/>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benefits;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services benefits;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AD&amp;D insurance.</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believe that the employee benefits described above are necessary and appropriate to provide a competitive compensation package to our named executive officers.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223"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 –</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2023. Some of the equity awards are subject to accelerated vesting as described below in the Section titled “Executive Compensation Arrangements.”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Type of</w:t>
            </w:r>
          </w:p>
        </w:tc>
        <w:tc>
          <w:tcPr>
            <w:tcW w:w="14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8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420" w:type="dxa"/>
            <w:vAlign w:val="bottom"/>
            <w:gridSpan w:val="2"/>
          </w:tcPr>
          <w:p>
            <w:pPr>
              <w:jc w:val="right"/>
              <w:ind w:right="660"/>
              <w:spacing w:after="0" w:line="147"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8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64"/>
        </w:trPr>
        <w:tc>
          <w:tcPr>
            <w:tcW w:w="2720" w:type="dxa"/>
            <w:vAlign w:val="bottom"/>
            <w:gridSpan w:val="2"/>
            <w:vMerge w:val="continue"/>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Award</w:t>
            </w:r>
          </w:p>
        </w:tc>
        <w:tc>
          <w:tcPr>
            <w:tcW w:w="144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3"/>
                <w:szCs w:val="13"/>
                <w:b w:val="1"/>
                <w:bCs w:val="1"/>
                <w:color w:val="auto"/>
                <w:w w:val="93"/>
              </w:rPr>
              <w:t>Date</w:t>
            </w:r>
            <w:r>
              <w:rPr>
                <w:rFonts w:ascii="Times New Roman" w:cs="Times New Roman" w:eastAsia="Times New Roman" w:hAnsi="Times New Roman"/>
                <w:sz w:val="19"/>
                <w:szCs w:val="19"/>
                <w:b w:val="1"/>
                <w:bCs w:val="1"/>
                <w:color w:val="auto"/>
                <w:w w:val="93"/>
                <w:vertAlign w:val="superscript"/>
              </w:rPr>
              <w:t>(1)</w:t>
            </w:r>
          </w:p>
        </w:tc>
        <w:tc>
          <w:tcPr>
            <w:tcW w:w="1420" w:type="dxa"/>
            <w:vAlign w:val="bottom"/>
            <w:gridSpan w:val="2"/>
          </w:tcPr>
          <w:p>
            <w:pPr>
              <w:jc w:val="right"/>
              <w:ind w:right="640"/>
              <w:spacing w:after="0" w:line="164"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9"/>
                <w:szCs w:val="19"/>
                <w:b w:val="1"/>
                <w:bCs w:val="1"/>
                <w:color w:val="auto"/>
                <w:vertAlign w:val="superscript"/>
              </w:rPr>
              <w:t>(1)</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0" w:type="dxa"/>
            <w:vAlign w:val="bottom"/>
          </w:tcPr>
          <w:p>
            <w:pPr>
              <w:spacing w:after="0"/>
              <w:rPr>
                <w:sz w:val="1"/>
                <w:szCs w:val="1"/>
                <w:color w:val="auto"/>
              </w:rPr>
            </w:pPr>
          </w:p>
        </w:tc>
      </w:tr>
      <w:tr>
        <w:trPr>
          <w:trHeight w:val="140"/>
        </w:trPr>
        <w:tc>
          <w:tcPr>
            <w:tcW w:w="25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Sean Duffy</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99"/>
              </w:rPr>
              <w:t>Stock Option</w:t>
            </w:r>
          </w:p>
        </w:tc>
        <w:tc>
          <w:tcPr>
            <w:tcW w:w="3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w w:val="97"/>
              </w:rPr>
              <w:t>February 1, 2023</w:t>
            </w:r>
          </w:p>
        </w:tc>
        <w:tc>
          <w:tcPr>
            <w:tcW w:w="2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June 1, 2023</w:t>
            </w: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93,750</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356,250</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1.58</w:t>
            </w:r>
          </w:p>
        </w:tc>
        <w:tc>
          <w:tcPr>
            <w:tcW w:w="2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ind w:left="400"/>
              <w:spacing w:after="0" w:line="141" w:lineRule="exact"/>
              <w:rPr>
                <w:sz w:val="20"/>
                <w:szCs w:val="20"/>
                <w:color w:val="auto"/>
              </w:rPr>
            </w:pPr>
            <w:r>
              <w:rPr>
                <w:rFonts w:ascii="Times New Roman" w:cs="Times New Roman" w:eastAsia="Times New Roman" w:hAnsi="Times New Roman"/>
                <w:sz w:val="14"/>
                <w:szCs w:val="14"/>
                <w:color w:val="auto"/>
                <w:w w:val="97"/>
              </w:rPr>
              <w:t>May 31, 2033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11, 2022</w:t>
            </w: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733,333</w:t>
            </w: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866,667</w:t>
            </w:r>
          </w:p>
        </w:tc>
        <w:tc>
          <w:tcPr>
            <w:tcW w:w="7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3.06</w:t>
            </w: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10,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10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22,000</w:t>
            </w: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3.06</w:t>
            </w: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2021</w:t>
            </w:r>
          </w:p>
        </w:tc>
        <w:tc>
          <w:tcPr>
            <w:tcW w:w="14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May 6, 2021</w:t>
            </w: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283,333</w:t>
            </w: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116,667</w:t>
            </w:r>
          </w:p>
        </w:tc>
        <w:tc>
          <w:tcPr>
            <w:tcW w:w="7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2.76</w:t>
            </w: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May 5, 2031</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September 1, 2019</w:t>
            </w:r>
          </w:p>
        </w:tc>
        <w:tc>
          <w:tcPr>
            <w:tcW w:w="14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August 22, 2019</w:t>
            </w:r>
          </w:p>
        </w:tc>
        <w:tc>
          <w:tcPr>
            <w:tcW w:w="10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543,946</w:t>
            </w: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1.94</w:t>
            </w: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August 21,2029</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21, 2019</w:t>
            </w:r>
          </w:p>
        </w:tc>
        <w:tc>
          <w:tcPr>
            <w:tcW w:w="14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21, 2019</w:t>
            </w: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22,000</w:t>
            </w: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20, 2029</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November 1, 2015</w:t>
            </w:r>
          </w:p>
        </w:tc>
        <w:tc>
          <w:tcPr>
            <w:tcW w:w="14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28, 2016</w:t>
            </w:r>
          </w:p>
        </w:tc>
        <w:tc>
          <w:tcPr>
            <w:tcW w:w="10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813,825</w:t>
            </w: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0.85</w:t>
            </w: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27, 2026</w:t>
            </w:r>
          </w:p>
        </w:tc>
        <w:tc>
          <w:tcPr>
            <w:tcW w:w="0" w:type="dxa"/>
            <w:vAlign w:val="bottom"/>
          </w:tcPr>
          <w:p>
            <w:pPr>
              <w:spacing w:after="0"/>
              <w:rPr>
                <w:sz w:val="1"/>
                <w:szCs w:val="1"/>
                <w:color w:val="auto"/>
              </w:rPr>
            </w:pPr>
          </w:p>
        </w:tc>
      </w:tr>
      <w:tr>
        <w:trPr>
          <w:trHeight w:val="147"/>
        </w:trPr>
        <w:tc>
          <w:tcPr>
            <w:tcW w:w="27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Steve Cook</w:t>
            </w:r>
          </w:p>
        </w:tc>
        <w:tc>
          <w:tcPr>
            <w:tcW w:w="12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10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22,000</w:t>
            </w: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3.06</w:t>
            </w: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(3)</w:t>
            </w:r>
          </w:p>
        </w:tc>
        <w:tc>
          <w:tcPr>
            <w:tcW w:w="14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12, 2021</w:t>
            </w:r>
          </w:p>
        </w:tc>
        <w:tc>
          <w:tcPr>
            <w:tcW w:w="14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20, 2021</w:t>
            </w:r>
          </w:p>
        </w:tc>
        <w:tc>
          <w:tcPr>
            <w:tcW w:w="10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604,165</w:t>
            </w: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395,835</w:t>
            </w:r>
          </w:p>
        </w:tc>
        <w:tc>
          <w:tcPr>
            <w:tcW w:w="7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2.76</w:t>
            </w: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19, 2031</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4"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60" w:type="dxa"/>
        <w:tblCellMar>
          <w:top w:w="0" w:type="dxa"/>
          <w:left w:w="0" w:type="dxa"/>
          <w:bottom w:w="0" w:type="dxa"/>
          <w:right w:w="0" w:type="dxa"/>
        </w:tblCellMar>
      </w:tblPr>
      <w:tr>
        <w:trPr>
          <w:trHeight w:val="164"/>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Type of</w:t>
            </w:r>
          </w:p>
        </w:tc>
        <w:tc>
          <w:tcPr>
            <w:tcW w:w="14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320" w:type="dxa"/>
            <w:vAlign w:val="bottom"/>
            <w:gridSpan w:val="2"/>
          </w:tcPr>
          <w:p>
            <w:pPr>
              <w:ind w:left="360"/>
              <w:spacing w:after="0" w:line="147"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14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64"/>
        </w:trPr>
        <w:tc>
          <w:tcPr>
            <w:tcW w:w="2940" w:type="dxa"/>
            <w:vAlign w:val="bottom"/>
            <w:gridSpan w:val="2"/>
            <w:vMerge w:val="continue"/>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Award</w:t>
            </w:r>
          </w:p>
        </w:tc>
        <w:tc>
          <w:tcPr>
            <w:tcW w:w="142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3"/>
                <w:szCs w:val="13"/>
                <w:b w:val="1"/>
                <w:bCs w:val="1"/>
                <w:color w:val="auto"/>
                <w:w w:val="98"/>
              </w:rPr>
              <w:t>Date</w:t>
            </w:r>
            <w:r>
              <w:rPr>
                <w:rFonts w:ascii="Times New Roman" w:cs="Times New Roman" w:eastAsia="Times New Roman" w:hAnsi="Times New Roman"/>
                <w:sz w:val="19"/>
                <w:szCs w:val="19"/>
                <w:b w:val="1"/>
                <w:bCs w:val="1"/>
                <w:color w:val="auto"/>
                <w:w w:val="98"/>
                <w:vertAlign w:val="superscript"/>
              </w:rPr>
              <w:t>(1)</w:t>
            </w:r>
          </w:p>
        </w:tc>
        <w:tc>
          <w:tcPr>
            <w:tcW w:w="1320" w:type="dxa"/>
            <w:vAlign w:val="bottom"/>
            <w:gridSpan w:val="2"/>
          </w:tcPr>
          <w:p>
            <w:pPr>
              <w:ind w:left="340"/>
              <w:spacing w:after="0" w:line="164"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9"/>
                <w:szCs w:val="19"/>
                <w:b w:val="1"/>
                <w:bCs w:val="1"/>
                <w:color w:val="auto"/>
                <w:vertAlign w:val="superscript"/>
              </w:rPr>
              <w:t>(1)</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0" w:type="dxa"/>
            <w:vAlign w:val="bottom"/>
          </w:tcPr>
          <w:p>
            <w:pPr>
              <w:spacing w:after="0"/>
              <w:rPr>
                <w:sz w:val="1"/>
                <w:szCs w:val="1"/>
                <w:color w:val="auto"/>
              </w:rPr>
            </w:pPr>
          </w:p>
        </w:tc>
      </w:tr>
      <w:tr>
        <w:trPr>
          <w:trHeight w:val="140"/>
        </w:trPr>
        <w:tc>
          <w:tcPr>
            <w:tcW w:w="27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Wei-Li Shao</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99"/>
              </w:rPr>
              <w:t>Stock Option</w:t>
            </w:r>
          </w:p>
        </w:tc>
        <w:tc>
          <w:tcPr>
            <w:tcW w:w="3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February 1, 2023</w:t>
            </w:r>
          </w:p>
        </w:tc>
        <w:tc>
          <w:tcPr>
            <w:tcW w:w="2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May 16, 2023</w:t>
            </w: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104,166</w:t>
            </w:r>
          </w:p>
        </w:tc>
        <w:tc>
          <w:tcPr>
            <w:tcW w:w="2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395,834</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1.58</w:t>
            </w:r>
          </w:p>
        </w:tc>
        <w:tc>
          <w:tcPr>
            <w:tcW w:w="2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May 15, 2033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2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32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10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22,000</w:t>
            </w: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3.06</w:t>
            </w:r>
          </w:p>
        </w:tc>
        <w:tc>
          <w:tcPr>
            <w:tcW w:w="11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September 1, 2021</w:t>
            </w:r>
          </w:p>
        </w:tc>
        <w:tc>
          <w:tcPr>
            <w:tcW w:w="13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10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168,750</w:t>
            </w: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131,250</w:t>
            </w:r>
          </w:p>
        </w:tc>
        <w:tc>
          <w:tcPr>
            <w:tcW w:w="7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3.06</w:t>
            </w:r>
          </w:p>
        </w:tc>
        <w:tc>
          <w:tcPr>
            <w:tcW w:w="11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(4)</w:t>
            </w:r>
          </w:p>
        </w:tc>
        <w:tc>
          <w:tcPr>
            <w:tcW w:w="142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32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July 6, 2020</w:t>
            </w:r>
          </w:p>
        </w:tc>
        <w:tc>
          <w:tcPr>
            <w:tcW w:w="10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120,000</w:t>
            </w: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2.27</w:t>
            </w:r>
          </w:p>
        </w:tc>
        <w:tc>
          <w:tcPr>
            <w:tcW w:w="11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5, 2030</w:t>
            </w:r>
          </w:p>
        </w:tc>
        <w:tc>
          <w:tcPr>
            <w:tcW w:w="0" w:type="dxa"/>
            <w:vAlign w:val="bottom"/>
          </w:tcPr>
          <w:p>
            <w:pPr>
              <w:spacing w:after="0"/>
              <w:rPr>
                <w:sz w:val="1"/>
                <w:szCs w:val="1"/>
                <w:color w:val="auto"/>
              </w:rPr>
            </w:pPr>
          </w:p>
        </w:tc>
      </w:tr>
      <w:tr>
        <w:trPr>
          <w:trHeight w:val="147"/>
        </w:trPr>
        <w:tc>
          <w:tcPr>
            <w:tcW w:w="2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(5)</w:t>
            </w:r>
          </w:p>
        </w:tc>
        <w:tc>
          <w:tcPr>
            <w:tcW w:w="14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February 1, 2021</w:t>
            </w:r>
          </w:p>
        </w:tc>
        <w:tc>
          <w:tcPr>
            <w:tcW w:w="13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July 6,2020</w:t>
            </w:r>
          </w:p>
        </w:tc>
        <w:tc>
          <w:tcPr>
            <w:tcW w:w="10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65,609</w:t>
            </w: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2.27</w:t>
            </w:r>
          </w:p>
        </w:tc>
        <w:tc>
          <w:tcPr>
            <w:tcW w:w="11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5, 2030</w:t>
            </w: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(6)</w:t>
            </w:r>
          </w:p>
        </w:tc>
        <w:tc>
          <w:tcPr>
            <w:tcW w:w="142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February 1, 2020</w:t>
            </w:r>
          </w:p>
        </w:tc>
        <w:tc>
          <w:tcPr>
            <w:tcW w:w="132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March 26,2020</w:t>
            </w:r>
          </w:p>
        </w:tc>
        <w:tc>
          <w:tcPr>
            <w:tcW w:w="10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95,833</w:t>
            </w: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4,167</w:t>
            </w:r>
          </w:p>
        </w:tc>
        <w:tc>
          <w:tcPr>
            <w:tcW w:w="7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2.10</w:t>
            </w:r>
          </w:p>
        </w:tc>
        <w:tc>
          <w:tcPr>
            <w:tcW w:w="11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March 25, 2030</w:t>
            </w:r>
          </w:p>
        </w:tc>
        <w:tc>
          <w:tcPr>
            <w:tcW w:w="0" w:type="dxa"/>
            <w:vAlign w:val="bottom"/>
          </w:tcPr>
          <w:p>
            <w:pPr>
              <w:spacing w:after="0"/>
              <w:rPr>
                <w:sz w:val="1"/>
                <w:szCs w:val="1"/>
                <w:color w:val="auto"/>
              </w:rPr>
            </w:pPr>
          </w:p>
        </w:tc>
      </w:tr>
      <w:tr>
        <w:trPr>
          <w:trHeight w:val="147"/>
        </w:trPr>
        <w:tc>
          <w:tcPr>
            <w:tcW w:w="2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(6)</w:t>
            </w:r>
          </w:p>
        </w:tc>
        <w:tc>
          <w:tcPr>
            <w:tcW w:w="14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May 13, 2019</w:t>
            </w:r>
          </w:p>
        </w:tc>
        <w:tc>
          <w:tcPr>
            <w:tcW w:w="13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July 18, 2019</w:t>
            </w:r>
          </w:p>
        </w:tc>
        <w:tc>
          <w:tcPr>
            <w:tcW w:w="10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775,000</w:t>
            </w: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1.94</w:t>
            </w:r>
          </w:p>
        </w:tc>
        <w:tc>
          <w:tcPr>
            <w:tcW w:w="11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17,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line="231"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each stock option vests and becomes exercisable as to 1/48th of the total number of shares underlying the stock option on each of the first 48 monthly anniversaries of the vesting commencement date, subject to continued service through the applicable vesting date.</w:t>
      </w:r>
    </w:p>
    <w:p>
      <w:pPr>
        <w:ind w:left="600" w:hanging="433"/>
        <w:spacing w:after="0" w:line="219"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was fully vested on the vesting commencement date.</w:t>
      </w:r>
    </w:p>
    <w:p>
      <w:pPr>
        <w:jc w:val="both"/>
        <w:ind w:left="600" w:hanging="433"/>
        <w:spacing w:after="0" w:line="219"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vests as to 25% of the total number of shares underlying the stock option on the first anniversary of the vesting commencement date and thereafter as to 1/48th of the total number of shares underlying the stock option on each of the first 48 monthly anniversaries of the vesting commencement date, subject to continued service through the applicable vesting date.</w:t>
      </w:r>
    </w:p>
    <w:p>
      <w:pPr>
        <w:ind w:left="600" w:hanging="433"/>
        <w:spacing w:after="0" w:line="219"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vests as to 1/16th of the total number of shares underlying the stock option on each of the first 16 monthly anniversaries of the vesting commencement date. The number of shares subject to the option was determined based on achievement of applicable revenue goals during calendar year 2021.</w:t>
      </w:r>
    </w:p>
    <w:p>
      <w:pPr>
        <w:jc w:val="both"/>
        <w:ind w:left="600" w:hanging="433"/>
        <w:spacing w:after="0" w:line="219"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vests as to 1/28th of the total number of shares underlying the stock option on each of the first 28 monthly anniversaries of the vesting commencement date, subject to continued service through the applicable vesting date. The number of shares subject to the option was determined based on achievement of applicable revenue goals during calendar year 2020.</w:t>
      </w:r>
    </w:p>
    <w:p>
      <w:pPr>
        <w:jc w:val="both"/>
        <w:ind w:left="600" w:hanging="433"/>
        <w:spacing w:after="0" w:line="230"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vests as to 25% of the total number of shares underlying the stock option on the first anniversary of the vesting commencement date and thereafter as to 1/48th of the total number of shares underlying the stock option on each of the first 48 monthly anniversaries of the vesting commencement date, subject to continued service through the applicable vesting date.</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Executive Offer Letters</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Steve Cook Offer Letter</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Cook is party to an employment offer letter, dated June 10, 2021, pursuant to which Mr. Cook serves as our Chief Financial Officer.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Mr. Cook’s employment pursuant to the offer letter is “at-will” and is terminable by either party with or without notice or cause.</w:t>
      </w:r>
    </w:p>
    <w:p>
      <w:pPr>
        <w:spacing w:after="0" w:line="20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Pursuant to his offer letter, Mr. Cook is entitled to receive a base salary of $380,000 and is eligible to participate in our annual bonus plan. Mr. Cook’s target for the bonus plan was $38,000 for the year ended December 31, 2021. Mr. Cook was also paid a signing bonus in the amount of $80,000, subject to clawback in the event that Mr. Cook’s employment with us terminated within one year. In addition, pursuant to his offer letter, Mr. Cook is eligible to receive an annual award of stock options, with the number of shares subject to the award determined based on achievement of applicable performance goals, determined by us in our sole discretion, with such award subject to the terms and conditions set forth in the 2011 Plan and a separate award agreement. The offer letter also provides that Mr. Cook will be eligible to participate in employee benefit plans maintained by us for our employees from time to time.</w:t>
      </w:r>
    </w:p>
    <w:p>
      <w:pPr>
        <w:spacing w:after="0" w:line="184" w:lineRule="exact"/>
        <w:rPr>
          <w:sz w:val="20"/>
          <w:szCs w:val="20"/>
          <w:color w:val="auto"/>
        </w:rPr>
      </w:pPr>
    </w:p>
    <w:p>
      <w:pPr>
        <w:jc w:val="both"/>
        <w:ind w:left="160" w:firstLine="436"/>
        <w:spacing w:after="0" w:line="231" w:lineRule="auto"/>
        <w:rPr>
          <w:sz w:val="20"/>
          <w:szCs w:val="20"/>
          <w:color w:val="auto"/>
        </w:rPr>
      </w:pPr>
      <w:r>
        <w:rPr>
          <w:rFonts w:ascii="Times New Roman" w:cs="Times New Roman" w:eastAsia="Times New Roman" w:hAnsi="Times New Roman"/>
          <w:sz w:val="18"/>
          <w:szCs w:val="18"/>
          <w:color w:val="auto"/>
        </w:rPr>
        <w:t>In connection with the commencement of Mr. Cook’s employment, he was granted an initial stock option covering 875,000 shares of our common stock (the “Cook initial option”), which vested as to 25% of the shares subject thereto on the first anniversary of Mr. Cook’s employment with us and thereafter vested or vests as to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thereto on each of the next 36 monthly anniversaries of Mr. Cook’s employment with us, subject to Mr. Cook’s continued employment on the applicable vesting date. Pursuant to his offer letter, Mr. Cook was also eligible to receive a second stock option covering 125,000 shares of our common stock (the</w:t>
      </w:r>
    </w:p>
    <w:p>
      <w:pPr>
        <w:spacing w:after="0" w:line="1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54"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“second option”), subject to the initial closing of the first single transaction or investment principally for financing purposes to close following Mr. Cook’s commencement of employment that results in an amount received by us of no less than $100,000,000 (a “qualified financing”) occurring on or before June 30, 2022, following which, the option was eligible to vest on the same schedule as the Cook initial option. Pursuant to Mr. Cook’s offer letter, if (i) the initial closing of a qualified financing did not occur on or prior to June 30, 2022, or (ii) in the event of a sale of all or substantially all of our stock or assets prior to the initial closing of a qualifying financing, the second option would be forfeited without consideration. The initial closing of a qualified financing occurred on December 22, 2021.</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Mr. Cook’s offer letter also contains customary confidentiality restrictions and provides that disputes arising under the offer letter or related to Mr. Cook’s employment with us will be resolved through arbitration.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Wei-Li Shao Offer Letter</w:t>
      </w:r>
    </w:p>
    <w:p>
      <w:pPr>
        <w:spacing w:after="0" w:line="22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Mr. Shao is party to an employment offer letter, dated April 30, 2019, pursuant to which Mr. Shao initially served as our Chief Commercial Officer (Mr. Shao’s title was changed to President effective as of December 16, 2021). Mr. Shao’s employment pursuant to the offer letter is “at-will” and is terminable by either party with or without notice or cause.</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Pursuant to his offer letter, Mr. Shao was entitled to receive a base salary of $350,000 in 2019 and was eligible to receive incentive compensation. Mr. Shao’s target for his incentive compensation plan in 2019 was $150,000, prorated based on the portion of the calendar year during which he was employed by us (since 2022, Mr. Shao has participated in our annual bonus plan). The offer letter also provides that Mr. Shao will be eligible to participate in employee benefit plans maintained by us for our employees from time to time and will be reimbursed for reasonable business expenses in accordance with our policies. Pursuant to his offer letter, we agreed to reimburse Mr. Shao for reasonable expenses incurred in connection with his relocation to San Francisco, California, capped at $50,000 and subject to clawback in the event of a termination within one year of commencing employment.</w:t>
      </w:r>
    </w:p>
    <w:p>
      <w:pPr>
        <w:spacing w:after="0" w:line="184" w:lineRule="exact"/>
        <w:rPr>
          <w:sz w:val="20"/>
          <w:szCs w:val="20"/>
          <w:color w:val="auto"/>
        </w:rPr>
      </w:pPr>
    </w:p>
    <w:p>
      <w:pPr>
        <w:jc w:val="both"/>
        <w:ind w:left="160" w:firstLine="436"/>
        <w:spacing w:after="0" w:line="218" w:lineRule="auto"/>
        <w:rPr>
          <w:sz w:val="20"/>
          <w:szCs w:val="20"/>
          <w:color w:val="auto"/>
        </w:rPr>
      </w:pPr>
      <w:r>
        <w:rPr>
          <w:rFonts w:ascii="Times New Roman" w:cs="Times New Roman" w:eastAsia="Times New Roman" w:hAnsi="Times New Roman"/>
          <w:sz w:val="18"/>
          <w:szCs w:val="18"/>
          <w:color w:val="auto"/>
        </w:rPr>
        <w:t>Pursuant to his offer letter, Mr. Shao was granted (i) a stock option to purchase 775,000 shares of our common stock, which vested as to 25% of the shares subject thereto on the first anniversary of Mr. Shao’s employment with us and thereafter vested or vests as to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thereto on each of the next 36 monthly anniversaries of Mr. Shao’s employment with us, subject to Mr. Shao’s continued employment on the applicable vesting date, (ii) a fully vested stock option covering 22,000 shares of our common stock, based on achievement of our performance goals in the year ended December 31, 2019, (iii) a stock option covering 65,609 shares of our common stock, based on attainment of certain revenue goals in 2020, which vested as to 1/28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thereto on each of the first 28 monthly anniversaries of February 1, 2021, subject to Mr. Shao’s continued employment on the applicable vesting date, and (iv) a stock option covering 150,000 shares of our common stock, based on attainment of certain revenue goals, which vests as to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thereto on each of the first 16 monthly anniversaries of February 1, 2022, subject to Mr. Shao’s continued employment on the applicable vesting date.</w:t>
      </w:r>
    </w:p>
    <w:p>
      <w:pPr>
        <w:spacing w:after="0" w:line="19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Mr. Shao’s offer letter also contains customary confidentiality restrictions and provides that disputes arising under the offer letter or related to Mr. Shao’s employment with us will be resolved through arbitration.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Severance Agreements</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Sean Duffy Change in Control and Severance Agreement</w:t>
      </w:r>
    </w:p>
    <w:p>
      <w:pPr>
        <w:spacing w:after="0" w:line="223"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Mr. Duffy is a party to a change in control and severance agreement, which provides for an initial three-year term commencing August 15, 2022, followed by automatic one-year renewal terms. Pursuant to the change in control and severance agreement, if Mr. Duffy’s employment is terminated by us without “cause” or due to his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4"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resignation for “good reason” during the period commencing three months preceding and ending 12 months following the consummation of a “change in control” (each such term, as defined in the change in control and severance agreement), then, subject to his timely execution and non-revocation of a general release of claims and continued compliance with restrictive covenants, he will be eligible to receive (i) a lump sum cash payment in an amount equal to the sum of (x) his base salary for a period of 18 months plus (y) 1.5 times his target annual bonus, (ii) provided that he has timely elected COBRA, an amount equal to his COBRA premiums until the earlier to occur of (a) the 18-month anniversary of his termination date or (b) the date on which he receives health benefits from another employer or is otherwise no longer eligible to receive COBRA, and (iii) full accelerated vesting of his outstanding and unvested time-vesting equity awards (performance-vesting equity awards are governed by the applicable award agreement). Pursuant to the change in control and severance agreement, in the event that any amounts payable to Mr. Duffy are subject to an excise tax pursuant to Section 280G or Section 4999 of the Internal Revenue Code, Mr. Duffy will receive either (i) the full amount of such payments or (ii) such payments reduced to the least extent necessary to prevent the application of such excise tax, whichever will result in the greatest after tax benefit to Mr. Duffy.</w:t>
      </w:r>
    </w:p>
    <w:p>
      <w:pPr>
        <w:spacing w:after="0" w:line="18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Mr. Duffy’s change in control and severance agreement contains customary non-disparagement provisions and affirms his obligations under Mr. Duffy’s employee invention assignment and confidentiality agreement (or analogous agreement) with the Company.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Steve Cook Change in Control and Severance Agreement</w:t>
      </w:r>
    </w:p>
    <w:p>
      <w:pPr>
        <w:spacing w:after="0" w:line="223"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7"/>
          <w:szCs w:val="17"/>
          <w:color w:val="auto"/>
        </w:rPr>
        <w:t>Mr. Cook is a party to a change in control and severance agreement, which provides for an initial three-year term commencing August 12, 2022, followed by automatic one-year renewal terms. Pursuant to the change in control and severance agreement, if Mr. Cook’s employment is terminated by us without “cause” or due to his resignation for “good reason” during the period commencing three months preceding and ending 12 months following the consummation of a “change in control” (each such term, as defined in the change in control and severance agreement), then, subject to his timely execution and non-revocation of a general release of claims and continued compliance with restrictive covenants, he will be eligible to receive (i) a lump sum cash payment in an amount equal to the sum of (x) his base salary for a period of 12 months plus (y) his target annual bonus, (ii) provided that he has timely elected COBRA, an amount equal to his COBRA premiums until the earlier to occur of (a) the 12-month anniversary of his termination date or (b) the date on which he receives health benefits from another employer or is otherwise no longer eligible to receive COBRA, and (iii) full accelerated vesting of his outstanding and unvested time-vesting equity awards (performance-vesting equity awards are governed by the applicable award agreement). Pursuant to the change in control and severance agreement, in the event that any amounts payable to Mr. Cook are subject to an excise tax pursuant to Section 280G or Section 4999 of the Internal Revenue Code, Mr. Cook will receive either (i) the full amount of such payments or</w:t>
      </w:r>
    </w:p>
    <w:p>
      <w:pPr>
        <w:spacing w:after="0" w:line="7" w:lineRule="exact"/>
        <w:rPr>
          <w:sz w:val="20"/>
          <w:szCs w:val="20"/>
          <w:color w:val="auto"/>
        </w:rPr>
      </w:pPr>
    </w:p>
    <w:p>
      <w:pPr>
        <w:ind w:left="160" w:firstLine="7"/>
        <w:spacing w:after="0" w:line="256" w:lineRule="auto"/>
        <w:tabs>
          <w:tab w:leader="none" w:pos="44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payments reduced to the least extent necessary to prevent the application of such excise tax, whichever will result in the greatest after tax benefit to Mr. Cook.</w:t>
      </w:r>
    </w:p>
    <w:p>
      <w:pPr>
        <w:spacing w:after="0" w:line="18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Mr. Cook’s change in control and severance agreement contains customary non-disparagement provisions and affirms his obligations under Mr. Cook’s employee invention assignment and confidentiality agreement (or analogous agreement) with the Company.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Wei-Li Shao Change in Control and Severance Agreement</w:t>
      </w:r>
    </w:p>
    <w:p>
      <w:pPr>
        <w:spacing w:after="0" w:line="22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Mr. Shao is a party to a change in control and severance agreement, which provides for an initial three-year term commencing January 7, 2024, followed by automatic one year renewal terms. Pursuant to the change in control and severance agreement, if Mr. Shao’s employment is terminated by us without “cause” or due to his resignation for “good reason” during the period commencing three months preceding and ending 12 months following the consummation of a “change in control” (each such term, as defined in the change in control and severance agreement), then, subject to his timely execution and non-revocation of a general release of claims and continued compliance with restrictive covenants, he will be eligible to receive (i) a lump sum cash payment in an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80"/>
          </w:cols>
          <w:pgMar w:left="320" w:top="454"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amount equal to the sum of (x) his base salary for a period of 12 months plus (y) his target annual bonus, (ii) provided that he has timely elected COBRA, an amount equal to his COBRA premiums until the earlier to occur of (a) the 12-month anniversary of his termination date or (b) the date on which he receives health benefits from another employer or is otherwise no longer eligible to receive COBRA, and (iii) full accelerated vesting of his outstanding and unvested time-vesting equity awards (performance-vesting equity awards are governed by the applicable award agreement). Pursuant to the change in control and severance agreement, in the event that any amounts payable to Mr. Shao are subject to an excise tax pursuant to Section 280G or Section 4999 of the Internal Revenue Code, Mr. Shao will receive either (i) the full amount of such payments or (ii) such payments reduced to the least extent necessary to prevent the application of such excise tax, whichever will result in the greatest after tax benefit to Mr. Shao.</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Mr. Shao’s change in control and severance agreement contains customary non-disparagement provisions and affirms his obligations under Mr. Shao’s employee invention assignment and confidentiality agreement (or analogous agreement) with the Company.</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following summarizes the material terms of the 2011 Plan, under which we have previously made periodic grants of equity and equity-based awards to our named executive officers and other key employees. In addition, we intend to adopt the 2024 Plan in connection with the consummation of this offering. The terms of the 2024 Plan have not yet been finalized.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2011 Plan</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2011 Plan was adopted by our board of directors, effective as of May 20, 2011 and was amended effective as of each of January 16, 2013, April 4, 2014, July 9, 2015, September 3, 2015, January 28, 2016, May 9, 2017, June 6, 2019, July 1, 2020, March 9, 2021, December 16, 2021, March 8, 2022, June 1, 2023, and December 5, 2023. As of March 31, 2024, options to purchase 33,322,603 shares of our common stock at a weighted-average exercise price per share of $2.23 remained outstanding under the 2011 Plan.</w:t>
      </w:r>
    </w:p>
    <w:p>
      <w:pPr>
        <w:spacing w:after="0" w:line="17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2011 plan is administered by our board of directors, or a committee thereof appointed by the board of directors and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one member of the board of directors. The plan administrator has the authority and discretion to take any actions it deems necessary or advisable for the administration of the 2011 Plan. All decisions, interpretations, and other actions of the board of directors shall be final and binding on all participants and permitted transferees under the 2011 Plan.</w:t>
      </w:r>
    </w:p>
    <w:p>
      <w:pPr>
        <w:spacing w:after="0" w:line="18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Our employees and consultants, employees and consultants of our parents or subsidiaries, and non-employee members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are eligible to receive awards under the 2011 Plan, provided that only our employees or employees of our parents or subsidiaries may be granted awards intended as incentive stock options (“ISOs”).</w:t>
      </w:r>
    </w:p>
    <w:p>
      <w:pPr>
        <w:spacing w:after="0" w:line="173"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An aggregate of 48,228,475 shares of our common stock may be issued under the 2011 Plan. Shares previously issued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Plan that are re-acquired by us, shares withheld in payment of purchase or exercise price or in respect of withholding taxes, and shares subject to awards that expire or are canceled, will, in each case, again be available for issuance under the 2011 Plan.</w:t>
      </w:r>
    </w:p>
    <w:p>
      <w:pPr>
        <w:spacing w:after="0" w:line="173"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2011 Plan provides that the plan administrator may grant or issue stock options, stock awards, or rights to purchase stock to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consultants, and directors. In general, awards granted under the 2011 Plan may not be sold or otherwise transferred except, in the case of stock options, pursuant to a beneficiary designation, by will, or in accordance with the laws of descent and distribution.</w:t>
      </w:r>
    </w:p>
    <w:p>
      <w:pPr>
        <w:spacing w:after="0" w:line="200" w:lineRule="exact"/>
        <w:rPr>
          <w:sz w:val="20"/>
          <w:szCs w:val="20"/>
          <w:color w:val="auto"/>
        </w:rPr>
      </w:pPr>
    </w:p>
    <w:p>
      <w:pPr>
        <w:jc w:val="both"/>
        <w:ind w:left="1140" w:hanging="545"/>
        <w:spacing w:after="0" w:line="264"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Grants; Stock Purchase Rights</w:t>
      </w:r>
      <w:r>
        <w:rPr>
          <w:rFonts w:ascii="Times New Roman" w:cs="Times New Roman" w:eastAsia="Times New Roman" w:hAnsi="Times New Roman"/>
          <w:sz w:val="18"/>
          <w:szCs w:val="18"/>
          <w:color w:val="auto"/>
        </w:rPr>
        <w:t>. Stock grants or rights to purchase shares of our common stock may be granted to any eligible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2011 Plan and such restrictions as may be determined by the plan administrator and set forth in an applicable award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80"/>
          </w:cols>
          <w:pgMar w:left="320" w:top="454"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1140" w:hanging="545"/>
        <w:spacing w:after="0" w:line="253"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may be granted to any eligible person, provided that ISOs may only be granted to our employees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our parents or subsidiaries, subject to the 2011 Plan and such restrictions as may be determined by the plan administrator and set forth in an applicable award agreement. The exercise price of stock options granted to employees, directors, or consultants will be determined by the plan administrator and set forth in an applicable award agreement; provided that such exercise price may not be less than fair market value of a share on grant date (or 110% of fair market value with respect to ISOs granted to employees holding 10% or more of the total combined voting power of the Company). No stock option award may have a term of more than ten years following the date of grant.</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Adjustments of Awards. </w:t>
      </w:r>
      <w:r>
        <w:rPr>
          <w:rFonts w:ascii="Times New Roman" w:cs="Times New Roman" w:eastAsia="Times New Roman" w:hAnsi="Times New Roman"/>
          <w:sz w:val="18"/>
          <w:szCs w:val="18"/>
          <w:color w:val="auto"/>
        </w:rPr>
        <w:t>In the event of a subdivision of the outstanding shares of our common stock, a declaration of a dividend payable in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combination or consolidation of our outstanding common stock into a lesser number of shares, a reclassification, or any other increase or decrease in the number of issued shares of common stock effected without receipt of consideration by us, proportionate adjustments will automatically be made to the number and kind of shares available for issuance of future awards under the 2011 Plan and subject to outstanding awards and the exercise or purchase price applicable to outstanding awards. In the event of a declaration of an extraordinary dividend payable in a form other than shares that has a material effect on the fair market value of our common stock, a recapitalization, a spin-off, or a similar occurrence, the board of directors at its sole discretion may make appropriate adjustments to the number and kind of shares available for issuance of future awards under the 2011 Plan and subject to outstanding awards and the exercise or purchase price applicable to outstanding awards.</w:t>
      </w:r>
    </w:p>
    <w:p>
      <w:pPr>
        <w:spacing w:after="0" w:line="187"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merger or consolidation or sale of all or substantially all of our stock or assets, outstanding awards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in accordance with the definitive transaction agreement, which may provide, among other things, that the awards will accelerate in part or in full immediately prior to such transaction, that awards will be continued, assumed, or replaced by the surviving entity, or that awards will terminate in exchange for cash or other property or without consideration. The plan administrator will also have the right to suspend option exercise for a given period prior to such transaction and/or provide that following such transaction a stock option may no longer be exercised prior to vesting.</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plan administrator may amend, suspend, or terminate the 2011 Plan at any time (subject to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required in accordance with the 2011 Plan) provided that no such amendment or termination will affect any awards previously granted under the 2011 Plan. Following this offering and in connection with the effectiveness of our 2024 Plan, the 2011 Plan will terminate and no further awards will be granted under the 2011 Plan. However, all outstanding awards will continue to be governed by their existing terms.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2023, two of our non-employee directors, Jeryl Hilleman and Trevor Fetter, received compensation for services on our board of directors, as reflected in the table below. None of our other non-employee directors received compensation from us for their service on our board of directors in 2023.</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Paid</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right"/>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2"/>
        </w:trPr>
        <w:tc>
          <w:tcPr>
            <w:tcW w:w="6360" w:type="dxa"/>
            <w:vAlign w:val="bottom"/>
            <w:gridSpan w:val="2"/>
            <w:vMerge w:val="continue"/>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xml:space="preserve">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Awards ($)</w:t>
            </w:r>
            <w:r>
              <w:rPr>
                <w:rFonts w:ascii="Times New Roman" w:cs="Times New Roman" w:eastAsia="Times New Roman" w:hAnsi="Times New Roman"/>
                <w:sz w:val="10"/>
                <w:szCs w:val="10"/>
                <w:b w:val="1"/>
                <w:bCs w:val="1"/>
                <w:color w:val="auto"/>
                <w:w w:val="99"/>
              </w:rPr>
              <w:t>(1) (2)</w:t>
            </w: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4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178,666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Trevor Fetter</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51,800</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7,418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7645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9" w:lineRule="exact"/>
        <w:rPr>
          <w:sz w:val="20"/>
          <w:szCs w:val="20"/>
          <w:color w:val="auto"/>
        </w:rPr>
      </w:pPr>
    </w:p>
    <w:p>
      <w:pPr>
        <w:jc w:val="both"/>
        <w:ind w:left="600" w:hanging="433"/>
        <w:spacing w:after="0" w:line="238" w:lineRule="auto"/>
        <w:tabs>
          <w:tab w:leader="none" w:pos="6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stock options granted during 2023 computed in accordance with ASC Topic 718, rather than the amounts paid to or realized by the named individual, which vest as to 1/24</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of the shares subject thereto on each monthly anniversary of June 1, 2023, subject to the applicable director’s continued service on the applicable vesting date, provided that, with respect to Ms. Hilleman, the stock option will vest in full in the event of a “liquidation event” (as defined in our Restated Certificate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4" w:right="4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600"/>
        <w:spacing w:after="0" w:line="227" w:lineRule="auto"/>
        <w:rPr>
          <w:sz w:val="20"/>
          <w:szCs w:val="20"/>
          <w:color w:val="auto"/>
        </w:rPr>
      </w:pPr>
      <w:r>
        <w:rPr>
          <w:rFonts w:ascii="Times New Roman" w:cs="Times New Roman" w:eastAsia="Times New Roman" w:hAnsi="Times New Roman"/>
          <w:sz w:val="14"/>
          <w:szCs w:val="14"/>
          <w:color w:val="auto"/>
        </w:rPr>
        <w:t>of Incorporation) and, with respect to Mr. Fetter, the stock option will vest in full in the event of a “Corporate Transaction” (as defined in that certain offer letter by and between us and Mr. Fetter, dated as of February 25, 2021). See Note 12 to our consolidated financial statements included elsewhere in this prospectus for the assumptions used in calculating these amounts.</w:t>
      </w:r>
    </w:p>
    <w:p>
      <w:pPr>
        <w:spacing w:after="0" w:line="1" w:lineRule="exact"/>
        <w:rPr>
          <w:sz w:val="20"/>
          <w:szCs w:val="20"/>
          <w:color w:val="auto"/>
        </w:rPr>
      </w:pPr>
    </w:p>
    <w:p>
      <w:pPr>
        <w:jc w:val="both"/>
        <w:ind w:left="600" w:hanging="433"/>
        <w:spacing w:after="0" w:line="219" w:lineRule="auto"/>
        <w:tabs>
          <w:tab w:leader="none" w:pos="6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option awards (whether exercisable or unexercisable) held as of December 31, 2023 by Ms. Hilleman and Mr. Fetter is 595,000 and 340,000, respectively. In addition, as of December 31, 2023, Taylor Harris held option awards (whether exercisable or unexercisable) covering an aggregate of 142,500 shares of our common stock. None of our other directors held outstanding options as of December 31, 2023.</w:t>
      </w:r>
    </w:p>
    <w:p>
      <w:pPr>
        <w:ind w:left="600" w:hanging="433"/>
        <w:spacing w:after="0"/>
        <w:tabs>
          <w:tab w:leader="none" w:pos="6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travel costs incurred by the applicable director in performance of his or her service on our board of directors in 2023 which were reimbursed by us.</w:t>
      </w:r>
    </w:p>
    <w:p>
      <w:pPr>
        <w:spacing w:after="0" w:line="18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the consummation of this public offering, we intend to approve and implement a compensation program for our non-employee directors that consists of annual retainer fees and long-term equity awards.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80"/>
          </w:cols>
          <w:pgMar w:left="320" w:top="454"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2021 and any currently proposed transactions to which we were or are expected to be a participant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and Director Compensation.”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Series D-1 Redeemable Convertible Preferred Stock Financing</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March 2021, we entered into a Series D-1 redeemable convertible preferred stock purchase agreement with various investors, pursuant to which we issued an aggregate of 4,503,601 shares of Series D-1 redeemable convertible preferred stock at $5.9952 per share for gross proceeds of $27.0 million.</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table below sets forth the number of shares of our Series D-1 redeemable convertible preferred stock purchased by our executive officers, directors, and holders of more than 5% of our capital stock at the time of the transaction, and their affiliated entities or immediate family members. Each share of Series D-1 redeemable convertible preferred stock in the table below will convert into one share of our common stock upon the completion of this offering.</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Series D-1</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2"/>
          </w:tcPr>
          <w:p>
            <w:pPr>
              <w:jc w:val="center"/>
              <w:ind w:right="880"/>
              <w:spacing w:after="0" w:line="147"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2"/>
          </w:tcPr>
          <w:p>
            <w:pPr>
              <w:jc w:val="center"/>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Cash</w:t>
            </w:r>
          </w:p>
        </w:tc>
        <w:tc>
          <w:tcPr>
            <w:tcW w:w="0" w:type="dxa"/>
            <w:vAlign w:val="bottom"/>
          </w:tcPr>
          <w:p>
            <w:pPr>
              <w:spacing w:after="0"/>
              <w:rPr>
                <w:sz w:val="1"/>
                <w:szCs w:val="1"/>
                <w:color w:val="auto"/>
              </w:rPr>
            </w:pPr>
          </w:p>
        </w:tc>
      </w:tr>
      <w:tr>
        <w:trPr>
          <w:trHeight w:val="147"/>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gridSpan w:val="2"/>
          </w:tcPr>
          <w:p>
            <w:pPr>
              <w:jc w:val="center"/>
              <w:ind w:right="8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120" w:type="dxa"/>
            <w:vAlign w:val="bottom"/>
            <w:gridSpan w:val="2"/>
            <w:vMerge w:val="continue"/>
          </w:tcPr>
          <w:p>
            <w:pPr>
              <w:spacing w:after="0"/>
              <w:rPr>
                <w:sz w:val="14"/>
                <w:szCs w:val="14"/>
                <w:color w:val="auto"/>
              </w:rPr>
            </w:pPr>
          </w:p>
        </w:tc>
        <w:tc>
          <w:tcPr>
            <w:tcW w:w="16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Purchase 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7"/>
        </w:trPr>
        <w:tc>
          <w:tcPr>
            <w:tcW w:w="7280" w:type="dxa"/>
            <w:vAlign w:val="bottom"/>
            <w:tcBorders>
              <w:top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Trevor Fetter</w:t>
            </w:r>
            <w:r>
              <w:rPr>
                <w:rFonts w:ascii="Times New Roman" w:cs="Times New Roman" w:eastAsia="Times New Roman" w:hAnsi="Times New Roman"/>
                <w:sz w:val="24"/>
                <w:szCs w:val="24"/>
                <w:color w:val="auto"/>
                <w:vertAlign w:val="superscript"/>
              </w:rPr>
              <w:t>(1)</w:t>
            </w:r>
          </w:p>
        </w:tc>
        <w:tc>
          <w:tcPr>
            <w:tcW w:w="8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166,800</w:t>
            </w: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jc w:val="both"/>
        <w:ind w:left="600" w:hanging="433"/>
        <w:spacing w:after="0" w:line="238" w:lineRule="auto"/>
        <w:tabs>
          <w:tab w:leader="none" w:pos="6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Trevor Fetter is the sole member of a limited liability company that purchased shares of our Series D-1 redeemable convertible preferred stock. Mr. Fetter is currently, and was at the time of the Series D-1 redeemable convertible preferred stock financing, a member of our board of directors. For additional information regarding Mr. Fetter and his equity holdings, see the section titled “Principal Stockholders.”</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Series E Redeemable Convertible Preferred Stock Financing</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December 2021, we entered into a Series E redeemable convertible preferred stock purchase agreement with various investors, pursuant to which we issued an aggregate of 32,291,492 shares of Series E redeemable convertible preferred stock at $5.9952 per share for gross proceeds of $193.6 million in multiple closings. The first closing occurred in December 2021, at which time we issued 29,857,214 shares of Series E redeemable convertible preferred stock for gross proceeds of $179.0 million. The second closing occurred in January 2022, at which time we issued 2,168,400 shares of Series E redeemable convertible preferred stock for gross proceeds of $13.0 million. The third closing occurred in March 2022, at which time we issued 265,878 shares of Series E redeemable convertible preferred stock for gross proceeds of $1.6 million.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4"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table below sets forth the number of shares of our Series E redeemable convertible preferred stock purchased by our executive officers, directors, and holders of more than 5% of our capital stock at the time of the transaction, and their affiliated entities or immediate family members. Each share of Series E redeemable convertible preferred stock in the table below will convert into one share of our common stock upon the completion of this offering.</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 Cash</w:t>
            </w:r>
          </w:p>
        </w:tc>
        <w:tc>
          <w:tcPr>
            <w:tcW w:w="0" w:type="dxa"/>
            <w:vAlign w:val="bottom"/>
          </w:tcPr>
          <w:p>
            <w:pPr>
              <w:spacing w:after="0"/>
              <w:rPr>
                <w:sz w:val="1"/>
                <w:szCs w:val="1"/>
                <w:color w:val="auto"/>
              </w:rPr>
            </w:pPr>
          </w:p>
        </w:tc>
      </w:tr>
      <w:tr>
        <w:trPr>
          <w:trHeight w:val="147"/>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4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960" w:type="dxa"/>
            <w:vAlign w:val="bottom"/>
            <w:gridSpan w:val="2"/>
            <w:vMerge w:val="continue"/>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26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Purchase 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7"/>
        </w:trPr>
        <w:tc>
          <w:tcPr>
            <w:tcW w:w="7540" w:type="dxa"/>
            <w:vAlign w:val="bottom"/>
            <w:tcBorders>
              <w:top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Hadley Harbor Master Investors (Cayman) II L.P.</w:t>
            </w:r>
            <w:r>
              <w:rPr>
                <w:rFonts w:ascii="Times New Roman" w:cs="Times New Roman" w:eastAsia="Times New Roman" w:hAnsi="Times New Roman"/>
                <w:sz w:val="24"/>
                <w:szCs w:val="24"/>
                <w:color w:val="auto"/>
                <w:vertAlign w:val="superscript"/>
              </w:rPr>
              <w:t>(2)</w:t>
            </w:r>
          </w:p>
        </w:tc>
        <w:tc>
          <w:tcPr>
            <w:tcW w:w="4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6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Cigna Ventures, LLC</w:t>
            </w:r>
            <w:r>
              <w:rPr>
                <w:rFonts w:ascii="Times New Roman" w:cs="Times New Roman" w:eastAsia="Times New Roman" w:hAnsi="Times New Roman"/>
                <w:sz w:val="24"/>
                <w:szCs w:val="24"/>
                <w:color w:val="auto"/>
                <w:vertAlign w:val="superscript"/>
              </w:rPr>
              <w:t>(3)</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1,668,001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4"/>
        </w:trPr>
        <w:tc>
          <w:tcPr>
            <w:tcW w:w="79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Entities affiliated with aMoon Growth Fund</w:t>
            </w:r>
            <w:r>
              <w:rPr>
                <w:rFonts w:ascii="Times New Roman" w:cs="Times New Roman" w:eastAsia="Times New Roman" w:hAnsi="Times New Roman"/>
                <w:sz w:val="24"/>
                <w:szCs w:val="24"/>
                <w:color w:val="auto"/>
                <w:vertAlign w:val="superscript"/>
              </w:rPr>
              <w:t>(4)</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6,672,004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39,999,998</w:t>
            </w:r>
          </w:p>
        </w:tc>
        <w:tc>
          <w:tcPr>
            <w:tcW w:w="0" w:type="dxa"/>
            <w:vAlign w:val="bottom"/>
          </w:tcPr>
          <w:p>
            <w:pPr>
              <w:spacing w:after="0"/>
              <w:rPr>
                <w:sz w:val="1"/>
                <w:szCs w:val="1"/>
                <w:color w:val="auto"/>
              </w:rPr>
            </w:pPr>
          </w:p>
        </w:tc>
      </w:tr>
      <w:tr>
        <w:trPr>
          <w:trHeight w:val="214"/>
        </w:trPr>
        <w:tc>
          <w:tcPr>
            <w:tcW w:w="796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4"/>
                <w:szCs w:val="24"/>
                <w:color w:val="auto"/>
                <w:vertAlign w:val="superscript"/>
              </w:rPr>
              <w:t>(5)</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13,344,008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79,999,997</w:t>
            </w:r>
          </w:p>
        </w:tc>
        <w:tc>
          <w:tcPr>
            <w:tcW w:w="0" w:type="dxa"/>
            <w:vAlign w:val="bottom"/>
          </w:tcPr>
          <w:p>
            <w:pPr>
              <w:spacing w:after="0"/>
              <w:rPr>
                <w:sz w:val="1"/>
                <w:szCs w:val="1"/>
                <w:color w:val="auto"/>
              </w:rPr>
            </w:pPr>
          </w:p>
        </w:tc>
      </w:tr>
      <w:tr>
        <w:trPr>
          <w:trHeight w:val="214"/>
        </w:trPr>
        <w:tc>
          <w:tcPr>
            <w:tcW w:w="79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Trevor Fetter</w:t>
            </w:r>
            <w:r>
              <w:rPr>
                <w:rFonts w:ascii="Times New Roman" w:cs="Times New Roman" w:eastAsia="Times New Roman" w:hAnsi="Times New Roman"/>
                <w:sz w:val="24"/>
                <w:szCs w:val="24"/>
                <w:color w:val="auto"/>
                <w:vertAlign w:val="superscript"/>
              </w:rPr>
              <w:t>(6)</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166,800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regarding certain of these stockholders and their equity holdings, see the section titled “Principal Stockholders.”</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Hadley Harbor Master Investors (Cayman) II L.P. beneficially owned more than 5% of our outstanding capital stock at the time of the Series E redeemable convertible preferred stock financing.</w:t>
      </w:r>
    </w:p>
    <w:p>
      <w:pPr>
        <w:jc w:val="both"/>
        <w:ind w:left="600" w:hanging="433"/>
        <w:spacing w:after="0" w:line="219" w:lineRule="auto"/>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Cigna Ventures, LLC beneficially owns, and at the time of the Series E redeemable convertible preferred stock financing beneficially owned, more than 5% of our outstanding capital stock. Dr. Jennifer Gutzmore was, at the time of the Series E redeemable convertible preferred stock financing, a member of our board of directors. Dr. Gutzmore was designated to serve as a member of our board of directors by Cigna Health and Life Insurance Company, an affiliate of Cigna Ventures, LLC.</w:t>
      </w:r>
    </w:p>
    <w:p>
      <w:pPr>
        <w:ind w:left="600" w:hanging="433"/>
        <w:spacing w:after="0" w:line="219" w:lineRule="auto"/>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aMoon Growth Fund II, L.P. and aMoon Growth Fund Limited Partnership collectively became beneficial owners of more than 5% of our outstanding capital stock upon the closing of the Series E redeemable convertible preferred stock financing.</w:t>
      </w:r>
    </w:p>
    <w:p>
      <w:pPr>
        <w:ind w:left="600" w:hanging="433"/>
        <w:spacing w:after="0" w:line="219" w:lineRule="auto"/>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and accounts managed by direct or indirect subsidiaries of FMR LLC collectively became beneficial owners of more than 5% of our outstanding capital stock upon the closing of the Series E redeemable convertible preferred stock financing.</w:t>
      </w:r>
    </w:p>
    <w:p>
      <w:pPr>
        <w:ind w:left="600" w:hanging="433"/>
        <w:spacing w:after="0" w:line="235" w:lineRule="auto"/>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Trevor Fetter is the sole member of a limited liability company that purchased shares of our Series E redeemable convertible preferred stock. Mr. Fetter is currently, and was at the time of the Series E redeemable convertible preferred stock financing, a member of our board of directors.</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Commercial Arrangements with Cigna and its Affiliates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Our customers, channel partners, and vendors include affiliates of The Cigna Group, which beneficially owns more than 5% of our outstanding capital stock through Cigna Ventures, LLC. We have entered into agreements with these affiliates that, among other things, provide for the provision of our programs to eligible individuals covered by these affiliates and, in certain cases, for the provision of services by such affiliates in connection with the administration of our programs. We also have agreements with these affiliates for the provision of certain benefits provided to our employees. Pursuant to these agreements, affiliates of The Cigna Group made payments to us of $33.4 million, $39.2 million, and $63.3 million in the years ended December 31, 2021, 2022, and 2023, respectively. Additionally, we made payments to affiliates of The Cigna Group of $6.7 million, $10.4 million, and $13.1 million in the years ended December 31, 2021, 2022, and 2023, respectively. Our agreements with affiliates of Cigna Ventures, LLC are negotiated in the ordinary course of business and on an arm’s-length basis.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the purchasers of our outstanding redeemable convertible preferred stock, including holders of more than 5% of our capital stock and entities with which certain of our directors are affiliated. Following the consummation of this offering, the holders of approximately        million shares of our common stock issuable upon the conversion of our outstanding Series A, Series B, Series C, Series C-1, Series D, Series D-1, and Series E redeemable convertible preferred stock are entitled to rights with respect to the registration of their shares under the Securities Act. For a more detailed description of these registration rights, see the section titled “Description of Capital Stock—Registration Rights.”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4"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are party to an amended and restated voting agreement with certain holders of our common stock and redeemable convertible preferred stock, including certain of our directors and executive officers, holders of more than 5% of our capital stock, and entities with which certain of our directors are affiliated. Upon the consummation of this offering, the amended and restated voting agreement will terminate. For a description of the amended and restated voting agreement, see the section titled “Management—Board Composition—Voting Arrangements.”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are party to an amended and restated right of first refusal and co-sale agreement with certain holders of our common stock and redeemable convertible preferred stock, including certain of our directors and executive officers, holders of more than 5% of our capital stock, and entities with which certain of our directors are affiliated.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Please see the section titled “Executive and Director Compensation” for information regarding the compensation of our directors and executive officers.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entered into offer letters and change in control and severance agreements with our executive officers that, among other things, provide for certain compensatory and change-in-control benefits, as well as severance benefits. For a description of these agreements with our named executive officers, see the section titled “Executive and Director Compensation—Executive Employment Agreements.”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certain of our current directors and executive officers and intend to enter into new indemnification agreements with each of our current directors and executive officers before the completion of this offering. Our amended and restated certificate of incorporation and our amended and restated bylaws will provide that we will indemnify our directors and officers to the fullest extent permitted by applicable law. See the section titled “Management—Limitation on Liability and Indemnification Matters.”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Related-Party Transactions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Prior to the consummation of this offering, our board of directors will adopt a written related-party transaction policy, to be effective upon the consummation of this offering, setting forth the policies and procedures for the review and approval or ratification of related-party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4"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as of March 31, 2024, information regarding beneficial ownership of our capital stock by:</w:t>
      </w:r>
    </w:p>
    <w:p>
      <w:pPr>
        <w:spacing w:after="0" w:line="248" w:lineRule="exact"/>
        <w:rPr>
          <w:sz w:val="20"/>
          <w:szCs w:val="20"/>
          <w:color w:val="auto"/>
        </w:rPr>
      </w:pPr>
    </w:p>
    <w:p>
      <w:pPr>
        <w:ind w:left="1140" w:hanging="545"/>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percentage ownership information under the column titled “Beneficial Ownership Prior to this Offering” is based on 141,031,887 shares of our common stock outstanding as of March 31, 2024, including 118,218,801 shares of our common stock resulting from the Preferred Stock Conversion, as if this conversion had occurred as of March 31, 2024. The percentage ownership information under the column titled “Beneficial Ownership After this Offering” assumes the foregoing and the issuance of         shares of common stock in this offering and assumes no exercise of the underwriters’ option to purchase additional shares. In addition, the following table does not reflect any shares of common stock that may be purchased in this offering.</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determined beneficial ownership according to the rules and regulations of the SEC, and thus it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March 31, 2024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187"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Unless otherwise noted below, the address for each beneficial owner listed in the table below is c/o Omada Health, Inc., 500 Sansome Street, Suite 200, San Francisco, California 94111.</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Beneficial Ownership Prior to this Offering</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0" w:type="dxa"/>
            <w:vAlign w:val="bottom"/>
            <w:tcBorders>
              <w:bottom w:val="single" w:sz="8" w:color="auto"/>
            </w:tcBorders>
            <w:gridSpan w:val="7"/>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0"/>
                <w:szCs w:val="10"/>
                <w:color w:val="auto"/>
              </w:rPr>
            </w:pPr>
          </w:p>
        </w:tc>
        <w:tc>
          <w:tcPr>
            <w:tcW w:w="108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08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7"/>
        </w:trPr>
        <w:tc>
          <w:tcPr>
            <w:tcW w:w="3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10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12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80" w:type="dxa"/>
            <w:vAlign w:val="bottom"/>
          </w:tcPr>
          <w:p>
            <w:pPr>
              <w:spacing w:after="0"/>
              <w:rPr>
                <w:sz w:val="12"/>
                <w:szCs w:val="12"/>
                <w:color w:val="auto"/>
              </w:rPr>
            </w:pPr>
          </w:p>
        </w:tc>
        <w:tc>
          <w:tcPr>
            <w:tcW w:w="108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12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0" w:type="dxa"/>
            <w:vAlign w:val="bottom"/>
          </w:tcPr>
          <w:p>
            <w:pPr>
              <w:spacing w:after="0"/>
              <w:rPr>
                <w:sz w:val="1"/>
                <w:szCs w:val="1"/>
                <w:color w:val="auto"/>
              </w:rPr>
            </w:pPr>
          </w:p>
        </w:tc>
      </w:tr>
      <w:tr>
        <w:trPr>
          <w:trHeight w:val="172"/>
        </w:trPr>
        <w:tc>
          <w:tcPr>
            <w:tcW w:w="424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7"/>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Entities affiliated with U.S. Venture Partners X, L.P.</w:t>
            </w:r>
            <w:r>
              <w:rPr>
                <w:rFonts w:ascii="Times New Roman" w:cs="Times New Roman" w:eastAsia="Times New Roman" w:hAnsi="Times New Roman"/>
                <w:sz w:val="24"/>
                <w:szCs w:val="24"/>
                <w:color w:val="auto"/>
                <w:vertAlign w:val="superscript"/>
              </w:rPr>
              <w:t>(1)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14,154,090</w:t>
            </w: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14,154,090</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Entities affiliated with Andreessen Horowitz</w:t>
            </w:r>
            <w:r>
              <w:rPr>
                <w:rFonts w:ascii="Times New Roman" w:cs="Times New Roman" w:eastAsia="Times New Roman" w:hAnsi="Times New Roman"/>
                <w:sz w:val="24"/>
                <w:szCs w:val="24"/>
                <w:color w:val="auto"/>
                <w:vertAlign w:val="superscript"/>
              </w:rPr>
              <w:t>(2)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13,843,724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13,843,724</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4"/>
                <w:szCs w:val="24"/>
                <w:color w:val="auto"/>
                <w:vertAlign w:val="superscript"/>
              </w:rPr>
              <w:t>(3)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13,344,008</w:t>
            </w: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13,344,008</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Cigna Ventures, LLC</w:t>
            </w:r>
            <w:r>
              <w:rPr>
                <w:rFonts w:ascii="Times New Roman" w:cs="Times New Roman" w:eastAsia="Times New Roman" w:hAnsi="Times New Roman"/>
                <w:sz w:val="24"/>
                <w:szCs w:val="24"/>
                <w:color w:val="auto"/>
                <w:vertAlign w:val="superscript"/>
              </w:rPr>
              <w:t>(4)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10,333,889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10,333,889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Entities affiliated with Revelation Partners</w:t>
            </w:r>
            <w:r>
              <w:rPr>
                <w:rFonts w:ascii="Times New Roman" w:cs="Times New Roman" w:eastAsia="Times New Roman" w:hAnsi="Times New Roman"/>
                <w:sz w:val="24"/>
                <w:szCs w:val="24"/>
                <w:color w:val="auto"/>
                <w:vertAlign w:val="superscript"/>
              </w:rPr>
              <w:t>(5)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8,847,446</w:t>
            </w: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8,847,446</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Entities affiliated aMoon Growth Fund</w:t>
            </w:r>
            <w:r>
              <w:rPr>
                <w:rFonts w:ascii="Times New Roman" w:cs="Times New Roman" w:eastAsia="Times New Roman" w:hAnsi="Times New Roman"/>
                <w:sz w:val="24"/>
                <w:szCs w:val="24"/>
                <w:color w:val="auto"/>
                <w:vertAlign w:val="superscript"/>
              </w:rPr>
              <w:t>(6)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8,111,747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8,111,747</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500" w:type="dxa"/>
            <w:vAlign w:val="bottom"/>
            <w:gridSpan w:val="6"/>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Beneficial Ownership Prior to this Offering</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2"/>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500" w:type="dxa"/>
            <w:vAlign w:val="bottom"/>
            <w:tcBorders>
              <w:bottom w:val="single" w:sz="8" w:color="auto"/>
            </w:tcBorders>
            <w:gridSpan w:val="6"/>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200" w:type="dxa"/>
            <w:vAlign w:val="bottom"/>
            <w:gridSpan w:val="2"/>
          </w:tcPr>
          <w:p>
            <w:pPr>
              <w:jc w:val="center"/>
              <w:ind w:right="34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800" w:type="dxa"/>
            <w:vAlign w:val="bottom"/>
            <w:vMerge w:val="restart"/>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1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12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1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4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0" w:type="dxa"/>
            <w:vAlign w:val="bottom"/>
          </w:tcPr>
          <w:p>
            <w:pPr>
              <w:spacing w:after="0"/>
              <w:rPr>
                <w:sz w:val="1"/>
                <w:szCs w:val="1"/>
                <w:color w:val="auto"/>
              </w:rPr>
            </w:pPr>
          </w:p>
        </w:tc>
      </w:tr>
      <w:tr>
        <w:trPr>
          <w:trHeight w:val="163"/>
        </w:trPr>
        <w:tc>
          <w:tcPr>
            <w:tcW w:w="162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10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Days</w:t>
            </w: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160" w:type="dxa"/>
            <w:vAlign w:val="bottom"/>
            <w:gridSpan w:val="2"/>
          </w:tcPr>
          <w:p>
            <w:pPr>
              <w:jc w:val="center"/>
              <w:ind w:right="5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Ownership</w:t>
            </w:r>
          </w:p>
        </w:tc>
        <w:tc>
          <w:tcPr>
            <w:tcW w:w="104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line="221" w:lineRule="exact"/>
              <w:rPr>
                <w:sz w:val="20"/>
                <w:szCs w:val="20"/>
                <w:color w:val="auto"/>
              </w:rPr>
            </w:pPr>
            <w:r>
              <w:rPr>
                <w:rFonts w:ascii="Times New Roman" w:cs="Times New Roman" w:eastAsia="Times New Roman" w:hAnsi="Times New Roman"/>
                <w:sz w:val="17"/>
                <w:szCs w:val="17"/>
                <w:color w:val="auto"/>
              </w:rPr>
              <w:t>Norwest Venture Partners XII, LP</w:t>
            </w:r>
            <w:r>
              <w:rPr>
                <w:rFonts w:ascii="Times New Roman" w:cs="Times New Roman" w:eastAsia="Times New Roman" w:hAnsi="Times New Roman"/>
                <w:sz w:val="25"/>
                <w:szCs w:val="25"/>
                <w:color w:val="auto"/>
                <w:vertAlign w:val="superscript"/>
              </w:rPr>
              <w:t>(7)</w:t>
            </w: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2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7,593,006</w:t>
            </w:r>
          </w:p>
        </w:tc>
        <w:tc>
          <w:tcPr>
            <w:tcW w:w="3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7,593,006</w:t>
            </w:r>
          </w:p>
        </w:tc>
        <w:tc>
          <w:tcPr>
            <w:tcW w:w="3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5.4%</w:t>
            </w: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Sean Duffy</w:t>
            </w:r>
            <w:r>
              <w:rPr>
                <w:rFonts w:ascii="Times New Roman" w:cs="Times New Roman" w:eastAsia="Times New Roman" w:hAnsi="Times New Roman"/>
                <w:sz w:val="24"/>
                <w:szCs w:val="24"/>
                <w:color w:val="auto"/>
                <w:vertAlign w:val="superscript"/>
              </w:rPr>
              <w:t>(8)</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2,783,021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2,783,021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Steve Cook</w:t>
            </w:r>
            <w:r>
              <w:rPr>
                <w:rFonts w:ascii="Times New Roman" w:cs="Times New Roman" w:eastAsia="Times New Roman" w:hAnsi="Times New Roman"/>
                <w:sz w:val="24"/>
                <w:szCs w:val="24"/>
                <w:color w:val="auto"/>
                <w:vertAlign w:val="superscript"/>
              </w:rPr>
              <w:t>(9)</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739,707</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739,707</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Wei-Li Shao</w:t>
            </w:r>
            <w:r>
              <w:rPr>
                <w:rFonts w:ascii="Times New Roman" w:cs="Times New Roman" w:eastAsia="Times New Roman" w:hAnsi="Times New Roman"/>
                <w:sz w:val="24"/>
                <w:szCs w:val="24"/>
                <w:color w:val="auto"/>
                <w:vertAlign w:val="superscript"/>
              </w:rPr>
              <w:t>(10)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1,454,484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1,454,484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Jeryl Hilleman</w:t>
            </w:r>
            <w:r>
              <w:rPr>
                <w:rFonts w:ascii="Times New Roman" w:cs="Times New Roman" w:eastAsia="Times New Roman" w:hAnsi="Times New Roman"/>
                <w:sz w:val="24"/>
                <w:szCs w:val="24"/>
                <w:color w:val="auto"/>
                <w:vertAlign w:val="superscript"/>
              </w:rPr>
              <w:t>(11)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547,082</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547,082</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Casper de Clercq</w:t>
            </w:r>
            <w:r>
              <w:rPr>
                <w:rFonts w:ascii="Times New Roman" w:cs="Times New Roman" w:eastAsia="Times New Roman" w:hAnsi="Times New Roman"/>
                <w:sz w:val="24"/>
                <w:szCs w:val="24"/>
                <w:color w:val="auto"/>
                <w:vertAlign w:val="superscript"/>
              </w:rPr>
              <w:t>(12)</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7,593,006</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7,593,006</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Trevor Fetter</w:t>
            </w:r>
            <w:r>
              <w:rPr>
                <w:rFonts w:ascii="Times New Roman" w:cs="Times New Roman" w:eastAsia="Times New Roman" w:hAnsi="Times New Roman"/>
                <w:sz w:val="24"/>
                <w:szCs w:val="24"/>
                <w:color w:val="auto"/>
                <w:vertAlign w:val="superscript"/>
              </w:rPr>
              <w:t>(13)</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333,600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270,832</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604,432</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Adrian James</w:t>
            </w:r>
            <w:r>
              <w:rPr>
                <w:rFonts w:ascii="Times New Roman" w:cs="Times New Roman" w:eastAsia="Times New Roman" w:hAnsi="Times New Roman"/>
                <w:sz w:val="24"/>
                <w:szCs w:val="24"/>
                <w:color w:val="auto"/>
                <w:vertAlign w:val="superscript"/>
              </w:rPr>
              <w:t>(14)</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70,000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510,593</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580,593</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Vijay Pande, Ph.D.</w:t>
            </w:r>
            <w:r>
              <w:rPr>
                <w:rFonts w:ascii="Times New Roman" w:cs="Times New Roman" w:eastAsia="Times New Roman" w:hAnsi="Times New Roman"/>
                <w:sz w:val="24"/>
                <w:szCs w:val="24"/>
                <w:color w:val="auto"/>
                <w:vertAlign w:val="superscript"/>
              </w:rPr>
              <w:t>(15)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Jonathan Root, M.D.</w:t>
            </w:r>
            <w:r>
              <w:rPr>
                <w:rFonts w:ascii="Times New Roman" w:cs="Times New Roman" w:eastAsia="Times New Roman" w:hAnsi="Times New Roman"/>
                <w:sz w:val="24"/>
                <w:szCs w:val="24"/>
                <w:color w:val="auto"/>
                <w:vertAlign w:val="superscript"/>
              </w:rPr>
              <w:t>(16)</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14,154,090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14,154,090</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All current directors and executive officers as a group (9</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persons) </w:t>
            </w:r>
            <w:r>
              <w:rPr>
                <w:rFonts w:ascii="Times New Roman" w:cs="Times New Roman" w:eastAsia="Times New Roman" w:hAnsi="Times New Roman"/>
                <w:sz w:val="26"/>
                <w:szCs w:val="26"/>
                <w:color w:val="auto"/>
                <w:vertAlign w:val="superscript"/>
              </w:rPr>
              <w:t>(17)</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22,150,696</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6,305,719</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28,456,415</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19.3%</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13970</wp:posOffset>
            </wp:positionV>
            <wp:extent cx="7645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3" w:lineRule="exact"/>
        <w:rPr>
          <w:sz w:val="20"/>
          <w:szCs w:val="20"/>
          <w:color w:val="auto"/>
        </w:rPr>
      </w:pPr>
    </w:p>
    <w:p>
      <w:pPr>
        <w:ind w:left="600" w:hanging="433"/>
        <w:spacing w:after="0"/>
        <w:tabs>
          <w:tab w:leader="none" w:pos="6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common stock.</w:t>
      </w:r>
    </w:p>
    <w:p>
      <w:pPr>
        <w:spacing w:after="0" w:line="2" w:lineRule="exact"/>
        <w:rPr>
          <w:sz w:val="20"/>
          <w:szCs w:val="20"/>
          <w:color w:val="auto"/>
        </w:rPr>
      </w:pPr>
    </w:p>
    <w:p>
      <w:pPr>
        <w:jc w:val="both"/>
        <w:ind w:left="600" w:hanging="433"/>
        <w:spacing w:after="0"/>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13,715,314 shares of common stock held by U.S. Venture Partners X, L.P. and (ii) 438,776 shares of common stock held by USVP X Affiliates, L.P. (together with U.S. Venture Partners X, L.P., the “USVP 10 Funds”). Presidio Management Group X, L.L.C. (“PMG X”), the general partner of the USVP 10 Funds, has sole voting and dispositive power with respect to the shares held by the USVP 10 Funds. Dr. Jonathan Root, a member of our board of directors, is a managing member of PMG X with additional rights with respect to our securities and may be deemed to have sole voting and dispositive power with respect to the shares held by the USVP 10 Funds. Casey Tansey is the sole managing partner of PMG X and may be deemed to have sole dispositive power and shared voting power over the shares held by the USVP 10 Funds. Each of Messrs. Root and Tansey disclaims beneficial ownership of such shares, expect to the extent of his pecuniary interest therein. The address for each of these entities and individuals is 1460 El Camino Real, Suite 100, Menlo Park CA 94025.</w:t>
      </w:r>
    </w:p>
    <w:p>
      <w:pPr>
        <w:spacing w:after="0" w:line="63" w:lineRule="exact"/>
        <w:rPr>
          <w:rFonts w:ascii="Times New Roman" w:cs="Times New Roman" w:eastAsia="Times New Roman" w:hAnsi="Times New Roman"/>
          <w:sz w:val="14"/>
          <w:szCs w:val="14"/>
          <w:color w:val="auto"/>
        </w:rPr>
      </w:pPr>
    </w:p>
    <w:p>
      <w:pPr>
        <w:jc w:val="both"/>
        <w:ind w:left="600" w:hanging="433"/>
        <w:spacing w:after="0" w:line="219" w:lineRule="auto"/>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1,211,916 shares of common stock held of record by AH Parallel Fund IV, L.P., for itself and as nominee for AH Parallel Fund IV-A, L.P., AH Parallel Fund IV-B, L.P., and AH Parallel Fund IV-Q, L.P. (collectively, the “AH Parallel Fund IV Entities”), and (ii) 12,631,808 shares of common stock held of record by Andreessen Horowitz Fund IV, L.P., for itself and as nominee for Andreessen Horowitz Fund IV-A, L.P., Andreessen Horowitz Fund IV-B, L.P., and Andreessen Horowitz Fund IV-Q, L.P. (collectively, the “AH Fund IV Entities”). AH Equity Partners IV (Parallel), L.L.C. (“AH EP IV Parallel”) is the general partner of the AH Parallel Fund IV Entities. The managing members of AH EP IV Parallel are Marc Andreessen and Ben Horowitz. AH EP IV Parallel has sole voting and dispositive power with regard to the shares held by the AH Parallel Fund IV Entities. AH Equity Partners IV, L.L.C. (“AH EP IV”) is the general partner of the AH Fund IV Entities. The managing members of AH EP IV are Marc Andreessen and Ben Horowitz. AH EP IV has sole voting and dispositive power with respect to the shares held by the AH Fund IV Entities. The address for each of these entities and individuals is 2865 Sand Hill Road, Suite 101, Menlo Park, CA 94025.</w:t>
      </w:r>
    </w:p>
    <w:p>
      <w:pPr>
        <w:spacing w:after="0" w:line="1"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2,153,073 shares of common stock held by Fidelity Select Portfolios: Health Care Portfolio, (ii) 1,456,953 shares of common stock held by Fidelity Advisor Series VII:</w:t>
      </w:r>
    </w:p>
    <w:p>
      <w:pPr>
        <w:ind w:left="6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Advisor Health Care Fund, (iii) 597,550 shares of common stock held by Fidelity Central Investment Portfolios LLC: Fidelity U.S. Equity Central Fund – Health Care Sub,</w:t>
      </w:r>
    </w:p>
    <w:p>
      <w:pPr>
        <w:jc w:val="both"/>
        <w:ind w:left="600" w:hanging="5"/>
        <w:spacing w:after="0" w:line="219" w:lineRule="auto"/>
        <w:tabs>
          <w:tab w:leader="none" w:pos="865"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281,490 shares of common stock held by Variable Insurance Products Fund IV: VIP Health Care Portfolio, (v) 2,182,939 shares of common stock held by Fidelity Select Portfolios: Select Medical Technology and Devices Portfolio, (vi) 435,062 shares of common stock held by Fidelity Mt. Vernon Street Trust: Fidelity Series Growth Company Fund,</w:t>
      </w:r>
    </w:p>
    <w:p>
      <w:pPr>
        <w:jc w:val="both"/>
        <w:ind w:left="600" w:hanging="5"/>
        <w:spacing w:after="0" w:line="222" w:lineRule="auto"/>
        <w:tabs>
          <w:tab w:leader="none" w:pos="888"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2,558,060 shares of common stock held by Fidelity Mt. Vernon Street Trust: Fidelity Growth Company Fund, (viii) 3,042,330 shares of common stock held by Fidelity Growth Company Commingled Pool, and (ix) 636,551 shares of common stock held by Fidelity Mt. Vernon Street Trust : Fidelity Growth Company K6 Fund. These funds and accounts are managed by direct or indirect subsidiaries of FMR LLC. The shares held by these funds and accounts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4"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p>
      <w:pPr>
        <w:jc w:val="both"/>
        <w:ind w:left="600" w:hanging="433"/>
        <w:spacing w:after="0" w:line="227"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10,333,889 shares of common stock held by Cigna Ventures, LLC (“Cigna Ventures”). Cigna Ventures is a wholly owned subsidiary of The Cigna Group and The Cigna Group may be deemed to have sole voting and dispositive power with respect to the shares held by Cigna Ventures. The address for each of these entities is 900 Cottage Grove Road, Bloomfield, CT 06002.</w:t>
      </w:r>
    </w:p>
    <w:p>
      <w:pPr>
        <w:jc w:val="both"/>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2,408,553 shares of common stock held by Revelation Healthcare Fund II, L.P., (ii) 2,450,980 shares of common stock held by Revelation Alpine, L.P., (iii) 1,478,672 shares of common stock held by Revelation Alpine, LLC, and (iv) 2,509,241 shares of common stock held by Revelation Healthcare Fund IV, L.P (collectively, the “Revelation Funds”). Revelation Healthcare Fund II GP, LLC is the general partner of Revelation Healthcare Fund II GP, L.P., which is the general partner of Revelation Healthcare Fund II, L.P. Revelation Alpine GP, LLC is the general partner of Revelation Alpine, L.P. and the manager of Revelation Alpine, LLC. Revelation Healthcare Fund IV GP, LLC is the general partner of Revelation Healthcare Fund IV GP, L.P., which is the general partner of Revelation Healthcare Fund IV, L.P. Scott Halsted and Michael Boggs are the managing members of Revelation Healthcare Fund II GP, LLC, Revelation Alpine GP, LLC, and Revelation Healthcare Fund IV GP, LLC and in such capacity make investment and voting decisions on behalf of the Revelation Funds. The address for each of these entities and individuals is 300 Turney Street, 2</w:t>
      </w:r>
      <w:r>
        <w:rPr>
          <w:rFonts w:ascii="Times New Roman" w:cs="Times New Roman" w:eastAsia="Times New Roman" w:hAnsi="Times New Roman"/>
          <w:sz w:val="10"/>
          <w:szCs w:val="10"/>
          <w:color w:val="auto"/>
        </w:rPr>
        <w:t>nd</w:t>
      </w:r>
      <w:r>
        <w:rPr>
          <w:rFonts w:ascii="Times New Roman" w:cs="Times New Roman" w:eastAsia="Times New Roman" w:hAnsi="Times New Roman"/>
          <w:sz w:val="14"/>
          <w:szCs w:val="14"/>
          <w:color w:val="auto"/>
        </w:rPr>
        <w:t xml:space="preserve"> Floor, Sausalito, CA 94965.</w:t>
      </w:r>
    </w:p>
    <w:p>
      <w:pPr>
        <w:spacing w:after="0" w:line="1" w:lineRule="exact"/>
        <w:rPr>
          <w:rFonts w:ascii="Times New Roman" w:cs="Times New Roman" w:eastAsia="Times New Roman" w:hAnsi="Times New Roman"/>
          <w:sz w:val="14"/>
          <w:szCs w:val="14"/>
          <w:color w:val="auto"/>
        </w:rPr>
      </w:pPr>
    </w:p>
    <w:p>
      <w:pPr>
        <w:jc w:val="both"/>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4,055,872 shares of common stock held by aMoon Growth Fund II, L.P. and (ii) 4,055,875 shares of common stock held by aMoon Growth Fund Limited Partnership. aMoon Growth II General Partner Limited is the sole general partner of aMoon Growth Fund II G.P., L.P., which is the sole general partner of aMoon Growth Fund II, L.P. aMoon General Partner Limited is the sole general partner of aMoon Growth Fund G.P. Limited Partnership, which is the sole general partner of aMoon Growth Fund Limited Partnership. Dr. Yair Schindel is the sole director and shareholder of aMoon Growth II General Partner Limited and aMoon General Partner Limited and, as a result, may be deemed to share voting and dispositive power with respect to the shares held by aMoon Growth Fund II, L.P. and aMoon Growth Fund Limited Partnership. Dr. Schindel disclaims beneficial ownership of these shares except to the extent of his pecuniary interest therein. The address for each of these entities is 34 Jerusalem Road, Beit Gamla B, Ra’anana, Israel.</w:t>
      </w:r>
    </w:p>
    <w:p>
      <w:pPr>
        <w:spacing w:after="0" w:line="1" w:lineRule="exact"/>
        <w:rPr>
          <w:rFonts w:ascii="Times New Roman" w:cs="Times New Roman" w:eastAsia="Times New Roman" w:hAnsi="Times New Roman"/>
          <w:sz w:val="14"/>
          <w:szCs w:val="14"/>
          <w:color w:val="auto"/>
        </w:rPr>
      </w:pPr>
    </w:p>
    <w:p>
      <w:pPr>
        <w:jc w:val="both"/>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7,593,006 shares of common stock held by Norwest Venture Partners XII, L.P. (“NVP XII”). Genesis VC Partners XII, LLC (“Genesis XII”) is the general partner of NVP XII and NVP Associates, LLC (“NVP Associates”) is the managing member of Genesis XII. Genesis XII, NVP Associates and Jeffrey Crowe, and Jon E. Kossow, as co-chief executive officers of NVP Associates, may be deemed to share voting and dispositive power over the shares held by NVP XII. Each of Genesis XII, NVP Associates, and Messrs. Crowe and Kossow disclaims beneficial ownership of the securities held by NVP XII, except to the extent of its or his pecuniary interest therein. The address for each of these entities and individuals is 1300 El Camino Real, Suite 200, Menlo Park, CA 94025.</w:t>
      </w:r>
    </w:p>
    <w:p>
      <w:pPr>
        <w:spacing w:after="0" w:line="1"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2,783,021 shares underlying options to purchase common stock that are exercisable within 60 days of March 31, 2024.</w:t>
      </w:r>
    </w:p>
    <w:p>
      <w:pPr>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739,707 shares underlying options to purchase common stock that are exercisable within 60 days of March 31, 2024.</w:t>
      </w:r>
    </w:p>
    <w:p>
      <w:pPr>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1,454,484 shares underlying options to purchase common stock that are exercisable within 60 days of March 31, 2024.</w:t>
      </w:r>
    </w:p>
    <w:p>
      <w:pPr>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547,082 shares underlying options to purchase common stock that are exercisable within 60 days of March 31, 2024.</w:t>
      </w:r>
    </w:p>
    <w:p>
      <w:pPr>
        <w:jc w:val="both"/>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footnote (7) above. Mr. de Clercq, one of our directors, is a member of the general partner and an officer of the managing member of Norwest Venture Partners XII, L.P. and, therefore, may be deemed to share voting and dispositive power with respect to the shares described in footnote (7) above. Mr. de Clercq disclaims beneficial ownership of such shares, except to the extent of his pecuniary interest therein.</w:t>
      </w:r>
    </w:p>
    <w:p>
      <w:pPr>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333,600 shares of common stock held by a limited liability company of which Mr. Fetter is the sole member and (ii) 270,832 shares underlying options to purchase common stock that are exercisable within 60 days of March 31, 2024.</w:t>
      </w:r>
    </w:p>
    <w:p>
      <w:pPr>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70,000 shares of common stock and (ii) 510,593 shares underlying options to purchase common stock that are exercisable within 60 days of March 31, 2024.</w:t>
      </w:r>
    </w:p>
    <w:p>
      <w:pPr>
        <w:ind w:left="600" w:right="2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Vijay Pande, a member of our board of directors, is a general partner of Andreessen Horowitz and, therefore, may be deemed to share voting and dispositive power with respect to the shares described in footnote (2) above. Dr. Pande disclaims beneficial ownership of such shares, except to the extent of his pecuniary interest therein.</w:t>
      </w:r>
    </w:p>
    <w:p>
      <w:pPr>
        <w:jc w:val="both"/>
        <w:ind w:left="600" w:hanging="433"/>
        <w:spacing w:after="0" w:line="219"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footnote (1) above. Dr. Jonathan Root, a member of our board of directors, is a general partner of U.S. Venture Partners and a managing member of PMG X with additional rights with respect to our securities and, therefore, may be deemed to have sole voting and dispositive power with respect to the shares described in footnote</w:t>
      </w:r>
    </w:p>
    <w:p>
      <w:pPr>
        <w:ind w:left="6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above. Dr. Root disclaims beneficial ownership of such shares, except to the extent of his pecuniary interest therein.</w:t>
      </w:r>
    </w:p>
    <w:p>
      <w:pPr>
        <w:ind w:left="600" w:hanging="433"/>
        <w:spacing w:after="0" w:line="235" w:lineRule="auto"/>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22,150,696 shares of common stock beneficially owned by our current directors and executive officers and (ii) 6,305,719 shares underlying options to purchase common stock that are exercisable within 60 days of March 31, 2024.</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4"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3"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the amended and restated bylaws, and the amended and restated investors’ rights agreement, which are filed as exhibits to the registration statement of which this prospectus is a part.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Upon the completion of this offering and the filing of our amended and restated certificate of incorporation, our authorized capital stock will consist of        shares of common stock, par value $0.001 per share, and        shares of preferred stock, par value $0.001 per share.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 2024, we had        shares of common stock outstanding, held of record by stockholders, after giving effect to the Preferred Stock Conversion and the Series D Warrant Exercise.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Other matters shall be generally decided by the affirmative vote of the holders of a majority of the votes cast (excluding abstentions and broker non-votes) on such matter. In addition, the affirmative vote of holders of at least 66 2/3% of the outstanding voting power of all of our then-outstanding voting stock will be required to take certain actions, including amending certain provisions of our amended and restated certificate of incorporation, including the provisions relating to amending our amended and restated bylaws, the classified board, and director and officer liability.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ratably any dividends that our board of directors may declare out of funds legally available.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Upon the completion of this offering, all of our currently outstanding shares of redeemable convertible preferred stock will convert into common stock, and we will not have any preferred shares outstanding.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4"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offering, our certificate of incorporation will be amended and restated to delete all references to such shares of redeemable convertible preferred stock. Under the amended and restated certificate of incorporation, our board of directors will have the authority, without further action by the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 2024,        shares of common stock were issuable upon the exercise of outstanding stock options, at a weighted-average exercise price of $        per share. For additional information regarding terms of our equity incentive plans, see the section titled “Executive and Director Compensation—Equity Incentive Plans.”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about outstanding warrants to purchase shares of our stock as of December 31, 2023. Immediately prior to the completion of this offering, the warrants to purchase shares of our Series B redeemable convertible preferred stock will convert into warrants to purchase shares of our common stock based on the conversion ratio of the Series B redeemable convertible preferred stock and the warrants to purchase shares of our Series D redeemable convertible preferred stock will be automatically cashless exercised into shares of Series D redeemable convertible preferred stock and subsequently converted into shares of common stock based on the conversion ratio of the Series D redeemable convertible preferred stock.</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Warrants on</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7"/>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of Stock Underlying</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1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Prior to this</w:t>
            </w:r>
          </w:p>
        </w:tc>
        <w:tc>
          <w:tcPr>
            <w:tcW w:w="12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124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3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7"/>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8/29/2017</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2"/>
              </w:rPr>
              <w:t>130,262</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8/29/2027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5/20/2015</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118,363</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118,363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5/19/2025</w:t>
            </w: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5/18/2020</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660,000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5.04</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5/18/2030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redeemable convertible preferred stock in connection with this offering, will initially be entitled to certain rights with respect to registration of such shares under the Securities Act. These shares are referred to as registrable securities. The holders of these registrable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80"/>
          </w:cols>
          <w:pgMar w:left="320" w:top="454"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securities possess registration rights pursuant to the terms of our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and selling commissions, of the shares registered pursuant to the demand, piggyback, and Form S-3 registrations described below.</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(1) the date five years after the consummation of this offering or (2) with respect to each stockholder, the earliest of such date, on or after the completion of this offering, on which all (a) registrable shares held by such stockholder may immediately be sold during a 90-day period pursuant to Rule 144 of the Securities Act, or Rule 144, and (b) one percent or less of our outstanding common stock and all registrable shares held by such stockholder can be sold in any three month period without registration in compliance with Rule 144.</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5" w:lineRule="exact"/>
        <w:rPr>
          <w:sz w:val="20"/>
          <w:szCs w:val="20"/>
          <w:color w:val="auto"/>
        </w:rPr>
      </w:pPr>
    </w:p>
    <w:p>
      <w:pPr>
        <w:jc w:val="both"/>
        <w:ind w:left="160" w:right="20" w:firstLine="436"/>
        <w:spacing w:after="0" w:line="259" w:lineRule="auto"/>
        <w:rPr>
          <w:sz w:val="20"/>
          <w:szCs w:val="20"/>
          <w:color w:val="auto"/>
        </w:rPr>
      </w:pPr>
      <w:r>
        <w:rPr>
          <w:rFonts w:ascii="Times New Roman" w:cs="Times New Roman" w:eastAsia="Times New Roman" w:hAnsi="Times New Roman"/>
          <w:sz w:val="18"/>
          <w:szCs w:val="18"/>
          <w:color w:val="auto"/>
        </w:rPr>
        <w:t>Upon the completion of this offering, holders of up to approximately        million shares of our common stock issuable upon conversion of our outstanding redeemable convertible preferred stock will be entitled to certain demand registration rights. Beginning on the earlier of</w:t>
      </w:r>
    </w:p>
    <w:p>
      <w:pPr>
        <w:jc w:val="both"/>
        <w:ind w:left="160" w:firstLine="7"/>
        <w:spacing w:after="0" w:line="248" w:lineRule="auto"/>
        <w:tabs>
          <w:tab w:leader="none" w:pos="37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21, 2024 and (ii) six months following the effectiveness of the registration statement of which this prospectus is a part, investors holding, collectively, not less than 30% of registrable securities may, on not more than two occasions, request that we register all or a portion of their shares,</w:t>
      </w: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subject to certain specified exceptions. If such holders exercise their demand registration rights, then holders of approximately        million shares of our common stock issuable upon conversion of our outstanding redeemable convertible preferred stock will be entitled to register their shares, subject to specified conditions and limitations in the corresponding offering.</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holders of up to approximately        million shares of our common stock issuable upon conversion of our outstanding redeemable convertible preferred stock are entitled to their rights to notice of this offering and to include their shares of registrable securities in this offering. The requisite percentage of these stockholders have waived all such stockholders’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the holders of up to approximately        million shares of our common stock issuable upon conversion of our outstanding redeemable convertible preferred stock will initially be entitled to certain Form S-3 registration rights. Such holders may, with respect to not more than two such registrations within any 12-month period, request that we register all or a portion of their shares on Form S-3 if we are qualified to file a registration statement on Form S-3, subject to specified exceptions. Such request for registration on Form S-3 must cover securities with aggregate proceeds, net of underwriting discounts and commissions, which equal or exceed $3.0 million. The right to have such shares registered on Form S-3 is further subject to other specified conditions and limitations.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4"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9" w:lineRule="exact"/>
        <w:rPr>
          <w:sz w:val="20"/>
          <w:szCs w:val="20"/>
          <w:color w:val="auto"/>
        </w:rPr>
      </w:pPr>
    </w:p>
    <w:p>
      <w:pPr>
        <w:ind w:left="1140" w:hanging="545"/>
        <w:spacing w:after="0" w:line="278"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11" w:lineRule="exact"/>
        <w:rPr>
          <w:rFonts w:ascii="Times New Roman" w:cs="Times New Roman" w:eastAsia="Times New Roman" w:hAnsi="Times New Roman"/>
          <w:sz w:val="18"/>
          <w:szCs w:val="18"/>
          <w:color w:val="auto"/>
        </w:rPr>
      </w:pPr>
    </w:p>
    <w:p>
      <w:pPr>
        <w:jc w:val="both"/>
        <w:ind w:left="1140" w:hanging="545"/>
        <w:spacing w:after="0" w:line="222"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48" w:lineRule="exact"/>
        <w:rPr>
          <w:sz w:val="20"/>
          <w:szCs w:val="20"/>
          <w:color w:val="auto"/>
        </w:rPr>
      </w:pPr>
    </w:p>
    <w:p>
      <w:pPr>
        <w:ind w:left="1140" w:hanging="545"/>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89"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 will:</w:t>
      </w:r>
    </w:p>
    <w:p>
      <w:pPr>
        <w:sectPr>
          <w:pgSz w:w="11900" w:h="16838" w:orient="portrait"/>
          <w:cols w:equalWidth="0" w:num="1">
            <w:col w:w="11080"/>
          </w:cols>
          <w:pgMar w:left="320" w:top="454" w:right="499" w:bottom="1440" w:gutter="0" w:footer="0" w:header="0"/>
        </w:sectPr>
      </w:pPr>
    </w:p>
    <w:p>
      <w:pPr>
        <w:spacing w:after="0" w:line="2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permit our board of directors to issue up to        shares of preferred stock, with any rights, preferences, and privileges as they may designate, including the right to approve an acquisition or other change in control;</w:t>
      </w:r>
    </w:p>
    <w:p>
      <w:pPr>
        <w:spacing w:after="0" w:line="96" w:lineRule="exact"/>
        <w:rPr>
          <w:sz w:val="20"/>
          <w:szCs w:val="20"/>
          <w:color w:val="auto"/>
        </w:rPr>
      </w:pPr>
    </w:p>
    <w:p>
      <w:pPr>
        <w:sectPr>
          <w:pgSz w:w="11900" w:h="16838" w:orient="portrait"/>
          <w:cols w:equalWidth="0" w:num="2">
            <w:col w:w="660" w:space="480"/>
            <w:col w:w="9940"/>
          </w:cols>
          <w:pgMar w:left="320" w:top="454"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188</w:t>
      </w:r>
    </w:p>
    <w:p>
      <w:pPr>
        <w:sectPr>
          <w:pgSz w:w="11900" w:h="16838" w:orient="portrait"/>
          <w:cols w:equalWidth="0" w:num="1">
            <w:col w:w="11080"/>
          </w:cols>
          <w:pgMar w:left="320" w:top="454" w:right="49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hanging="545"/>
        <w:spacing w:after="0"/>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 divided as nearly as equal in number as possible;</w:t>
      </w:r>
    </w:p>
    <w:p>
      <w:pPr>
        <w:spacing w:after="0" w:line="247" w:lineRule="exact"/>
        <w:rPr>
          <w:rFonts w:ascii="Times New Roman" w:cs="Times New Roman" w:eastAsia="Times New Roman" w:hAnsi="Times New Roman"/>
          <w:sz w:val="18"/>
          <w:szCs w:val="18"/>
          <w:color w:val="auto"/>
        </w:rPr>
      </w:pPr>
    </w:p>
    <w:p>
      <w:pPr>
        <w:jc w:val="both"/>
        <w:ind w:left="1140" w:hanging="545"/>
        <w:spacing w:after="0" w:line="222"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subject to the rights of any series of preferred stock to elect directors, directors may only be removed for cause, which removal may be effected, subject to any limitation imposed by law, by the holders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all of our then-outstanding shares of the capital stock entitled to vote generally at an election of directors;</w:t>
      </w:r>
    </w:p>
    <w:p>
      <w:pPr>
        <w:spacing w:after="0" w:line="223"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202"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pursuant to a resolution adopted by a majority of the total number of directors constituting the board, and not by our stockholders; and</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jc w:val="both"/>
        <w:ind w:left="160" w:right="20" w:firstLine="436"/>
        <w:spacing w:after="0" w:line="292" w:lineRule="auto"/>
        <w:rPr>
          <w:sz w:val="20"/>
          <w:szCs w:val="20"/>
          <w:color w:val="auto"/>
        </w:rPr>
      </w:pPr>
      <w:r>
        <w:rPr>
          <w:rFonts w:ascii="Times New Roman" w:cs="Times New Roman" w:eastAsia="Times New Roman" w:hAnsi="Times New Roman"/>
          <w:sz w:val="18"/>
          <w:szCs w:val="18"/>
          <w:color w:val="auto"/>
        </w:rPr>
        <w:t xml:space="preserve">The amendment of any of these provisions, except for the provision making it possible for our board of directors to issue undesignated preferred stock, would require approval by the holders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all of our then-outstanding common stock.</w:t>
      </w:r>
    </w:p>
    <w:p>
      <w:pPr>
        <w:spacing w:after="0" w:line="2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4"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5"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DGCL,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under the Securities Act.</w:t>
      </w:r>
    </w:p>
    <w:p>
      <w:pPr>
        <w:spacing w:after="0" w:line="19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will contain the choice of forum provision described above, it is possible that a court could find that such a provision is inapplicable for a particular claim or action or that such provision is unenforceable.</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 discussion of liability and indemnification, see the section titled “Management—Limitation on Liability and Indemnification Matters.”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Global Market under the trading symbol “OMDA.”</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 be        . The transfer agent and registrar’s address is        .</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4"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completion of this offering, or the perception that those sales may occur, could adversely affect the prevailing market price for our common stock from time to time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or after restrictions lapse, or the perception that those sales may occur, could adversely affect the prevailing market price of our common stock at such time and our ability to raise equity capital at a time and price we deem appropriate.</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Sale of Restricted Shares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Based on the number of shares of our common stock outstanding as of         , 2024, upon the completion of this offering and assuming (i) the Preferred Stock Conversion, (ii) the Series D Warrant Exercise, (iii) no exercise of the underwriters’ option to purchase additional shares of our common stock, and (iv) no exercise of outstanding options or warrants, except in connection with the Series D Warrant Exercise, we will have outstanding an aggregate of        shares of common stock.</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Of these shares, all of the         shares of common stock to be sold in this offering will be freely tradable in the public market without restriction or further registration under the Securities Act, unless the shares are held by any of our “affiliates” as such term is defined in Rule 144 of the Securities Act (“Rule 144”) or subject to lock-up agreements. All remaining shares of common stock held by existing stockholders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(“Rule 701”), which rules are summarized below.</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a result of the lock-up agreements referred to below and the provisions of Rule 144 and Rule 701, based on the number of shares of our common stock outstanding (calculated as of       , 2024 on the basis of the assumptions described above and assuming no exercise of the underwriters’ option to purchase additional shares, if any, and no exercise of outstanding options or warrants), the shares of our common stock (excluding the shares sold in this offering) that will be available for sale in the public market are as follows: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Approximate number of shares</w:t>
            </w:r>
          </w:p>
        </w:tc>
        <w:tc>
          <w:tcPr>
            <w:tcW w:w="580" w:type="dxa"/>
            <w:vAlign w:val="bottom"/>
          </w:tcPr>
          <w:p>
            <w:pPr>
              <w:spacing w:after="0"/>
              <w:rPr>
                <w:sz w:val="16"/>
                <w:szCs w:val="16"/>
                <w:color w:val="auto"/>
              </w:rPr>
            </w:pPr>
          </w:p>
        </w:tc>
        <w:tc>
          <w:tcPr>
            <w:tcW w:w="784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First date available for sale into public market</w:t>
            </w:r>
          </w:p>
        </w:tc>
      </w:tr>
      <w:tr>
        <w:trPr>
          <w:trHeight w:val="182"/>
        </w:trPr>
        <w:tc>
          <w:tcPr>
            <w:tcW w:w="19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                         shares</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181 days after the date of this prospectus, upon expiration of the lock-up agreements referred to below,</w:t>
            </w:r>
          </w:p>
        </w:tc>
      </w:tr>
      <w:tr>
        <w:trPr>
          <w:trHeight w:val="214"/>
        </w:trPr>
        <w:tc>
          <w:tcPr>
            <w:tcW w:w="1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subject in some cases to applicable volume, manner of sale and other limitations under Rule 144 and Rule</w:t>
            </w:r>
          </w:p>
        </w:tc>
      </w:tr>
      <w:tr>
        <w:trPr>
          <w:trHeight w:val="233"/>
        </w:trPr>
        <w:tc>
          <w:tcPr>
            <w:tcW w:w="1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701.</w:t>
            </w:r>
          </w:p>
        </w:tc>
      </w:tr>
    </w:tbl>
    <w:p>
      <w:pPr>
        <w:spacing w:after="0" w:line="195"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6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the 2024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4"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5"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w:t>
      </w:r>
    </w:p>
    <w:p>
      <w:pPr>
        <w:spacing w:after="0" w:line="3" w:lineRule="exact"/>
        <w:rPr>
          <w:sz w:val="20"/>
          <w:szCs w:val="20"/>
          <w:color w:val="auto"/>
        </w:rPr>
      </w:pPr>
    </w:p>
    <w:p>
      <w:pPr>
        <w:jc w:val="both"/>
        <w:ind w:left="160" w:firstLine="7"/>
        <w:spacing w:after="0" w:line="252" w:lineRule="auto"/>
        <w:tabs>
          <w:tab w:leader="none" w:pos="5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below, if applicable).</w:t>
      </w:r>
    </w:p>
    <w:p>
      <w:pPr>
        <w:spacing w:after="0" w:line="18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ectPr>
          <w:pgSz w:w="11900" w:h="16838" w:orient="portrait"/>
          <w:cols w:equalWidth="0" w:num="1">
            <w:col w:w="11080"/>
          </w:cols>
          <w:pgMar w:left="320" w:top="454" w:right="499" w:bottom="1440" w:gutter="0" w:footer="0" w:header="0"/>
        </w:sectPr>
      </w:pP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 of the number of shares of common stock then outstanding, which will equal approximately         shares of common stock immediately upon the completion of this offering (calculated as of        , 2024 on the basis of the assumptions described above and assuming no exercise of the underwriters’ option to purchase additional shares and no exercise of outstanding options or warrants subsequent to        , 2024); or</w:t>
      </w:r>
    </w:p>
    <w:p>
      <w:pPr>
        <w:spacing w:after="0" w:line="200" w:lineRule="exact"/>
        <w:rPr>
          <w:sz w:val="20"/>
          <w:szCs w:val="20"/>
          <w:color w:val="auto"/>
        </w:rPr>
      </w:pPr>
    </w:p>
    <w:p>
      <w:pPr>
        <w:sectPr>
          <w:pgSz w:w="11900" w:h="16838" w:orient="portrait"/>
          <w:cols w:equalWidth="0" w:num="2">
            <w:col w:w="660" w:space="480"/>
            <w:col w:w="9940"/>
          </w:cols>
          <w:pgMar w:left="320" w:top="454" w:right="499" w:bottom="1440" w:gutter="0" w:footer="0" w:header="0"/>
          <w:type w:val="continuous"/>
        </w:sectPr>
      </w:pPr>
    </w:p>
    <w:p>
      <w:pPr>
        <w:spacing w:after="0" w:line="7" w:lineRule="exact"/>
        <w:rPr>
          <w:sz w:val="20"/>
          <w:szCs w:val="20"/>
          <w:color w:val="auto"/>
        </w:rPr>
      </w:pPr>
    </w:p>
    <w:p>
      <w:pPr>
        <w:ind w:left="1140" w:hanging="545"/>
        <w:spacing w:after="0" w:line="278"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such sale.</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4" w:right="49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holders of substantially all of our common stock, stock options, and other securities convertible into or exercisable or exchangeable for our common stock, have agreed that, without the prior written consent of the representatives on behalf of the underwriters, subject to certain exceptions, we and they will not, and will not publicly disclose an intention to, during the period ending 180 days after the date of this prospectus,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enter into any swap or other arrangement that transfers to another, in whole or in part, any of the economic consequences of ownership of the common stock; or make any demand for, or exercise any right with respect to, the registration of any shares of common stock or any security convertible into or exercisable or exchangeable for common stock. These agreements are described in the section titled “Underwriters.”</w:t>
      </w:r>
    </w:p>
    <w:p>
      <w:pPr>
        <w:spacing w:after="0" w:line="189" w:lineRule="exact"/>
        <w:rPr>
          <w:sz w:val="20"/>
          <w:szCs w:val="20"/>
          <w:color w:val="auto"/>
        </w:rPr>
      </w:pPr>
    </w:p>
    <w:p>
      <w:pPr>
        <w:jc w:val="both"/>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 restricted stock purchase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Following the lock-up periods set forth in the agreements described above, and assuming that the representatives of the underwriters do not release any parties from these agreements, all of the shares of our common stock that are not restricted securities and are not held by our affiliates as of the date of this prospectus will be eligible for sale in the public market in compliance with Rule 144 under the Securities Act.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the holders of        million shares of our common stock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 See the section titled “Description of Capital Stock—Registration Rights.”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intend to file with the SEC a registration statement on Form S-8 under the Securities Act covering the shares of common stock subject to issuance upon the exercise of outstanding stock options under the 2011 Plan and reserved for issuance under the 2024 Plan and the ESPP.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vesting restrictions, and the lock-up agreements described above, if applicable.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4"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connection with and/or following the closing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Rule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4"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alternative minimum tax and the impact of the Medicare contribution tax on net investment income. In addition, it does not address consequences relevant to Non-U.S. Holders subject to special rules, including, without limitation:</w:t>
      </w:r>
    </w:p>
    <w:p>
      <w:pPr>
        <w:spacing w:after="0" w:line="207" w:lineRule="exact"/>
        <w:rPr>
          <w:sz w:val="20"/>
          <w:szCs w:val="20"/>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4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24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6" w:lineRule="exact"/>
        <w:rPr>
          <w:sz w:val="20"/>
          <w:szCs w:val="20"/>
          <w:color w:val="auto"/>
        </w:rPr>
      </w:pPr>
    </w:p>
    <w:p>
      <w:pPr>
        <w:jc w:val="both"/>
        <w:ind w:left="1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4"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b w:val="1"/>
          <w:bCs w:val="1"/>
          <w:color w:val="auto"/>
        </w:rPr>
        <w:t>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2" w:lineRule="exact"/>
        <w:rPr>
          <w:sz w:val="20"/>
          <w:szCs w:val="20"/>
          <w:color w:val="auto"/>
        </w:rPr>
      </w:pPr>
    </w:p>
    <w:p>
      <w:pPr>
        <w:ind w:left="1140" w:hanging="545"/>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4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47"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currently intend to pay any cash dividends on our capital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and FATCA withholding,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applicable to U.S. persons. A Non-U.S. Holder that is a corporation also may be subject to a</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4"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189" w:lineRule="exact"/>
        <w:rPr>
          <w:sz w:val="20"/>
          <w:szCs w:val="20"/>
          <w:color w:val="auto"/>
        </w:rPr>
      </w:pPr>
    </w:p>
    <w:p>
      <w:pPr>
        <w:jc w:val="both"/>
        <w:ind w:left="1140" w:hanging="545"/>
        <w:spacing w:after="0" w:line="263"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02"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89"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(“USRPI”) by reason of our status as a U.S. real property holding corporation (“USRPHC”) for U.S. federal income tax purposes.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gain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4"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5"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and the U.S. Treasury Regulations and other administrative guidance issued thereunder (such Sections commonly referred to as the Foreign Account Tax Compliance Act, or FATCA) on certain types of payments made to non-U.S. financial institutions and certain other non-U.S. entities. Specifically, a 30% withholding tax may be imposed on dividends on, and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proposed Treasury Regulations eliminate FATCA withholding on payments of gross proceeds entirely. Taxpayers generally may rely on these proposed Treasury Regulations until final Treasury Regulations are issued.</w:t>
      </w:r>
    </w:p>
    <w:p>
      <w:pPr>
        <w:spacing w:after="0" w:line="180"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4"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and J.P. Morgan Securities LLC are acting as representatives, have severally agreed to purchase, and we have agreed to sell to them, severally, the number of shares of common stock indicated below:</w:t>
      </w:r>
    </w:p>
    <w:p>
      <w:pPr>
        <w:spacing w:after="0" w:line="182" w:lineRule="exact"/>
        <w:rPr>
          <w:sz w:val="20"/>
          <w:szCs w:val="20"/>
          <w:color w:val="auto"/>
        </w:rPr>
      </w:pPr>
    </w:p>
    <w:tbl>
      <w:tblPr>
        <w:tblLayout w:type="fixed"/>
        <w:tblInd w:w="4640" w:type="dxa"/>
        <w:tblCellMar>
          <w:top w:w="0" w:type="dxa"/>
          <w:left w:w="0" w:type="dxa"/>
          <w:bottom w:w="0" w:type="dxa"/>
          <w:right w:w="0" w:type="dxa"/>
        </w:tblCellMar>
      </w:tblPr>
      <w:tr>
        <w:trPr>
          <w:trHeight w:val="161"/>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60" w:type="dxa"/>
            <w:vAlign w:val="bottom"/>
          </w:tcPr>
          <w:p>
            <w:pPr>
              <w:jc w:val="center"/>
              <w:ind w:left="26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360" w:type="dxa"/>
            <w:vAlign w:val="bottom"/>
          </w:tcPr>
          <w:p>
            <w:pPr>
              <w:jc w:val="center"/>
              <w:ind w:left="26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144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w:t>
      </w:r>
    </w:p>
    <w:p>
      <w:pPr>
        <w:spacing w:after="0" w:line="20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 shows the per-share and total public offering price, underwriting discounts and commissions, and proceeds before expenses to us. These amounts are shown assuming both no exercise and full exercise of the underwriters’ option to purchase up to an additional        shares of common stock.</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6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Borders>
              <w:top w:val="single" w:sz="8" w:color="auto"/>
            </w:tcBorders>
          </w:tcPr>
          <w:p>
            <w:pPr>
              <w:ind w:left="160"/>
              <w:spacing w:after="0" w:line="116" w:lineRule="exact"/>
              <w:rPr>
                <w:sz w:val="20"/>
                <w:szCs w:val="20"/>
                <w:color w:val="auto"/>
              </w:rPr>
            </w:pPr>
            <w:r>
              <w:rPr>
                <w:rFonts w:ascii="Times New Roman" w:cs="Times New Roman" w:eastAsia="Times New Roman" w:hAnsi="Times New Roman"/>
                <w:sz w:val="13"/>
                <w:szCs w:val="13"/>
                <w:b w:val="1"/>
                <w:bCs w:val="1"/>
                <w:color w:val="auto"/>
              </w:rPr>
              <w:t>No</w:t>
            </w:r>
          </w:p>
        </w:tc>
        <w:tc>
          <w:tcPr>
            <w:tcW w:w="6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140"/>
              <w:spacing w:after="0" w:line="116"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7"/>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23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3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1">
            <w:col w:w="11080"/>
          </w:cols>
          <w:pgMar w:left="320" w:top="454" w:right="499" w:bottom="1440" w:gutter="0" w:footer="0" w:header="0"/>
        </w:sectPr>
      </w:pPr>
    </w:p>
    <w:p>
      <w:pPr>
        <w:ind w:left="160" w:firstLine="436"/>
        <w:spacing w:after="0" w:line="270"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underwriting discounts and commissions, are approximately $  agreed to reimburse the underwriters for expense relating to clearance of this offering with the Financial Industry Regulatory $        .</w:t>
      </w:r>
    </w:p>
    <w:p>
      <w:pPr>
        <w:spacing w:after="0" w:line="20" w:lineRule="exact"/>
        <w:rPr>
          <w:sz w:val="20"/>
          <w:szCs w:val="20"/>
          <w:color w:val="auto"/>
        </w:rPr>
      </w:pPr>
      <w:r>
        <w:rPr>
          <w:sz w:val="20"/>
          <w:szCs w:val="20"/>
          <w:color w:val="auto"/>
        </w:rPr>
        <w:br w:type="column"/>
      </w:r>
    </w:p>
    <w:p>
      <w:pPr>
        <w:jc w:val="both"/>
        <w:ind w:left="75" w:hanging="75"/>
        <w:spacing w:after="0" w:line="308" w:lineRule="auto"/>
        <w:tabs>
          <w:tab w:leader="none" w:pos="17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We have Authority up to</w:t>
      </w:r>
    </w:p>
    <w:p>
      <w:pPr>
        <w:spacing w:after="0" w:line="200" w:lineRule="exact"/>
        <w:rPr>
          <w:sz w:val="20"/>
          <w:szCs w:val="20"/>
          <w:color w:val="auto"/>
        </w:rPr>
      </w:pPr>
    </w:p>
    <w:p>
      <w:pPr>
        <w:sectPr>
          <w:pgSz w:w="11900" w:h="16838" w:orient="portrait"/>
          <w:cols w:equalWidth="0" w:num="2">
            <w:col w:w="9800" w:space="5"/>
            <w:col w:w="1275"/>
          </w:cols>
          <w:pgMar w:left="320" w:top="454" w:right="499" w:bottom="1440" w:gutter="0" w:footer="0" w:header="0"/>
          <w:type w:val="continuous"/>
        </w:sectPr>
      </w:pP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199</w:t>
      </w:r>
    </w:p>
    <w:p>
      <w:pPr>
        <w:sectPr>
          <w:pgSz w:w="11900" w:h="16838" w:orient="portrait"/>
          <w:cols w:equalWidth="0" w:num="1">
            <w:col w:w="11080"/>
          </w:cols>
          <w:pgMar w:left="320" w:top="454" w:right="49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Global Market under the trading symbol “OMDA”.</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holders of substantially all of our common stock, stock options, and other securities convertible into or exercisable or exchangeable for our common stock,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207" w:lineRule="exact"/>
        <w:rPr>
          <w:sz w:val="20"/>
          <w:szCs w:val="20"/>
          <w:color w:val="auto"/>
        </w:rPr>
      </w:pPr>
    </w:p>
    <w:p>
      <w:pPr>
        <w:jc w:val="both"/>
        <w:ind w:left="1580" w:hanging="436"/>
        <w:spacing w:after="0" w:line="263" w:lineRule="auto"/>
        <w:tabs>
          <w:tab w:leader="none" w:pos="1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2" w:lineRule="exact"/>
        <w:rPr>
          <w:rFonts w:ascii="Times New Roman" w:cs="Times New Roman" w:eastAsia="Times New Roman" w:hAnsi="Times New Roman"/>
          <w:sz w:val="18"/>
          <w:szCs w:val="18"/>
          <w:color w:val="auto"/>
        </w:rPr>
      </w:pPr>
    </w:p>
    <w:p>
      <w:pPr>
        <w:ind w:left="1580" w:hanging="436"/>
        <w:spacing w:after="0" w:line="278" w:lineRule="auto"/>
        <w:tabs>
          <w:tab w:leader="none" w:pos="1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U.S. Securities and Exchange Commission relating to the offering of any shares of common stock or any securities convertible into or exercisable or exchangeable for common stock; or</w:t>
      </w:r>
    </w:p>
    <w:p>
      <w:pPr>
        <w:spacing w:after="0" w:line="189" w:lineRule="exact"/>
        <w:rPr>
          <w:rFonts w:ascii="Times New Roman" w:cs="Times New Roman" w:eastAsia="Times New Roman" w:hAnsi="Times New Roman"/>
          <w:sz w:val="18"/>
          <w:szCs w:val="18"/>
          <w:color w:val="auto"/>
        </w:rPr>
      </w:pPr>
    </w:p>
    <w:p>
      <w:pPr>
        <w:ind w:left="1580" w:hanging="436"/>
        <w:spacing w:after="0" w:line="278" w:lineRule="auto"/>
        <w:tabs>
          <w:tab w:leader="none" w:pos="1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 that, without the prior written consent of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248" w:lineRule="exact"/>
        <w:rPr>
          <w:sz w:val="20"/>
          <w:szCs w:val="20"/>
          <w:color w:val="auto"/>
        </w:rPr>
      </w:pPr>
    </w:p>
    <w:p>
      <w:pPr>
        <w:ind w:left="1580" w:hanging="436"/>
        <w:spacing w:after="0"/>
        <w:tabs>
          <w:tab w:leader="none" w:pos="15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 or</w:t>
      </w:r>
    </w:p>
    <w:p>
      <w:pPr>
        <w:spacing w:after="0" w:line="247" w:lineRule="exact"/>
        <w:rPr>
          <w:rFonts w:ascii="Times New Roman" w:cs="Times New Roman" w:eastAsia="Times New Roman" w:hAnsi="Times New Roman"/>
          <w:sz w:val="18"/>
          <w:szCs w:val="18"/>
          <w:color w:val="auto"/>
        </w:rPr>
      </w:pPr>
    </w:p>
    <w:p>
      <w:pPr>
        <w:ind w:left="1580" w:right="20" w:hanging="436"/>
        <w:spacing w:after="0" w:line="278" w:lineRule="auto"/>
        <w:tabs>
          <w:tab w:leader="none" w:pos="15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this prospectus of which the underwriters have been advised in writing;</w:t>
      </w:r>
    </w:p>
    <w:p>
      <w:pPr>
        <w:spacing w:after="0" w:line="189" w:lineRule="exact"/>
        <w:rPr>
          <w:rFonts w:ascii="Times New Roman" w:cs="Times New Roman" w:eastAsia="Times New Roman" w:hAnsi="Times New Roman"/>
          <w:sz w:val="18"/>
          <w:szCs w:val="18"/>
          <w:color w:val="auto"/>
        </w:rPr>
      </w:pPr>
    </w:p>
    <w:p>
      <w:pPr>
        <w:jc w:val="both"/>
        <w:ind w:left="1580" w:hanging="436"/>
        <w:spacing w:after="0" w:line="258" w:lineRule="auto"/>
        <w:tabs>
          <w:tab w:leader="none" w:pos="15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 or</w:t>
      </w:r>
    </w:p>
    <w:p>
      <w:pPr>
        <w:spacing w:after="0" w:line="206" w:lineRule="exact"/>
        <w:rPr>
          <w:rFonts w:ascii="Times New Roman" w:cs="Times New Roman" w:eastAsia="Times New Roman" w:hAnsi="Times New Roman"/>
          <w:sz w:val="18"/>
          <w:szCs w:val="18"/>
          <w:color w:val="auto"/>
        </w:rPr>
      </w:pPr>
    </w:p>
    <w:p>
      <w:pPr>
        <w:jc w:val="both"/>
        <w:ind w:left="1580" w:hanging="436"/>
        <w:spacing w:after="0" w:line="255" w:lineRule="auto"/>
        <w:tabs>
          <w:tab w:leader="none" w:pos="15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84" w:lineRule="exact"/>
        <w:rPr>
          <w:rFonts w:ascii="Times New Roman" w:cs="Times New Roman" w:eastAsia="Times New Roman" w:hAnsi="Times New Roman"/>
          <w:sz w:val="18"/>
          <w:szCs w:val="18"/>
          <w:color w:val="auto"/>
        </w:rPr>
      </w:pPr>
    </w:p>
    <w:p>
      <w:pPr>
        <w:ind w:left="160" w:firstLine="444"/>
        <w:spacing w:after="0" w:line="308" w:lineRule="auto"/>
        <w:tabs>
          <w:tab w:leader="none" w:pos="77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in their sole discretion, may release the common stock and other securities subject to the lock-up agreements described above in whole or in part at any time.</w:t>
      </w:r>
    </w:p>
    <w:p>
      <w:pPr>
        <w:spacing w:after="0" w:line="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80"/>
          </w:cols>
          <w:pgMar w:left="320" w:top="454"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4"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common stock shares may be made to the public in that Member State at any time under the following exemptions under the Prospectus Regulation:</w:t>
      </w:r>
    </w:p>
    <w:p>
      <w:pPr>
        <w:spacing w:after="0" w:line="211" w:lineRule="exact"/>
        <w:rPr>
          <w:sz w:val="20"/>
          <w:szCs w:val="20"/>
          <w:color w:val="auto"/>
        </w:rPr>
      </w:pPr>
    </w:p>
    <w:p>
      <w:pPr>
        <w:ind w:left="1140" w:hanging="421"/>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47" w:lineRule="exact"/>
        <w:rPr>
          <w:rFonts w:ascii="Times New Roman" w:cs="Times New Roman" w:eastAsia="Times New Roman" w:hAnsi="Times New Roman"/>
          <w:sz w:val="18"/>
          <w:szCs w:val="18"/>
          <w:color w:val="auto"/>
        </w:rPr>
      </w:pPr>
    </w:p>
    <w:p>
      <w:pPr>
        <w:ind w:left="1140" w:hanging="431"/>
        <w:spacing w:after="0" w:line="278" w:lineRule="auto"/>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89" w:lineRule="exact"/>
        <w:rPr>
          <w:rFonts w:ascii="Times New Roman" w:cs="Times New Roman" w:eastAsia="Times New Roman" w:hAnsi="Times New Roman"/>
          <w:sz w:val="18"/>
          <w:szCs w:val="18"/>
          <w:color w:val="auto"/>
        </w:rPr>
      </w:pPr>
    </w:p>
    <w:p>
      <w:pPr>
        <w:ind w:left="1140" w:hanging="421"/>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1"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Member State to qualified investors as so defined or in circumstances in which the prior consent of the underwriters have been obtained to each such proposed offer or resale.</w:t>
      </w:r>
    </w:p>
    <w:p>
      <w:pPr>
        <w:spacing w:after="0" w:line="19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the offering to the public in the United Kingdom prior to the publication of a prospectus in relation to the common stock which has been approved by the Financial Conduct Authority, except that the common stock may be offered to the public in the United Kingdom at any time:</w:t>
      </w:r>
    </w:p>
    <w:p>
      <w:pPr>
        <w:spacing w:after="0" w:line="202" w:lineRule="exact"/>
        <w:rPr>
          <w:sz w:val="20"/>
          <w:szCs w:val="20"/>
          <w:color w:val="auto"/>
        </w:rPr>
      </w:pPr>
    </w:p>
    <w:p>
      <w:pPr>
        <w:ind w:left="1140" w:hanging="421"/>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47" w:lineRule="exact"/>
        <w:rPr>
          <w:rFonts w:ascii="Times New Roman" w:cs="Times New Roman" w:eastAsia="Times New Roman" w:hAnsi="Times New Roman"/>
          <w:sz w:val="18"/>
          <w:szCs w:val="18"/>
          <w:color w:val="auto"/>
        </w:rPr>
      </w:pPr>
    </w:p>
    <w:p>
      <w:pPr>
        <w:ind w:left="1140" w:hanging="431"/>
        <w:spacing w:after="0" w:line="278" w:lineRule="auto"/>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of the underwriters for any such offer; or</w:t>
      </w:r>
    </w:p>
    <w:p>
      <w:pPr>
        <w:spacing w:after="0" w:line="189" w:lineRule="exact"/>
        <w:rPr>
          <w:rFonts w:ascii="Times New Roman" w:cs="Times New Roman" w:eastAsia="Times New Roman" w:hAnsi="Times New Roman"/>
          <w:sz w:val="18"/>
          <w:szCs w:val="18"/>
          <w:color w:val="auto"/>
        </w:rPr>
      </w:pPr>
    </w:p>
    <w:p>
      <w:pPr>
        <w:ind w:left="1140" w:hanging="421"/>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4"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provided that no such offer of the common stock shall require our company or any underwriter to publish a prospectus pursuant to Section 85 of the FSMA or supplement a prospectus pursuant to Article 23 of the U.K. Prospectus Regulation. For the purposes of this provision, the expression an “offer to the public” in relation to the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or, all such persons together being referred to as relevant persons, or otherwise in circumstances which have not resulted and will not result in an offer to the public of the shares in the United Kingdom within the meaning of the FMSA.</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80"/>
          </w:cols>
          <w:pgMar w:left="320" w:top="454"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or the common stock have been or will be filed with or approved by any Swiss regulatory authority. In particular, this document will not be filed with, and the offer of common stock will not be supervised by, the Swiss Financial Market Supervisory Authority (“FINMA”), and the offer of common stock has not been and will not be authorized under the Swiss Federal Act on Collective Investment Schemes (the “CISA”). The investor protection afforded to acquirers of interests in collective investment schemes under the CISA does not extend to acquirers of common stock.</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(the “DIFC”)</w:t>
      </w:r>
    </w:p>
    <w:p>
      <w:pPr>
        <w:spacing w:after="0" w:line="225" w:lineRule="exact"/>
        <w:rPr>
          <w:sz w:val="20"/>
          <w:szCs w:val="20"/>
          <w:color w:val="auto"/>
        </w:rPr>
      </w:pPr>
    </w:p>
    <w:p>
      <w:pPr>
        <w:jc w:val="both"/>
        <w:ind w:left="160" w:firstLine="436"/>
        <w:spacing w:after="0" w:line="271" w:lineRule="auto"/>
        <w:rPr>
          <w:sz w:val="20"/>
          <w:szCs w:val="20"/>
          <w:color w:val="auto"/>
        </w:rPr>
      </w:pPr>
      <w:r>
        <w:rPr>
          <w:rFonts w:ascii="Times New Roman" w:cs="Times New Roman" w:eastAsia="Times New Roman" w:hAnsi="Times New Roman"/>
          <w:sz w:val="17"/>
          <w:szCs w:val="17"/>
          <w:color w:val="auto"/>
        </w:rPr>
        <w:t>This document relates to an Exempt Offer in accordance with the Markets Rules 2012 of the Dubai Financial Services Authority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7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shares of common stock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prospectus:</w:t>
      </w:r>
    </w:p>
    <w:p>
      <w:pPr>
        <w:spacing w:after="0" w:line="248" w:lineRule="exact"/>
        <w:rPr>
          <w:sz w:val="20"/>
          <w:szCs w:val="20"/>
          <w:color w:val="auto"/>
        </w:rPr>
      </w:pPr>
    </w:p>
    <w:p>
      <w:pPr>
        <w:ind w:left="1140" w:right="20" w:hanging="545"/>
        <w:spacing w:after="0" w:line="278"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189"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w:t>
      </w:r>
    </w:p>
    <w:p>
      <w:pPr>
        <w:spacing w:after="0" w:line="202"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common stock may not be directly or indirectly offered for subscription or purchased or sold, and no invitations to subscribe for or buy the common stock may be issued, and no draft or definitive offering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54"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you represent and warrant to us that you are an Exempt Investor.</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As any offer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stock you undertake to us that you will not, for a period of 12 months from the date of issue of the common stock, offer, transfer, assign, or otherwise alienate those common stock to investors in Australia except in circumstances where disclosure to investors is not required under Chapter 6D.2 of the Corporations Act or where a compliant disclosure document is prepared and lodged with ASIC.</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w:t>
      </w:r>
    </w:p>
    <w:p>
      <w:pPr>
        <w:spacing w:after="0" w:line="26" w:lineRule="exact"/>
        <w:rPr>
          <w:sz w:val="20"/>
          <w:szCs w:val="20"/>
          <w:color w:val="auto"/>
        </w:rPr>
      </w:pPr>
    </w:p>
    <w:p>
      <w:pPr>
        <w:jc w:val="both"/>
        <w:ind w:left="160" w:firstLine="7"/>
        <w:spacing w:after="0" w:line="249" w:lineRule="auto"/>
        <w:tabs>
          <w:tab w:leader="none" w:pos="3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the Securities and Futures Ordinance (Cap. 571 of the Laws of Hong Kong) (the “SFO”) of Hong Kong and any rules made thereunder; or (ii)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of common stock or caused the common stock to be made the subject of an invitation for subscription or purchase and will not offer or sell any shares of common stock or cause the common stock to</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80"/>
          </w:cols>
          <w:pgMar w:left="320" w:top="454"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be made the subject of an invitation for subscription or purchase, and has not circulated or distributed, nor will it circulate or distribute, this prospectus or any other document or material in connection with the offer or sale, or invitation for subscription or purchase, of the common stock, whether directly or indirectly, to any person in Singapore other than:</w:t>
      </w:r>
    </w:p>
    <w:p>
      <w:pPr>
        <w:spacing w:after="0" w:line="202" w:lineRule="exact"/>
        <w:rPr>
          <w:sz w:val="20"/>
          <w:szCs w:val="20"/>
          <w:color w:val="auto"/>
        </w:rPr>
      </w:pPr>
    </w:p>
    <w:p>
      <w:pPr>
        <w:ind w:left="1140" w:hanging="545"/>
        <w:spacing w:after="0" w:line="278"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89"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189"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248" w:lineRule="exact"/>
        <w:rPr>
          <w:sz w:val="20"/>
          <w:szCs w:val="20"/>
          <w:color w:val="auto"/>
        </w:rPr>
      </w:pPr>
    </w:p>
    <w:p>
      <w:pPr>
        <w:ind w:left="1140" w:hanging="545"/>
        <w:spacing w:after="0" w:line="278"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9" w:lineRule="exact"/>
        <w:rPr>
          <w:rFonts w:ascii="Times New Roman" w:cs="Times New Roman" w:eastAsia="Times New Roman" w:hAnsi="Times New Roman"/>
          <w:sz w:val="18"/>
          <w:szCs w:val="18"/>
          <w:color w:val="auto"/>
        </w:rPr>
      </w:pPr>
    </w:p>
    <w:p>
      <w:pPr>
        <w:ind w:left="1140" w:right="320" w:hanging="545"/>
        <w:spacing w:after="0" w:line="277" w:lineRule="auto"/>
        <w:tabs>
          <w:tab w:leader="none" w:pos="11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94" w:lineRule="exact"/>
        <w:rPr>
          <w:rFonts w:ascii="Times New Roman" w:cs="Times New Roman" w:eastAsia="Times New Roman" w:hAnsi="Times New Roman"/>
          <w:sz w:val="17"/>
          <w:szCs w:val="17"/>
          <w:color w:val="auto"/>
        </w:rPr>
      </w:pPr>
    </w:p>
    <w:p>
      <w:pPr>
        <w:ind w:left="1580" w:right="20" w:hanging="436"/>
        <w:spacing w:after="0" w:line="278" w:lineRule="auto"/>
        <w:tabs>
          <w:tab w:leader="none" w:pos="15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276(4)(i)(B) of the SFA,</w:t>
      </w:r>
    </w:p>
    <w:p>
      <w:pPr>
        <w:spacing w:after="0" w:line="189"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47"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47"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47" w:lineRule="exact"/>
        <w:rPr>
          <w:rFonts w:ascii="Times New Roman" w:cs="Times New Roman" w:eastAsia="Times New Roman" w:hAnsi="Times New Roman"/>
          <w:sz w:val="18"/>
          <w:szCs w:val="18"/>
          <w:color w:val="auto"/>
        </w:rPr>
      </w:pPr>
    </w:p>
    <w:p>
      <w:pPr>
        <w:ind w:left="1580" w:hanging="436"/>
        <w:spacing w:after="0" w:line="278" w:lineRule="auto"/>
        <w:tabs>
          <w:tab w:leader="none" w:pos="15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(the “CMA”), pursuant to resolution number 2-11-2004 dated October 4,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4"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225" w:lineRule="exact"/>
        <w:rPr>
          <w:sz w:val="20"/>
          <w:szCs w:val="20"/>
          <w:color w:val="auto"/>
        </w:rPr>
      </w:pPr>
    </w:p>
    <w:p>
      <w:pPr>
        <w:jc w:val="both"/>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The shares of common stock are not being, and may not be offered to the public or to any person in the British Virgin Islands for purchase or subscription by or on behalf of us. The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Investments Services and Capital Markets Act of Korea (the “FSCMA”), and the decrees and regulations thereunder and the shares have been and will be offered in Korea as a private placement under the FSCMA. None of the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(the “FETL”), and the decrees and regulations thereunder. The common stock has not been listed on any of securities exchanges in the world including, without limitation, the Korea Exchange in Korea. Furthermore, the purchaser of the common stock shall comply with all applicable regulatory requirements (including but not limited to requirements under the FETL) in connection with the purchase of the common stock. By the purchase of the common stock, the relevant holder thereof will be deemed to represent and warrant that if it is in Korea or is a resident of Korea, it purchased the common stock pursuant to the applicable laws and regulations of Korea.</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common stock has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common stock in Taiwan.</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common stock are not offered, and the offer shall not be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4"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080"/>
          </w:cols>
          <w:pgMar w:left="320" w:top="454" w:right="499" w:bottom="1440" w:gutter="0" w:footer="0" w:header="0"/>
        </w:sectPr>
      </w:pP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 (1)(a)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transfer, sale, renunciation or delivery is to:</w:t>
      </w:r>
    </w:p>
    <w:p>
      <w:pPr>
        <w:spacing w:after="0" w:line="125" w:lineRule="exact"/>
        <w:rPr>
          <w:sz w:val="20"/>
          <w:szCs w:val="20"/>
          <w:color w:val="auto"/>
        </w:rPr>
      </w:pPr>
    </w:p>
    <w:p>
      <w:pPr>
        <w:sectPr>
          <w:pgSz w:w="11900" w:h="16838" w:orient="portrait"/>
          <w:cols w:equalWidth="0" w:num="2">
            <w:col w:w="1640" w:space="720"/>
            <w:col w:w="8720"/>
          </w:cols>
          <w:pgMar w:left="320" w:top="454" w:right="499" w:bottom="1440" w:gutter="0" w:footer="0" w:header="0"/>
          <w:type w:val="continuous"/>
        </w:sectPr>
      </w:pPr>
    </w:p>
    <w:p>
      <w:pPr>
        <w:ind w:left="23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persons whose ordinary business, or part of whose ordinary business, is to deal in securities, as principal or agent;</w:t>
      </w:r>
    </w:p>
    <w:p>
      <w:pPr>
        <w:spacing w:after="0" w:line="125" w:lineRule="exact"/>
        <w:rPr>
          <w:sz w:val="20"/>
          <w:szCs w:val="20"/>
          <w:color w:val="auto"/>
        </w:rPr>
      </w:pPr>
    </w:p>
    <w:p>
      <w:pPr>
        <w:sectPr>
          <w:pgSz w:w="11900" w:h="16838" w:orient="portrait"/>
          <w:cols w:equalWidth="0" w:num="2">
            <w:col w:w="2580" w:space="120"/>
            <w:col w:w="8380"/>
          </w:cols>
          <w:pgMar w:left="320" w:top="454" w:right="499" w:bottom="1440" w:gutter="0" w:footer="0" w:header="0"/>
          <w:type w:val="continuous"/>
        </w:sectPr>
      </w:pPr>
    </w:p>
    <w:p>
      <w:pPr>
        <w:ind w:left="236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(iv)  authorized financial service providers under South African law;</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(v)    financial institutions recognized as such under South African law;</w:t>
      </w:r>
    </w:p>
    <w:p>
      <w:pPr>
        <w:spacing w:after="0" w:line="114" w:lineRule="exact"/>
        <w:rPr>
          <w:sz w:val="20"/>
          <w:szCs w:val="20"/>
          <w:color w:val="auto"/>
        </w:rPr>
      </w:pPr>
    </w:p>
    <w:p>
      <w:pPr>
        <w:jc w:val="both"/>
        <w:ind w:left="2720" w:hanging="355"/>
        <w:spacing w:after="0" w:line="263"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6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ectPr>
          <w:pgSz w:w="11900" w:h="16838" w:orient="portrait"/>
          <w:cols w:equalWidth="0" w:num="1">
            <w:col w:w="11080"/>
          </w:cols>
          <w:pgMar w:left="320" w:top="454" w:right="499" w:bottom="1440" w:gutter="0" w:footer="0" w:header="0"/>
          <w:type w:val="continuous"/>
        </w:sectPr>
      </w:pP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 (1)(b)</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5" w:lineRule="exact"/>
        <w:rPr>
          <w:sz w:val="20"/>
          <w:szCs w:val="20"/>
          <w:color w:val="auto"/>
        </w:rPr>
      </w:pPr>
    </w:p>
    <w:p>
      <w:pPr>
        <w:sectPr>
          <w:pgSz w:w="11900" w:h="16838" w:orient="portrait"/>
          <w:cols w:equalWidth="0" w:num="2">
            <w:col w:w="1640" w:space="720"/>
            <w:col w:w="8720"/>
          </w:cols>
          <w:pgMar w:left="320" w:top="454" w:right="499" w:bottom="1440" w:gutter="0" w:footer="0" w:header="0"/>
          <w:type w:val="continuous"/>
        </w:sect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4" w:right="49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validity of the issuance of our common stock offered in this prospectus will be passed upon for us by Latham &amp; Watkins LLP, Menlo Park, California. Certain legal matters in connection with this offering will be passed upon for the underwriters by Davis Polk &amp; Wardwell LLP, Menlo Park, California.</w:t>
      </w: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jc w:val="both"/>
        <w:ind w:left="160" w:firstLine="436"/>
        <w:spacing w:after="0" w:line="260" w:lineRule="auto"/>
        <w:rPr>
          <w:sz w:val="20"/>
          <w:szCs w:val="20"/>
          <w:color w:val="auto"/>
        </w:rPr>
      </w:pPr>
      <w:r>
        <w:rPr>
          <w:rFonts w:ascii="Times New Roman" w:cs="Times New Roman" w:eastAsia="Times New Roman" w:hAnsi="Times New Roman"/>
          <w:sz w:val="18"/>
          <w:szCs w:val="18"/>
          <w:color w:val="auto"/>
        </w:rPr>
        <w:t>The financial statements of Omada Health, Inc. as of December 31, 2023 and 2022, and for each of the two years in the period ended December 31, 2023,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On January 25, 2024, PricewaterhouseCoopers LLP (“PwC”) resigned as our independent auditor because PwC was not independent under the applicable rules of the U.S. Securities and Exchange Commission (the “SEC”). On February 9, 2024, the Audit Committee approved the engagement of Deloitte &amp; Touche LLP (“Deloitte”) as our independent registered public accounting firm to audit our consolidated financial statements as of and for the years ended December 31, 2022 and 2023 under the standards of the Public Company Accounting Oversight Board.</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report of PwC on our consolidated financial statements as of and for the year ended December 31, 2022 did not contain any adverse opinion or disclaimer of opinion, nor was such report qualified or modified as to uncertainty, audit scope, or accounting principles. PwC resigned prior to completing its audit of the consolidated financial statements for the year ended December 31, 2023.</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January 25, 2024, there were:</w:t>
      </w:r>
    </w:p>
    <w:p>
      <w:pPr>
        <w:spacing w:after="0" w:line="248" w:lineRule="exact"/>
        <w:rPr>
          <w:sz w:val="20"/>
          <w:szCs w:val="20"/>
          <w:color w:val="auto"/>
        </w:rPr>
      </w:pPr>
    </w:p>
    <w:p>
      <w:pPr>
        <w:jc w:val="both"/>
        <w:ind w:left="1140" w:hanging="545"/>
        <w:spacing w:after="0" w:line="258"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“disagreements” (as such term is defined in Item 304(a)(1)(iv) of Regulation S-K and the related instructions thereto) with PwC on any matter of accounting principles or practices, financial statement disclosure, or auditing scope or procedure, which disagreement, if not resolved to the satisfaction of PwC, would have caused it to make reference to the subject matter of the disagreement in connection with its report on our consolidated financial statements, and</w:t>
      </w:r>
    </w:p>
    <w:p>
      <w:pPr>
        <w:spacing w:after="0" w:line="206"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“reportable events” (as such term is defined in Item 304(a)(1)(v) of Regulation S-K and the related instructions thereto).</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have provided a copy of this disclosure to PwC and requested that they furnish a letter addressed to the SEC stating whether or not it agrees with the statements made herein. A copy of the letter is filed as an exhibit to the registration statement of which this prospectus is a part.</w:t>
      </w:r>
    </w:p>
    <w:p>
      <w:pPr>
        <w:spacing w:after="0" w:line="16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February 9, 2024, when we engaged Deloitte, we did not consult with Deloitte with respect to: (i) the application of accounting principles to a specified transaction, either completed or proposed, or the type of audit opinion that might be rendered on the consolidated financial statements, and no written report or oral advice of Deloitte was provided that was an important factor considered by us in reaching a decision as to the accounting, auditing, or financial reporting issue; or (ii) any matter that was either the subject of a “disagreement” (as defined in Item 304(a)(1)(iv) of Regulation S-K and the related instructions thereto) or any “reportable event” (as defined in Item 304(a)(1)(v) of Regulation S-K and the related instructions thereto).</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80"/>
          </w:cols>
          <w:pgMar w:left="320" w:top="454"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www.omadahealth.com,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 You should not consider the contents of our website in making an investment decision with respect to our common stock.</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4"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05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Consolidated Financial Statements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4"/>
        </w:trPr>
        <w:tc>
          <w:tcPr>
            <w:tcW w:w="10560" w:type="dxa"/>
            <w:vAlign w:val="bottom"/>
            <w:gridSpan w:val="9"/>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Consolidated Balance Sheets as of December 31, 2022 and 2023</w:t>
            </w:r>
          </w:p>
        </w:tc>
        <w:tc>
          <w:tcPr>
            <w:tcW w:w="59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01"/>
        </w:trPr>
        <w:tc>
          <w:tcPr>
            <w:tcW w:w="8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Consolidated Statements of Operations and Comprehensive Loss for the years ended December 31, 2022 and 2023</w:t>
            </w:r>
          </w:p>
        </w:tc>
        <w:tc>
          <w:tcPr>
            <w:tcW w:w="23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01"/>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 for the years ended December 31, 2022 and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94"/>
              </w:rPr>
              <w:t>2023</w:t>
            </w:r>
          </w:p>
        </w:tc>
        <w:tc>
          <w:tcPr>
            <w:tcW w:w="28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01"/>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01"/>
        </w:trPr>
        <w:tc>
          <w:tcPr>
            <w:tcW w:w="64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412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382"/>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4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4" w:right="5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stockholders and the Board of Directors of Omada Health, Inc.</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Omada Health, Inc. and its subsidiary (the “Company”) as of December 31, 2023 and 2022, the related consolidated statements of operations and comprehensive loss, convertible preferred stock and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June 21, 2024</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4"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4"/>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40"/>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900" w:type="dxa"/>
            <w:vAlign w:val="bottom"/>
            <w:tcBorders>
              <w:top w:val="single" w:sz="8" w:color="auto"/>
            </w:tcBorders>
            <w:gridSpan w:val="2"/>
          </w:tcPr>
          <w:p>
            <w:pPr>
              <w:jc w:val="right"/>
              <w:ind w:right="40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2022    </w:t>
            </w:r>
          </w:p>
        </w:tc>
        <w:tc>
          <w:tcPr>
            <w:tcW w:w="420" w:type="dxa"/>
            <w:vAlign w:val="bottom"/>
            <w:tcBorders>
              <w:top w:val="single" w:sz="8" w:color="auto"/>
            </w:tcBorders>
            <w:gridSpan w:val="2"/>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60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2023 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48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168,123</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115,643</w:t>
            </w:r>
          </w:p>
        </w:tc>
        <w:tc>
          <w:tcPr>
            <w:tcW w:w="0" w:type="dxa"/>
            <w:vAlign w:val="bottom"/>
          </w:tcPr>
          <w:p>
            <w:pPr>
              <w:spacing w:after="0"/>
              <w:rPr>
                <w:sz w:val="1"/>
                <w:szCs w:val="1"/>
                <w:color w:val="auto"/>
              </w:rPr>
            </w:pPr>
          </w:p>
        </w:tc>
      </w:tr>
      <w:tr>
        <w:trPr>
          <w:trHeight w:val="201"/>
        </w:trPr>
        <w:tc>
          <w:tcPr>
            <w:tcW w:w="8480" w:type="dxa"/>
            <w:vAlign w:val="bottom"/>
          </w:tcPr>
          <w:p>
            <w:pPr>
              <w:ind w:left="320"/>
              <w:spacing w:after="0" w:line="201" w:lineRule="exact"/>
              <w:rPr>
                <w:sz w:val="20"/>
                <w:szCs w:val="20"/>
                <w:color w:val="auto"/>
              </w:rPr>
            </w:pPr>
            <w:r>
              <w:rPr>
                <w:rFonts w:ascii="Times New Roman" w:cs="Times New Roman" w:eastAsia="Times New Roman" w:hAnsi="Times New Roman"/>
                <w:sz w:val="15"/>
                <w:szCs w:val="15"/>
                <w:color w:val="auto"/>
              </w:rPr>
              <w:t>Accounts receivable, net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11,487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16,372</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3,614</w:t>
            </w:r>
          </w:p>
        </w:tc>
        <w:tc>
          <w:tcPr>
            <w:tcW w:w="0" w:type="dxa"/>
            <w:vAlign w:val="bottom"/>
          </w:tcPr>
          <w:p>
            <w:pPr>
              <w:spacing w:after="0"/>
              <w:rPr>
                <w:sz w:val="1"/>
                <w:szCs w:val="1"/>
                <w:color w:val="auto"/>
              </w:rPr>
            </w:pPr>
          </w:p>
        </w:tc>
      </w:tr>
      <w:tr>
        <w:trPr>
          <w:trHeight w:val="201"/>
        </w:trPr>
        <w:tc>
          <w:tcPr>
            <w:tcW w:w="84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5,084</w:t>
            </w:r>
          </w:p>
        </w:tc>
        <w:tc>
          <w:tcPr>
            <w:tcW w:w="0" w:type="dxa"/>
            <w:vAlign w:val="bottom"/>
          </w:tcPr>
          <w:p>
            <w:pPr>
              <w:spacing w:after="0"/>
              <w:rPr>
                <w:sz w:val="1"/>
                <w:szCs w:val="1"/>
                <w:color w:val="auto"/>
              </w:rPr>
            </w:pPr>
          </w:p>
        </w:tc>
      </w:tr>
      <w:tr>
        <w:trPr>
          <w:trHeight w:val="202"/>
        </w:trPr>
        <w:tc>
          <w:tcPr>
            <w:tcW w:w="8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188,555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4,423</w:t>
            </w:r>
          </w:p>
        </w:tc>
        <w:tc>
          <w:tcPr>
            <w:tcW w:w="0" w:type="dxa"/>
            <w:vAlign w:val="bottom"/>
          </w:tcPr>
          <w:p>
            <w:pPr>
              <w:spacing w:after="0"/>
              <w:rPr>
                <w:sz w:val="1"/>
                <w:szCs w:val="1"/>
                <w:color w:val="auto"/>
              </w:rPr>
            </w:pPr>
          </w:p>
        </w:tc>
      </w:tr>
      <w:tr>
        <w:trPr>
          <w:trHeight w:val="201"/>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6,462</w:t>
            </w:r>
          </w:p>
        </w:tc>
        <w:tc>
          <w:tcPr>
            <w:tcW w:w="0" w:type="dxa"/>
            <w:vAlign w:val="bottom"/>
          </w:tcPr>
          <w:p>
            <w:pPr>
              <w:spacing w:after="0"/>
              <w:rPr>
                <w:sz w:val="1"/>
                <w:szCs w:val="1"/>
                <w:color w:val="auto"/>
              </w:rPr>
            </w:pPr>
          </w:p>
        </w:tc>
      </w:tr>
      <w:tr>
        <w:trPr>
          <w:trHeight w:val="201"/>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6,270</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13,240</w:t>
            </w:r>
          </w:p>
        </w:tc>
        <w:tc>
          <w:tcPr>
            <w:tcW w:w="0" w:type="dxa"/>
            <w:vAlign w:val="bottom"/>
          </w:tcPr>
          <w:p>
            <w:pPr>
              <w:spacing w:after="0"/>
              <w:rPr>
                <w:sz w:val="1"/>
                <w:szCs w:val="1"/>
                <w:color w:val="auto"/>
              </w:rPr>
            </w:pPr>
          </w:p>
        </w:tc>
      </w:tr>
      <w:tr>
        <w:trPr>
          <w:trHeight w:val="201"/>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221,798</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175,080</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 Current liabilities:</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3,621</w:t>
            </w:r>
          </w:p>
        </w:tc>
        <w:tc>
          <w:tcPr>
            <w:tcW w:w="0" w:type="dxa"/>
            <w:vAlign w:val="bottom"/>
          </w:tcPr>
          <w:p>
            <w:pPr>
              <w:spacing w:after="0"/>
              <w:rPr>
                <w:sz w:val="1"/>
                <w:szCs w:val="1"/>
                <w:color w:val="auto"/>
              </w:rPr>
            </w:pPr>
          </w:p>
        </w:tc>
      </w:tr>
      <w:tr>
        <w:trPr>
          <w:trHeight w:val="201"/>
        </w:trPr>
        <w:tc>
          <w:tcPr>
            <w:tcW w:w="8480" w:type="dxa"/>
            <w:vAlign w:val="bottom"/>
          </w:tcPr>
          <w:p>
            <w:pPr>
              <w:ind w:left="320"/>
              <w:spacing w:after="0" w:line="201"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24,497</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01"/>
        </w:trPr>
        <w:tc>
          <w:tcPr>
            <w:tcW w:w="84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Warrant liability, current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320"/>
              <w:spacing w:after="0" w:line="201"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14,885</w:t>
            </w:r>
          </w:p>
        </w:tc>
        <w:tc>
          <w:tcPr>
            <w:tcW w:w="0" w:type="dxa"/>
            <w:vAlign w:val="bottom"/>
          </w:tcPr>
          <w:p>
            <w:pPr>
              <w:spacing w:after="0"/>
              <w:rPr>
                <w:sz w:val="1"/>
                <w:szCs w:val="1"/>
                <w:color w:val="auto"/>
              </w:rPr>
            </w:pPr>
          </w:p>
        </w:tc>
      </w:tr>
      <w:tr>
        <w:trPr>
          <w:trHeight w:val="202"/>
        </w:trPr>
        <w:tc>
          <w:tcPr>
            <w:tcW w:w="8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34,512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debt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28,895</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29,382</w:t>
            </w:r>
          </w:p>
        </w:tc>
        <w:tc>
          <w:tcPr>
            <w:tcW w:w="0" w:type="dxa"/>
            <w:vAlign w:val="bottom"/>
          </w:tcPr>
          <w:p>
            <w:pPr>
              <w:spacing w:after="0"/>
              <w:rPr>
                <w:sz w:val="1"/>
                <w:szCs w:val="1"/>
                <w:color w:val="auto"/>
              </w:rPr>
            </w:pPr>
          </w:p>
        </w:tc>
      </w:tr>
      <w:tr>
        <w:trPr>
          <w:trHeight w:val="201"/>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 non-current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2,470</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01"/>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76,158</w:t>
            </w:r>
          </w:p>
        </w:tc>
        <w:tc>
          <w:tcPr>
            <w:tcW w:w="0" w:type="dxa"/>
            <w:vAlign w:val="bottom"/>
          </w:tcPr>
          <w:p>
            <w:pPr>
              <w:spacing w:after="0"/>
              <w:rPr>
                <w:sz w:val="1"/>
                <w:szCs w:val="1"/>
                <w:color w:val="auto"/>
              </w:rPr>
            </w:pPr>
          </w:p>
        </w:tc>
      </w:tr>
      <w:tr>
        <w:trPr>
          <w:trHeight w:val="202"/>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convertible preferred stock, $0.001 par value; 120,689 shares authorized as of December 31, 2022 and 2023;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118,129 and 118,219 shares issued and outstanding as of December 31, 2022 and 2023, respectively; aggregate liquidation</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preference of $455,540 and $455,588 as of December 31, 2022 and 2023, respectively, net of issuance costs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449,034</w:t>
            </w:r>
          </w:p>
        </w:tc>
        <w:tc>
          <w:tcPr>
            <w:tcW w:w="0" w:type="dxa"/>
            <w:vAlign w:val="bottom"/>
          </w:tcPr>
          <w:p>
            <w:pPr>
              <w:spacing w:after="0"/>
              <w:rPr>
                <w:sz w:val="1"/>
                <w:szCs w:val="1"/>
                <w:color w:val="auto"/>
              </w:rPr>
            </w:pPr>
          </w:p>
        </w:tc>
      </w:tr>
      <w:tr>
        <w:trPr>
          <w:trHeight w:val="201"/>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 $0.001 par value; 176,300 and 181,500 shares authorized as of December 31, 2022 and 2023, respectively;</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20,931 and 22,164 shares issued and outstanding as of December 31, 2022 and 2023, respectively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1"/>
        </w:trPr>
        <w:tc>
          <w:tcPr>
            <w:tcW w:w="84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46,695</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(329,318)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(396,829)</w:t>
            </w:r>
          </w:p>
        </w:tc>
        <w:tc>
          <w:tcPr>
            <w:tcW w:w="0" w:type="dxa"/>
            <w:vAlign w:val="bottom"/>
          </w:tcPr>
          <w:p>
            <w:pPr>
              <w:spacing w:after="0"/>
              <w:rPr>
                <w:sz w:val="1"/>
                <w:szCs w:val="1"/>
                <w:color w:val="auto"/>
              </w:rPr>
            </w:pPr>
          </w:p>
        </w:tc>
      </w:tr>
      <w:tr>
        <w:trPr>
          <w:trHeight w:val="214"/>
        </w:trPr>
        <w:tc>
          <w:tcPr>
            <w:tcW w:w="8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(293,172)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(350,112)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221,798</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175,080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$4.6 million and $8.1 million as of December 31, 2022 and 2023, respectively.</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$1.0 million and $1.5 million as of December 31, 2022 and 2023, respectively.</w:t>
      </w:r>
    </w:p>
    <w:p>
      <w:pPr>
        <w:ind w:left="600" w:hanging="433"/>
        <w:spacing w:after="0"/>
        <w:tabs>
          <w:tab w:leader="none" w:pos="6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$7.0 million and $9.2 million as of December 31, 2022 and 2023, respectively.</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4"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7"/>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tcBorders>
              <w:top w:val="single" w:sz="8" w:color="auto"/>
            </w:tcBorders>
            <w:gridSpan w:val="3"/>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82,690</w:t>
            </w:r>
          </w:p>
        </w:tc>
        <w:tc>
          <w:tcPr>
            <w:tcW w:w="26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114,531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Hardware</w:t>
            </w:r>
            <w:r>
              <w:rPr>
                <w:rFonts w:ascii="Times New Roman" w:cs="Times New Roman" w:eastAsia="Times New Roman" w:hAnsi="Times New Roman"/>
                <w:sz w:val="24"/>
                <w:szCs w:val="24"/>
                <w:color w:val="auto"/>
                <w:vertAlign w:val="superscript"/>
              </w:rPr>
              <w:t>(2)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8,253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36,735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16,078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69,971</w:t>
            </w: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33,738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(5)</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66,249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35,981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(72,518)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(72,518</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$37.7 million and $62.9 million for the years ended December 31, 2022 and 2023, respectively.</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$3.1 million and $4.4 million for the years ended December 31, 2022 and 2023, respectively.</w:t>
      </w:r>
    </w:p>
    <w:p>
      <w:pPr>
        <w:ind w:left="600" w:hanging="433"/>
        <w:spacing w:after="0" w:line="219" w:lineRule="auto"/>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$2.2 million and $2.8 million for the years ended December 31, 2022 and 2023, respectively.</w:t>
      </w:r>
    </w:p>
    <w:p>
      <w:pPr>
        <w:ind w:left="600" w:hanging="433"/>
        <w:spacing w:after="0" w:line="219" w:lineRule="auto"/>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$0.9 million and $1.5 million for the years ended December 31, 2022 and 2023, respectively.</w:t>
      </w:r>
    </w:p>
    <w:p>
      <w:pPr>
        <w:ind w:left="600" w:hanging="433"/>
        <w:spacing w:after="0" w:line="219" w:lineRule="auto"/>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$5.9 million and $10.8 million for the years ended December 31, 2022 and 2023, respectively.</w:t>
      </w:r>
    </w:p>
    <w:p>
      <w:pPr>
        <w:ind w:left="600" w:hanging="433"/>
        <w:spacing w:after="0"/>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$0.7 million and $1.1 million for the years ended December 31, 2022 and 2023, respectively.</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4"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11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70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00" w:type="dxa"/>
            <w:vAlign w:val="bottom"/>
            <w:vMerge w:val="continue"/>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7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0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b w:val="1"/>
                <w:bCs w:val="1"/>
                <w:color w:val="auto"/>
                <w:w w:val="85"/>
              </w:rPr>
              <w:t>Amount </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top w:val="single" w:sz="8" w:color="auto"/>
            </w:tcBorders>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12"/>
                <w:szCs w:val="12"/>
                <w:color w:val="auto"/>
              </w:rPr>
            </w:pPr>
          </w:p>
        </w:tc>
        <w:tc>
          <w:tcPr>
            <w:tcW w:w="12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2"/>
                <w:szCs w:val="12"/>
                <w:color w:val="auto"/>
              </w:rPr>
            </w:pPr>
          </w:p>
        </w:tc>
        <w:tc>
          <w:tcPr>
            <w:tcW w:w="880" w:type="dxa"/>
            <w:vAlign w:val="bottom"/>
            <w:gridSpan w:val="2"/>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115,695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434,195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19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(256,800)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(229,103)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1,735</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Series E redeemable convertible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net of issuance costs of $12</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14,582</w:t>
            </w:r>
          </w:p>
        </w:tc>
        <w:tc>
          <w:tcPr>
            <w:tcW w:w="20" w:type="dxa"/>
            <w:vAlign w:val="bottom"/>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(72,518)</w:t>
            </w: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118,129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448,777</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21</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(329,318)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(293,172)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Series A redeemable convertible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upon exercise of warrants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8,816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118,219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449,034</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22,165</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7"/>
              </w:rPr>
              <w:t>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(396,829)</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4"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0"/>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60" w:type="dxa"/>
            <w:vAlign w:val="bottom"/>
            <w:tcBorders>
              <w:top w:val="single" w:sz="8" w:color="auto"/>
            </w:tcBorders>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2022    </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2023    </w:t>
            </w:r>
          </w:p>
        </w:tc>
        <w:tc>
          <w:tcPr>
            <w:tcW w:w="10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91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(72,518)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(67,511)</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4,448</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8,740</w:t>
            </w:r>
          </w:p>
        </w:tc>
      </w:tr>
      <w:tr>
        <w:trPr>
          <w:trHeight w:val="201"/>
        </w:trPr>
        <w:tc>
          <w:tcPr>
            <w:tcW w:w="20" w:type="dxa"/>
            <w:vAlign w:val="bottom"/>
          </w:tcPr>
          <w:p>
            <w:pPr>
              <w:spacing w:after="0"/>
              <w:rPr>
                <w:sz w:val="17"/>
                <w:szCs w:val="17"/>
                <w:color w:val="auto"/>
              </w:rPr>
            </w:pPr>
          </w:p>
        </w:tc>
        <w:tc>
          <w:tcPr>
            <w:tcW w:w="9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1,536</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w:t>
            </w:r>
          </w:p>
        </w:tc>
      </w:tr>
      <w:tr>
        <w:trPr>
          <w:trHeight w:val="201"/>
        </w:trPr>
        <w:tc>
          <w:tcPr>
            <w:tcW w:w="20" w:type="dxa"/>
            <w:vAlign w:val="bottom"/>
          </w:tcPr>
          <w:p>
            <w:pPr>
              <w:spacing w:after="0"/>
              <w:rPr>
                <w:sz w:val="17"/>
                <w:szCs w:val="17"/>
                <w:color w:val="auto"/>
              </w:rPr>
            </w:pPr>
          </w:p>
        </w:tc>
        <w:tc>
          <w:tcPr>
            <w:tcW w:w="9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683</w:t>
            </w:r>
          </w:p>
        </w:tc>
      </w:tr>
      <w:tr>
        <w:trPr>
          <w:trHeight w:val="201"/>
        </w:trPr>
        <w:tc>
          <w:tcPr>
            <w:tcW w:w="20" w:type="dxa"/>
            <w:vAlign w:val="bottom"/>
          </w:tcPr>
          <w:p>
            <w:pPr>
              <w:spacing w:after="0"/>
              <w:rPr>
                <w:sz w:val="17"/>
                <w:szCs w:val="17"/>
                <w:color w:val="auto"/>
              </w:rPr>
            </w:pPr>
          </w:p>
        </w:tc>
        <w:tc>
          <w:tcPr>
            <w:tcW w:w="9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1,048</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00"/>
              <w:spacing w:after="0" w:line="201" w:lineRule="exact"/>
              <w:rPr>
                <w:sz w:val="20"/>
                <w:szCs w:val="20"/>
                <w:color w:val="auto"/>
              </w:rPr>
            </w:pPr>
            <w:r>
              <w:rPr>
                <w:rFonts w:ascii="Times New Roman" w:cs="Times New Roman" w:eastAsia="Times New Roman" w:hAnsi="Times New Roman"/>
                <w:sz w:val="15"/>
                <w:szCs w:val="15"/>
                <w:color w:val="auto"/>
              </w:rPr>
              <w:t>Provision for credit losses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452</w:t>
            </w:r>
          </w:p>
        </w:tc>
      </w:tr>
      <w:tr>
        <w:trPr>
          <w:trHeight w:val="201"/>
        </w:trPr>
        <w:tc>
          <w:tcPr>
            <w:tcW w:w="20" w:type="dxa"/>
            <w:vAlign w:val="bottom"/>
          </w:tcPr>
          <w:p>
            <w:pPr>
              <w:spacing w:after="0"/>
              <w:rPr>
                <w:sz w:val="17"/>
                <w:szCs w:val="17"/>
                <w:color w:val="auto"/>
              </w:rPr>
            </w:pPr>
          </w:p>
        </w:tc>
        <w:tc>
          <w:tcPr>
            <w:tcW w:w="9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1,799</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620"/>
              <w:spacing w:after="0" w:line="201" w:lineRule="exact"/>
              <w:rPr>
                <w:sz w:val="20"/>
                <w:szCs w:val="20"/>
                <w:color w:val="auto"/>
              </w:rPr>
            </w:pPr>
            <w:r>
              <w:rPr>
                <w:rFonts w:ascii="Times New Roman" w:cs="Times New Roman" w:eastAsia="Times New Roman" w:hAnsi="Times New Roman"/>
                <w:sz w:val="15"/>
                <w:szCs w:val="15"/>
                <w:color w:val="auto"/>
              </w:rPr>
              <w:t>Accounts receivable</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(5,337)</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r>
      <w:tr>
        <w:trPr>
          <w:trHeight w:val="201"/>
        </w:trPr>
        <w:tc>
          <w:tcPr>
            <w:tcW w:w="20" w:type="dxa"/>
            <w:vAlign w:val="bottom"/>
          </w:tcPr>
          <w:p>
            <w:pPr>
              <w:spacing w:after="0"/>
              <w:rPr>
                <w:sz w:val="17"/>
                <w:szCs w:val="17"/>
                <w:color w:val="auto"/>
              </w:rPr>
            </w:pPr>
          </w:p>
        </w:tc>
        <w:tc>
          <w:tcPr>
            <w:tcW w:w="91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(1,490)</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Deferred commissions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(3,699)</w:t>
            </w:r>
          </w:p>
        </w:tc>
      </w:tr>
      <w:tr>
        <w:trPr>
          <w:trHeight w:val="201"/>
        </w:trPr>
        <w:tc>
          <w:tcPr>
            <w:tcW w:w="20" w:type="dxa"/>
            <w:vAlign w:val="bottom"/>
          </w:tcPr>
          <w:p>
            <w:pPr>
              <w:spacing w:after="0"/>
              <w:rPr>
                <w:sz w:val="17"/>
                <w:szCs w:val="17"/>
                <w:color w:val="auto"/>
              </w:rPr>
            </w:pPr>
          </w:p>
        </w:tc>
        <w:tc>
          <w:tcPr>
            <w:tcW w:w="91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w:t>
            </w:r>
          </w:p>
        </w:tc>
      </w:tr>
      <w:tr>
        <w:trPr>
          <w:trHeight w:val="201"/>
        </w:trPr>
        <w:tc>
          <w:tcPr>
            <w:tcW w:w="20" w:type="dxa"/>
            <w:vAlign w:val="bottom"/>
          </w:tcPr>
          <w:p>
            <w:pPr>
              <w:spacing w:after="0"/>
              <w:rPr>
                <w:sz w:val="17"/>
                <w:szCs w:val="17"/>
                <w:color w:val="auto"/>
              </w:rPr>
            </w:pPr>
          </w:p>
        </w:tc>
        <w:tc>
          <w:tcPr>
            <w:tcW w:w="91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(716)</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620"/>
              <w:spacing w:after="0" w:line="201"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8,342</w:t>
            </w:r>
          </w:p>
        </w:tc>
      </w:tr>
      <w:tr>
        <w:trPr>
          <w:trHeight w:val="201"/>
        </w:trPr>
        <w:tc>
          <w:tcPr>
            <w:tcW w:w="20" w:type="dxa"/>
            <w:vAlign w:val="bottom"/>
          </w:tcPr>
          <w:p>
            <w:pPr>
              <w:spacing w:after="0"/>
              <w:rPr>
                <w:sz w:val="17"/>
                <w:szCs w:val="17"/>
                <w:color w:val="auto"/>
              </w:rPr>
            </w:pPr>
          </w:p>
        </w:tc>
        <w:tc>
          <w:tcPr>
            <w:tcW w:w="9140" w:type="dxa"/>
            <w:vAlign w:val="bottom"/>
          </w:tcPr>
          <w:p>
            <w:pPr>
              <w:ind w:left="620"/>
              <w:spacing w:after="0" w:line="201"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1,442</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r>
      <w:tr>
        <w:trPr>
          <w:trHeight w:val="214"/>
        </w:trPr>
        <w:tc>
          <w:tcPr>
            <w:tcW w:w="20" w:type="dxa"/>
            <w:vAlign w:val="bottom"/>
          </w:tcPr>
          <w:p>
            <w:pPr>
              <w:spacing w:after="0"/>
              <w:rPr>
                <w:sz w:val="18"/>
                <w:szCs w:val="18"/>
                <w:color w:val="auto"/>
              </w:rPr>
            </w:pPr>
          </w:p>
        </w:tc>
        <w:tc>
          <w:tcPr>
            <w:tcW w:w="91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(49,738)</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(416)</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(2,505)</w:t>
            </w:r>
          </w:p>
        </w:tc>
      </w:tr>
      <w:tr>
        <w:trPr>
          <w:trHeight w:val="214"/>
        </w:trPr>
        <w:tc>
          <w:tcPr>
            <w:tcW w:w="20" w:type="dxa"/>
            <w:vAlign w:val="bottom"/>
          </w:tcPr>
          <w:p>
            <w:pPr>
              <w:spacing w:after="0"/>
              <w:rPr>
                <w:sz w:val="18"/>
                <w:szCs w:val="18"/>
                <w:color w:val="auto"/>
              </w:rPr>
            </w:pPr>
          </w:p>
        </w:tc>
        <w:tc>
          <w:tcPr>
            <w:tcW w:w="91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30,963</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long term debt financing</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(30,000)</w:t>
            </w: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(1,805)</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(623)</w:t>
            </w: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Proceeds received from issuance of redeemable convertible preferred stock, net of issuance costs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1,755</w:t>
            </w: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w:t>
            </w:r>
          </w:p>
        </w:tc>
      </w:tr>
      <w:tr>
        <w:trPr>
          <w:trHeight w:val="202"/>
        </w:trPr>
        <w:tc>
          <w:tcPr>
            <w:tcW w:w="9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(52,480)</w:t>
            </w:r>
          </w:p>
        </w:tc>
        <w:tc>
          <w:tcPr>
            <w:tcW w:w="1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168,123</w:t>
            </w:r>
          </w:p>
        </w:tc>
      </w:tr>
      <w:tr>
        <w:trPr>
          <w:trHeight w:val="205"/>
        </w:trPr>
        <w:tc>
          <w:tcPr>
            <w:tcW w:w="9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1" w:lineRule="exact"/>
        <w:rPr>
          <w:sz w:val="20"/>
          <w:szCs w:val="20"/>
          <w:color w:val="auto"/>
        </w:rPr>
      </w:pPr>
    </w:p>
    <w:p>
      <w:pPr>
        <w:ind w:left="600" w:hanging="433"/>
        <w:spacing w:after="0"/>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less than $0.1 million and $0.2 million for the years ended December 31, 2022 and 2023, respectively.</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$2.4 million and $3.8 million for the years ended December 31, 2022 and 2023, respectively.</w:t>
      </w:r>
    </w:p>
    <w:p>
      <w:pPr>
        <w:ind w:left="600" w:hanging="433"/>
        <w:spacing w:after="0" w:line="219" w:lineRule="auto"/>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$0.1 million and $0.5 million for the years ended December 31, 2022 and 2023, respectively.</w:t>
      </w:r>
    </w:p>
    <w:p>
      <w:pPr>
        <w:ind w:left="600" w:hanging="433"/>
        <w:spacing w:after="0"/>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$1.0 million and $2.2 million for the years ended December 31, 2022 and 2023, respectively.</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4"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6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8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80" w:type="dxa"/>
            <w:vAlign w:val="bottom"/>
            <w:tcBorders>
              <w:top w:val="single" w:sz="8" w:color="auto"/>
            </w:tcBorders>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60" w:type="dxa"/>
            <w:vAlign w:val="bottom"/>
          </w:tcPr>
          <w:p>
            <w:pPr>
              <w:spacing w:after="0"/>
              <w:rPr>
                <w:sz w:val="12"/>
                <w:szCs w:val="12"/>
                <w:color w:val="auto"/>
              </w:rPr>
            </w:pPr>
          </w:p>
        </w:tc>
      </w:tr>
      <w:tr>
        <w:trPr>
          <w:trHeight w:val="194"/>
        </w:trPr>
        <w:tc>
          <w:tcPr>
            <w:tcW w:w="82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3,606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60" w:type="dxa"/>
            <w:vAlign w:val="bottom"/>
            <w:shd w:val="clear" w:color="auto" w:fill="CCEEFF"/>
          </w:tcPr>
          <w:p>
            <w:pPr>
              <w:spacing w:after="0"/>
              <w:rPr>
                <w:sz w:val="18"/>
                <w:szCs w:val="18"/>
                <w:color w:val="auto"/>
              </w:rPr>
            </w:pPr>
          </w:p>
        </w:tc>
      </w:tr>
      <w:tr>
        <w:trPr>
          <w:trHeight w:val="21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Unpaid property and equipment included in accounts payable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r>
      <w:tr>
        <w:trPr>
          <w:trHeight w:val="196"/>
        </w:trPr>
        <w:tc>
          <w:tcPr>
            <w:tcW w:w="820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Net share settlement of redeemable convertible preferred stock warrant liability in connection with Series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2"/>
        </w:trPr>
        <w:tc>
          <w:tcPr>
            <w:tcW w:w="8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warrant exercise</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r>
      <w:tr>
        <w:trPr>
          <w:trHeight w:val="214"/>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Unpaid deferred offering costs included in accounts payable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r>
      <w:tr>
        <w:trPr>
          <w:trHeight w:val="214"/>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capitalized in internal-use software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4"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Omada Health, Inc.’s (together with its consolidated professional corporation, the “Company” or “Omada”) mission is to inspire and enable people to make lasting health changes on their own terms. The Company delivers virtual care between doctor’s visits, providing an engaging, personalized, and integrated experience for its members that is designed to improve their health while delivering value for its customers and channel partners, including employers, health plans, health systems, and pharmacy benefits managers (“PBMs”). The Company offers cardiometabolic programs for prediabetes, diabetes, and hypertension; a physical therapy program to address musculoskeletal (“MSK”) conditions; a newly launched glucagon-like peptide-1 agonists (“GLP-1”) Care Track; and behavioral health support across all programs. The Company was incorporated in the State of Delaware in April 2011 and is headquartered in San Francisco, California.</w:t>
      </w:r>
    </w:p>
    <w:p>
      <w:pPr>
        <w:spacing w:after="0" w:line="180" w:lineRule="exact"/>
        <w:rPr>
          <w:sz w:val="20"/>
          <w:szCs w:val="20"/>
          <w:color w:val="auto"/>
        </w:rPr>
      </w:pPr>
    </w:p>
    <w:p>
      <w:pPr>
        <w:ind w:left="600" w:right="7380" w:hanging="433"/>
        <w:spacing w:after="0" w:line="498" w:lineRule="auto"/>
        <w:tabs>
          <w:tab w:leader="none" w:pos="342"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of America (“U.S. GAAP”). The consolidated financial statements include the accounts of Omada Health,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Some jurisdictions have laws that prohibit business entities, such as Omada, from practicing physical therapy, employing physical therapists, exercising control over certain decisions by physical therapists (collectively known as the corporate practice of physical therapy), or engaging in certain arrangements with physical therapists, such as fee-splitting. The Company operates in accordance with these restrictions by holding a variable interest through a long-term management agreement in a professional corporation, which is owned and operated by physical therapists and which engages in provision of physical therapy and contracts with physical therapists and other healthcare practitioners duly licensed to practice and provide physical therapy services and treatment. The most recent long-term management agreement commenced in January 2022, has an initial term of ten years, and is automatically renewable for successive periods of five-year terms unless terminated by either party for cause.</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management agreement is not terminable by the professional corporation during the initial term, except in the case of material breach or bankruptcy of Omada.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 Through the management agreement and the Company’s relationship with the stockholders of the professional corporation, the Company has exclusive authority over all non-medical decision making related to the ongoing business operations of the professional corporation. Based on the provisions of the agreements with the professional corporation, the Company consolidated the VIE at inception, and upon reconsideration events, as the Company is considered the primary beneficiary as the Company has control over the operations of the VIE, provides full financial and management support, and takes all residual benefits and bears all residual losses from its operations. The Company will perform on-going reassessments of the VIE based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4"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on any reconsideration events to reevaluate whether a change to the consolidation conclusion is required each reporting period.</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consolidated balance sheets as of December 31, 2022 and 2023 include assets of the consolidated VIE, which can only be used to settle obligations of the VIE, and liabilities of the consolidated VIE. As of December 31, 2022, after the elimination of intercompany transaction balances, assets of the consolidated VIE totaled $0.7 million, and liabilities of the consolidated VIE totaled $0.9 million. As of December 31, 2023, after the elimination of intercompany transaction balances, assets of the consolidated VIE totaled $1.0 million, and liabilities of the consolidated VIE totaled $1.6 million.</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5"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income and expense during the reporting period. The Company’s significant estimates and assumptions made in the accompanying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the assessment of useful life and recoverability of long-lived assets, the valuation of deferred tax assets, reserves for uncertain tax positions, and the incremental borrowing rate used in the Company’s operating lease calculations.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and is evaluated regularly by the Company’s chief operating decision maker in deciding how to allocate resources and in assessing performance. The chief operating decision maker for the Company is the Chief Executive Officer. The chief operating decision maker reviews financial information on a consolidated basis to make decisions about how to allocate resources and how to measure the Company’s performance. As such, the Company has determined that it has one operating and reportable segment.</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and for the years ended December 31, 2022 and 2023, all of the Company’s long-lived assets were located in the U.S. and all revenue was earned in the U.S.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 and Channel Partners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4"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or revenue as of and for the years ended December 31, 2022 and 2023 were as follows: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3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40"/>
        </w:trPr>
        <w:tc>
          <w:tcPr>
            <w:tcW w:w="514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top w:val="single" w:sz="8" w:color="auto"/>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2400" w:type="dxa"/>
            <w:vAlign w:val="bottom"/>
            <w:tcBorders>
              <w:top w:val="single" w:sz="8" w:color="auto"/>
              <w:bottom w:val="single" w:sz="8" w:color="auto"/>
            </w:tcBorders>
            <w:gridSpan w:val="4"/>
          </w:tcPr>
          <w:p>
            <w:pPr>
              <w:jc w:val="right"/>
              <w:ind w:right="300"/>
              <w:spacing w:after="0" w:line="141" w:lineRule="exact"/>
              <w:rPr>
                <w:sz w:val="20"/>
                <w:szCs w:val="20"/>
                <w:color w:val="auto"/>
              </w:rPr>
            </w:pPr>
            <w:r>
              <w:rPr>
                <w:rFonts w:ascii="Times New Roman" w:cs="Times New Roman" w:eastAsia="Times New Roman" w:hAnsi="Times New Roman"/>
                <w:sz w:val="14"/>
                <w:szCs w:val="14"/>
                <w:b w:val="1"/>
                <w:bCs w:val="1"/>
                <w:color w:val="auto"/>
              </w:rPr>
              <w:t>  Year Ended December 31, </w:t>
            </w:r>
          </w:p>
        </w:tc>
        <w:tc>
          <w:tcPr>
            <w:tcW w:w="200" w:type="dxa"/>
            <w:vAlign w:val="bottom"/>
          </w:tcPr>
          <w:p>
            <w:pPr>
              <w:spacing w:after="0"/>
              <w:rPr>
                <w:sz w:val="12"/>
                <w:szCs w:val="12"/>
                <w:color w:val="auto"/>
              </w:rPr>
            </w:pPr>
          </w:p>
        </w:tc>
      </w:tr>
      <w:tr>
        <w:trPr>
          <w:trHeight w:val="140"/>
        </w:trPr>
        <w:tc>
          <w:tcPr>
            <w:tcW w:w="5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20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A</w:t>
            </w:r>
          </w:p>
        </w:tc>
        <w:tc>
          <w:tcPr>
            <w:tcW w:w="1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3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Partner B</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7645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7" w:lineRule="exact"/>
        <w:rPr>
          <w:sz w:val="20"/>
          <w:szCs w:val="20"/>
          <w:color w:val="auto"/>
        </w:rPr>
      </w:pPr>
    </w:p>
    <w:p>
      <w:pPr>
        <w:ind w:left="600" w:hanging="433"/>
        <w:spacing w:after="0"/>
        <w:tabs>
          <w:tab w:leader="none" w:pos="6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less than 10%</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Partner A and Partner B are each affiliates of The Cigna Group (refer to Note 13 for additional information).</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Supply Risk</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Company’s hardware consists primarily of finished goods that are sourced from various vendors. Additionally, the Company utilizes a limited number of suppliers to provide the data connectivity for its connected devices. Quality, performance, or connectivity failures of the products or changes in the vendors’ financial or business condition could disrupt the Company’s ability to supply quality products to its members and thereby have a material adverse impact on its business, financial condition, and results of operations.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Cash and cash equivalents consist of cash on deposit in banks and highly liquid investments, including money market funds, purchased with an original maturity of three months or less.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Level 1 inputs: Quoted prices for identical assets and liabilities in active markets.</w:t>
      </w:r>
    </w:p>
    <w:p>
      <w:pPr>
        <w:spacing w:after="0" w:line="114" w:lineRule="exact"/>
        <w:rPr>
          <w:sz w:val="20"/>
          <w:szCs w:val="20"/>
          <w:color w:val="auto"/>
        </w:rPr>
      </w:pPr>
    </w:p>
    <w:p>
      <w:pPr>
        <w:ind w:left="1140"/>
        <w:spacing w:after="0" w:line="278" w:lineRule="auto"/>
        <w:rPr>
          <w:sz w:val="20"/>
          <w:szCs w:val="20"/>
          <w:color w:val="auto"/>
        </w:rPr>
      </w:pPr>
      <w:r>
        <w:rPr>
          <w:rFonts w:ascii="Times New Roman" w:cs="Times New Roman" w:eastAsia="Times New Roman" w:hAnsi="Times New Roman"/>
          <w:sz w:val="18"/>
          <w:szCs w:val="18"/>
          <w:color w:val="auto"/>
        </w:rPr>
        <w:t>Level 2 inputs: Assets and liabilities based on observable market data for similar instruments, such as quoted prices for similar assets or liabilities or other inputs that are observable or can be corroborated by observable market data.</w:t>
      </w:r>
    </w:p>
    <w:p>
      <w:pPr>
        <w:spacing w:after="0" w:line="55" w:lineRule="exact"/>
        <w:rPr>
          <w:sz w:val="20"/>
          <w:szCs w:val="20"/>
          <w:color w:val="auto"/>
        </w:rPr>
      </w:pPr>
    </w:p>
    <w:p>
      <w:pPr>
        <w:ind w:left="1140"/>
        <w:spacing w:after="0" w:line="278" w:lineRule="auto"/>
        <w:rPr>
          <w:sz w:val="20"/>
          <w:szCs w:val="20"/>
          <w:color w:val="auto"/>
        </w:rPr>
      </w:pPr>
      <w:r>
        <w:rPr>
          <w:rFonts w:ascii="Times New Roman" w:cs="Times New Roman" w:eastAsia="Times New Roman" w:hAnsi="Times New Roman"/>
          <w:sz w:val="18"/>
          <w:szCs w:val="18"/>
          <w:color w:val="auto"/>
        </w:rPr>
        <w:t>Level 3 inputs: Unobservable inputs reflecting the Company’s assumptions, consistent with reasonably available assumptions made by other market participants. These valuations require judgment.</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minimizes the use of unobservable inputs when measuring fair value.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4"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are uncollateralized and are derived from customers and channel partners within the U.S., most of which are large self-insured enterprises, health plans, or PBMs. Accounts receivable are recorded at the invoiced amount, net of an allowance for credit losses. Accounts receivable includes amounts unbilled related to services provided during the period but not billed until subsequent to period end. To date, the allowance for credit losses and related activity was not material to the consolidated financial statements.</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Company regularly monitors collections and payments from customers and channel partners and maintains an allowance for credit losses for estimated losses resulting from the inability of customers or channel partners to make required payments. Prior to the Company’s adoption of Accounting Standards Update (“ASU”) 2016-13, Measurement of Credit Losses on Financial Instruments (“Topic 326”) during the year ended December 31, 2023, management estimated its allowance for credit losses by considering factors such as historical credit loss experience and current conditions, such as the length of time accounts receivable are past due, customer and channel partner payment histories, and any specific customer or channel partner collection issues identified. Subsequent to the Company’s adoption of Topic 326, management has expanded its approach and estimates its allowance for credit losses by considering the above factors, current market conditions which may affect customer or channel partner financial condition, and reasonable and supportable forecasts of future credit losses. The Company writes off accounts receivable against the allowance when management determines a balance is uncollectible and no longer actively pursues collection of the receivable.</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Inventory consists of purchased connected third-party devices, including scales and blood pressure monitors. Inventory is stated at the lower-of-cost or net realizable value. Inventory cost is determined on a weighted-average cost method, which approximates the actual cost on a first-in first-out basis. Net realizable value is the estimated selling price of the Company’s products in the ordinary course of business, less reasonably predictable costs of disposal and transportation. The carrying value of inventory is reduced for estimated excess and obsolete inventory. Excess and obsolete inventory reductions are determined based on assumptions about market and economic conditions, technology changes, new product introductions, and changes in strategic direction and are included in hardware cost of revenue in the accompanying consolidated statements of operations and comprehensive loss.</w:t>
      </w:r>
    </w:p>
    <w:p>
      <w:pPr>
        <w:spacing w:after="0" w:line="3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5"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expense is recorded on a straight-line basis over the estimated useful lives of the respective assets, which is generally three years. Leasehold improvements are depreciated over the shorter of the estimated useful lives of the assets or the lease term.</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Costs related to software acquired, developed, or modified solely to meet the Company’s internal requirements, with no substantive plans to market such software at the time of development, and costs related to development of web-based products are capitalized. Costs incurred during the preliminary planning and evaluation stage of the project and during the post-implementation operational stage are expensed as incurred. Costs incurred during the application development stage of the project are capitalized. Capitalized internal-use software costs are amortized on a straight-line basis over an expected useful life of three years and are included in property and equipment, net, on the consolidated balance sheets. For the years ended December 31, 2022 and 2023, the Company capitalized $2.1 million and $2.6 million, respectively, for software acquired, developed, and modified to meet internal requirements. Amortization expense related to capitalized internal-use software was $1.5 million and $1.7 million during the years ended December 31, 2022 and 2023, respectively.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4"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which requires the acquired assets, including separately identifiable intangible assets, and assumed liabilities to be recorded as of the acquisition date at their respective estimated fair values. Any excess of the purchase price over the fair value of the assets acquired, including separately identifiable intangible assets and liabilities assumed, is recorded as goodwill.</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Long-Lived Assets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assets of businesses acquired in a business combination. Goodwill amounts are not amortized. Goodwill is tested for impairment annually on the last day of each fiscal year or whenever events or changes in circumstances indicate the carrying amount of goodwill may not be recoverable. The Company operates as a single operating segment which is deemed to be its only reporting unit.</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Management has the option to first perform a qualitative assessment to determine whether it is more likely than not that the fair value of the Company is less than the carrying amount, including goodwill. If it is determined that it is more likely than not that the fair value of the Company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 The Company also has the option to bypass the qualitative assessment and perform the quantitative assessment. No goodwill impairments were recorded in the years ended December 31, 2022 and 2023.</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right-of-use assets, and finite-lived intangible assets subject to amortization are reviewed for impairment whenever events or changes in circumstances indicate that the carrying amount of such assets may not be recoverable. Recoverability of assets to be held and used is measured by comparing the carrying amount to the estimated undiscounted future cash flows expected to be generated. If the carrying amount exceeds the undiscounted cash flows, an impairment charge is recognized as the amount by which the carrying amount exceeds its fair value. Intangible assets with finite lives are amortized on a straight-line basis over their estimated useful lives. No long-lived assets were determined to be impaired in the years ended December 31, 2022 and 2023.</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Company determines at contract inception whether an arrangement is a lease based on its ability to control a physically distinct asset and determines the classification of the lease as either operating or finance. The Company’s operating lease right-of-use (“ROU”) assets represent the Company’s right to use an underlying asset for the lease term, and lease liabilities represent the Company’s obligation to make lease payments related to the lease. The Company has elected to account for lease and non-lease components as a single lease component and also elected not to recognize operating lease ROU assets and operating lease liabilities for leases with an initial term of twelve months or less. The Company does not have any finance leases. Operating lease ROU assets and liabilities are recognized at the commencement date based on the present value of future minimum lease payments over the lease term. Operating lease ROU assets also include any initial direct costs and prepayments less lease incentives. As the Company’s leases do not provide an implicit rate, the Company uses its collateralized incremental borrowing rate based on the information available at the lease commencement date, including lease term, in determining the present value of lease payments.</w:t>
      </w:r>
    </w:p>
    <w:p>
      <w:pPr>
        <w:spacing w:after="0" w:line="19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the Company is reasonably certain that it will exercise the option. Lease expense is recognized on a straight-line basis over the lease term in the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4"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consolidated statement of operations and comprehensive loss. Certain lease agreements may contain variable costs such as utilities and common area maintenance. Variable lease costs are expensed when the cost is incurred.</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Company records shares of redeemable convertible preferred stock at their respective fair values on the dates of issuance, net of issuance costs. The redeemable convertible preferred stock is recorded outside of permanent equity because while it is not mandatorily redeemable, redemption is contingent upon the occurrence of certain events that are not solely within the Company’s control.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of the carrying values to the liquidation preferences will be made only when it becomes probable that such a deemed liquidation event will occur.</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and Common Stock Warrants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Accounting Standards Codification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has issued redeemable convertible preferred stock and common stock warrants which are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on the consolidated balance sheets because the redeemable convertible preferred stock warrants are freestanding financial instruments that may require the Company to transfer assets upon exercise, and the common stock warrants contain a term that may require adjustment to the exercise price. The liability associated with each of these warrants was initially recorded at fair value upon the issuance date of each warrant and is subsequently remeasured to fair value at each reporting date. Changes in the fair value of the warrant liabilities are recognized in the consolidated statements of operations and comprehensive loss. The warrant fair values will continue to be adjusted until the earlier of the expiration or exercise of the warrants.</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Company uses the Black-Scholes option-pricing model, which incorporates assumptions and estimates, to value the redeemable convertible preferred stock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the Company does not anticipate paying any cash dividends in the foreseeable future.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relating to the Company’s planned initial public offering (“IPO”) are capitalized within other long-term assets on the consolidated balance sheets. The deferred offering costs will be offset against the proceeds received by the Company upon the closing of the planned IPO. In the event the planned IPO is terminated, all of the deferred offering costs will be expensed within operating loss. The Company deferred less than $0.1 million and $0.1 million of planned IPO costs as of December 31, 2022 and 2023, respectively.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of loss can be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4"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reasonably estimated.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incurred in connection with loss contingencies are expensed as incurred.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and services in an amount that reflects the consideration it expects to be entitled to receive in exchange for those goods and services. Under ASC 606, Revenue from Contracts with Customers (“ASC 606”),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Company’s customers are entities that have contracted with the Company, or through a channel partner of the Company, to offer one or more Omada virtual care programs. Individuals generally enroll in Omada programs through their employer and/or channel partners that have contracted with Omada. These individuals, referred to as members, generate a billable event as a result of their engagement with the program. The combination of the member, employer, and, in certain cases, an additional party providing insurance coverage represents the Company’s customer. The Company generates service revenue by providing access to virtual care programs in which care teams implement clinically validated behavior change protocols for individuals living with cardiometabolic or MSK conditions over the term of the program. Cardiometabolic programs are supported by one or more connected third-party devices (“hardware”) which are provided to the member upon enrollment in the programs. The Company sells to its customers through its direct sales force and through its channel partners, including health plans, PBMs, and other resellers, who sell or assist the Company in selling to their own customers. Sales to customers through channel partners are evaluated to determine whether the Company is the principal in the transaction.</w:t>
      </w:r>
    </w:p>
    <w:p>
      <w:pPr>
        <w:spacing w:after="0" w:line="18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Company’s agreements typically provide a termination for convenience by either party, with a notice period generally ranging from 30 to 180 days. The Company typically bills for its services monthly, in arrears, and the transaction price is net of sales tax collected.</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For cardiometabolic programs, the transaction price includes monthly fees which are either activity-, outcome- or milestone-based fees, as applicable, for the respective member service period and may include an upfront enrollment fee. Variable consideration related to the activity-milestone-, and outcome-based fees are estimated at contract inception and included in the transaction price for the non-cancelable term, to the extent a significant reversal in revenue will not occur when the uncertainty is resolved. For Omada’s MSK program, the transaction price generally includes a fixed, upfront consultation fee and an additional fee for members that opt-in to a physical therapist-guided treatment plan.</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Company determines SSP based on observable, if available, prices for those related services when sold separately. When such observable prices are not available, the Company determines SSP based on information such as pricing objectives and strategies, taking into consideration market conditions and other factors, including customer size, volume purchased, market and industry conditions, product-specific factors, and historical sales of the deliverables.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4"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Service revenue is recognized over time during the non-cancelable term as access to the program is provided.</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Hardware revenue is recognized when control transfers, which is generally upon shipment to the member.</w:t>
      </w:r>
    </w:p>
    <w:p>
      <w:pPr>
        <w:spacing w:after="0" w:line="221"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Contracts containing upfront enrollment fees generally contain a material right related to the discounted renewal option. The allocated value is recognized upon exercise over the estimated benefit period, which is typically twelve months.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MSK consultation services are generally recognized when the services are delivered.</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Shipping and handling fees are included in cost of revenue and are recognized as activities to fulfill the promise to transfer the good.</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Company applies the practical expedient to not disclose the value of unsatisfied performance obligations for contracts with an original expected length of one year or less.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2022 and 2023, the Company’s future performance obligations beyond one year were not material.</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transferred to accounts receivable, net when the rights become unconditional. As of December 31, 2022 and 2023, the Company had $0.2 million and $0.1 million short-term contract assets, respectively, and is included in prepaid expenses and other current assets on the consolidated balance sheets.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Sales commissions are generally considered incremental and recoverable costs of obtaining a contract with a customer or channel partner. Capitalized commissions are amortized based on the transfer of goods or services to which they relate, typically over five years. The Company determined the period of benefit by taking into consideration the terms of contracts with customers and channel partners, contract renewal rates, its technology, and other factors. Amortization of deferred commissions is recorded as sales and marketing expense in the consolidated statements of operations and comprehensive loss.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Deferred commissions as of December 31, 2022 and 2023 were $6.7 million and $8.6 million, respectively, consisting of costs to obtain contracts net of accumulated amortization. The Company recorded amortization expense for deferred commissions of $1.4 million and $1.8 million during the years ended December 31, 2022 and 2023, respectively.</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December 31, 2022 and 2023, deferred revenue was classified as a current liability based on the anticipated recognition period of twelve months or less.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4"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is presented below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60" w:type="dxa"/>
            <w:vAlign w:val="bottom"/>
            <w:tcBorders>
              <w:top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the beginning balance</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contracts invoiced during the period</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(77,527)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(109,341)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90,970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13,443</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to or closely correlated to the delivery of our virtual care programs and member support. Cost of services revenue include salaries, share-based compensation expense, employee bonus and benefits, data server management expense, hosting costs, connectivity fees for cellular devices, and the amortization of capitalized internal-use software and developed technology. Costs of hardware include salaries, share-based compensation expense, employee bonuses and benefits, equipment costs, shipping and logistics costs, and provisions for excess and obsolete inventory.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Research and development costs consist of costs incurred in performing research and development activities and include salaries, share-based compensation expense, employee bonus and benefits, hosting costs, and allocation of shared general corporate expenses primarily related to technology. Research and development costs are expensed as incurred.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of personnel costs including salaries, share-based compensation expense, employee bonuses and benefits, commissions for the Company’s sales and marketing teams, reseller fees, promotional marketing materials, and advertising costs. Sales and marketing expenses also include costs for third-party consulting services and the allocation of shared general corporate expenses primarily related to technology. Advertising costs are expensed as incurred and are included in sales and marketing expense in the accompanying consolidated statements of operations and comprehensive loss. Advertising costs during the years ended December 31, 2022 and 2023 were $0.7 million and $0.8 million, respectively.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including salaries, share-based compensation expense, employee bonuses and benefits related to the Company’s finance, legal, compliance, human resources, and administrative teams, software and infrastructure costs, professional fees, and the allocation of shared general corporate expenses primarily related to technology.</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5"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The Company measures compensation expense for all share-based awards based on the estimated fair value of the award on the grant date. The Company’s equity incentive plan provides for the granting of stock options, restricted stock units, and restricted stock awards to employees, consultants, officers, and directors. Share-based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4"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period during which an employee is required to provide services in exchange for the award (generally the vesting period of the award). The Company determines the fair value of stock options issued to employees on the date of grant using the Black-Scholes option pricing model which is impacted by the estimated fair value of the Company’s common stock, as well as changes in assumptions regarding a number of highly complex and subjective variables. These variables are summarized as follows:</w:t>
      </w:r>
    </w:p>
    <w:p>
      <w:pPr>
        <w:spacing w:after="0" w:line="17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Due to the absence of an active market for the Company’s common stock, the fair value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the Company’s share-based awards is determined by the Company’s board of directors, with input from management and the assistance of a third-party valuation firm. Because there is no public market for the Company’s stock, the independent third-party valuations have generally been performed annually in accordance with the guidance outlined in the AICPA Practice Aid, Valuation of Privately-Held Company Equity Securities Issued as compensation (“AICPA’s Practice Aid”). In conducting the valuations, the independent third-party valuation specialist considered all objective and subjective factors that it believed to be relevant for each valuation conducted in accordance with AICPA’s Practice Aid, including the price paid by investors for the Company’s common and redeemable convertible preferred stock, actual and forecasted operating and financial performance, market conditions, performance of comparable publicly-traded companies and transactions of comparable companies, developments and milestones within the Company, the rights, preferences, and privileges of the Company’s common and redeemable convertible preferred stock, and the likelihood and timing of achieving a liquidity event.</w:t>
      </w:r>
    </w:p>
    <w:p>
      <w:pPr>
        <w:spacing w:after="0" w:line="19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determining the fair value of the Company’s common stock, the fair value of the Company’s business was determined using various valuation methods, including combinations of the income approach (discounted cash flow method) and the market approach (public company market-multiple method) with input from the Company. The income approach involves applying an appropriate risk-adjusted discount rate to projected cash flows based on forecasted revenue and costs. The market approach estimates value based on a comparison of the Company to comparable public companies in a similar line of business. From the comparable companies, a representative market-value multiple was determined, which was applied to the Company’s operating results to estimate the enterprise value of the Company.</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Once the enterprise value was determined under the market approach, the Company derived the equity value of the Company and used the option-pricing model to allocate that value across the various classes of securities to arrive at the fair value of the common stock.</w:t>
      </w:r>
    </w:p>
    <w:p>
      <w:pPr>
        <w:spacing w:after="0" w:line="16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a measure of the amount by which the stock price is expected to fluctuate. Since the Company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trading history of its common stock, it estimates the expected volatility of its stock options at their grant date by taking the weighted-average historical volatility of a group of comparable publicly traded companies over a period equal to the expected life of the options.</w:t>
      </w:r>
    </w:p>
    <w:p>
      <w:pPr>
        <w:spacing w:after="0" w:line="173"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Expected term represents the period over which the Company anticipates share-based awards to be outstanding. For awards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standard 90-day exercise period, the Company uses the simplified method to calculate the expected term estimate based on the options’ vesting term and contractual terms. Under the simplified method, the expected life is equal to the average of the share-based award’s weighted-average vesting period and its contractual term. For those awards with an extended post-termination exercise period, the Company calculates the expected term based on the options’ vesting term, tenure of the employee upon grant, and contractual terms.</w:t>
      </w:r>
    </w:p>
    <w:p>
      <w:pPr>
        <w:spacing w:after="0" w:line="180"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used is based on the implied yield in effect at the time of grant of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the expected term of the stock options.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4"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7"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dividend yield is zero as the Company has not declared or paid any dividends to date and does not currently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 so in the future.</w:t>
      </w:r>
    </w:p>
    <w:p>
      <w:pPr>
        <w:spacing w:after="0" w:line="16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accounts for forfeitures when they occur. For share-based awards that are modified, a modification of the terms of a share-based award is treated as an exchange of the original award for a new award with total compensation cost equal to the grant-date fair value of the original award plus any incremental value of the modification to the award.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during a period from transactions and other events and circumstances from non-owner sources. Comprehensive loss includes net loss as well as other changes in stockholders’ deficit which includes certain changes in equity that are excluded from net loss. To date, the Company has not had any transactions that are required to be reported in comprehensive loss other than the net loss incurred from operations. For the years ended December 31, 2022 and 2023, there was no difference between comprehensive loss and net loss.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Company is subject to income taxes in the U.S. Significant judgment is required in determining the Company’s provision for income taxes and income tax assets and liabilities, including evaluating uncertainties in the application of accounting principles and complex tax laws.</w:t>
      </w:r>
    </w:p>
    <w:p>
      <w:pPr>
        <w:spacing w:after="0" w:line="16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Current income tax expense or benefit represents the amount of income taxes expected to be payable or refundable for the current year. Under this method, deferred income tax assets and liabilities are determined based on differences between the financial statement reporting and tax bases of assets and liabilities and net operating loss and credit carryforwards.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740-10, Accounting for Uncertainty in Income Taxes. The Company recognizes the tax effects of an uncertain tax position only if such position is more likely than not to be sustained based solely on its technical merits as of the reporting date and only in an amount more likely than not to be sustained upon review by the tax authorities.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under its ASC or other standard-setting bodies.</w:t>
      </w:r>
    </w:p>
    <w:p>
      <w:pPr>
        <w:spacing w:after="0" w:line="162" w:lineRule="exact"/>
        <w:rPr>
          <w:sz w:val="20"/>
          <w:szCs w:val="20"/>
          <w:color w:val="auto"/>
        </w:rPr>
      </w:pPr>
    </w:p>
    <w:p>
      <w:pPr>
        <w:jc w:val="both"/>
        <w:ind w:left="160" w:firstLine="436"/>
        <w:spacing w:after="0" w:line="271"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4" w:right="4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June 2016, the FASB issued Topic 326, which replaced the existing model for measuring the allowance for credit losses for financial assets measured at amortized cost (including accounts receivable) to a model that is based on the expected losses rather than incurred losses. Under the new credit loss model, lifetime expected credit losses on such financial assets are measured and recognized at each reporting date based on historical, current, and forecasted information. The Company adopted Topic 326 for the year ended December 31, 2023 using a modified-retrospective approach. The impact upon adoption was not material to the Company’s consolidated financial statements.</w:t>
      </w:r>
    </w:p>
    <w:p>
      <w:pPr>
        <w:spacing w:after="0" w:line="184"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 removing certain separation models in Subtopic 470-20, Debt—Debt with Conversion and Other Options, for convertible instruments and also increases information transparency by making disclosure amendments. The convertible debt instruments will be accounted for as a single liability measured at amortized cost. This will also result in the interest expense recognized for convertible debt instruments to be typically closer to the coupon interest rate when applying the guidance in Topic 835, Interest. Further, ASU 2020-06 made amendments to the earnings per share (“EPS”) guidance in Topic 260 for convertible instruments, the most significant impact of which is requiring the use of the if-converted method for diluted EPS calculation, and no longer allowing the net share settlement method. The standard is effective for private companies for fiscal years beginning after December 15, 2023, including interim periods within those fiscal years. Early adoption is permitted. The Company has adopted the standard effective January 1, 2022, which did not have a material impact on the consolidated financial statements.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5"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(“ASU 2023-07”), to improve the disclosures about a public entity’s reportable segments and address requests from investors for additional disclosures and more detailed information about a reportable segment’s expenses. These new requirements include: disclosure of significant segment expenses regularly reviewed by the Chief Operating Decision Maker (“CODM”), the title and position of the CODM including an explanation of how the CODM uses the reported measures of segment profit or loss in assessing segment performance and deciding how to allocate resources, the extension of certain annual disclosures to interim periods, and permitting the disclosure of multiple measures of segment profit or loss, provided that certain criteria are met. ASU 2023-07 also clarifies that entities with a single reportable segment are subject to new and existing segment reporting requirements. ASU 2023-07 does not change how a public entity identifies its operating segments, aggregates them, or applies the quantitative thresholds to determine its reportable segments. ASU 2023-07 will be effective for fiscal years beginning after December 15, 2023 and interim periods within fiscal years beginning after December 15, 2024. Early adoption is permitted. ASU 2023-07 is applied retrospectively and to all prior periods presented in the consolidated financial statements. As the Company operates a single reportable segment, ASU 2023-07 will require that the Company provide disclosure around the measures of segment profit or loss, assets, and significant segment expenses reviewed by the CODM in assessing segment performance and deciding how to allocate resources. ASU 2023-07 is not expected to have a material impact on the Company’s financial position or results of operations.</w:t>
      </w:r>
    </w:p>
    <w:p>
      <w:pPr>
        <w:spacing w:after="0" w:line="17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disaggregated information about a reporting entity’s effective tax rate reconciliation as well as information on income taxes paid. The updates in this ASU may be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80"/>
          </w:cols>
          <w:pgMar w:left="320" w:top="454" w:right="4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applied on a prospective or retrospective application basis and are effective for annual periods beginning after December 15, 2025. Early adoption is permitted. The Company is currently evaluating the impact of the new standard on its consolidated financial statements.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based on the fair value hierarchy as follows (in thousands):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14"/>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167,968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167,968</w:t>
            </w:r>
          </w:p>
        </w:tc>
      </w:tr>
      <w:tr>
        <w:trPr>
          <w:trHeight w:val="227"/>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167,968</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6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5"/>
              </w:rPr>
              <w:t>   1,679</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1,679</w:t>
            </w: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1,679</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1,679</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14"/>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43,565</w:t>
            </w:r>
          </w:p>
        </w:tc>
        <w:tc>
          <w:tcPr>
            <w:tcW w:w="4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43,565</w:t>
            </w:r>
          </w:p>
        </w:tc>
      </w:tr>
      <w:tr>
        <w:trPr>
          <w:trHeight w:val="227"/>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6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2,470</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2,470</w:t>
            </w: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2,470</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2,470</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6 and Note 11 for additional information). The fair values of the outstanding warrants are measured using the Black-Scholes option-pricing model. Inputs used to determine estimated fair value include the estimated fair value of the underlying stock at the valuation measurement date, the remaining contractual term of the warrants, risk-free interest rates, expected dividends, and the expected volatility of the underlying stock.</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quantitative information regarding Level 3 fair value measurements of the warrant liabilities: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506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40" w:type="dxa"/>
            <w:vAlign w:val="bottom"/>
            <w:gridSpan w:val="2"/>
          </w:tcPr>
          <w:p>
            <w:pPr>
              <w:jc w:val="right"/>
              <w:ind w:right="600"/>
              <w:spacing w:after="0" w:line="141" w:lineRule="exact"/>
              <w:rPr>
                <w:sz w:val="20"/>
                <w:szCs w:val="20"/>
                <w:color w:val="auto"/>
              </w:rPr>
            </w:pPr>
            <w:r>
              <w:rPr>
                <w:rFonts w:ascii="Times New Roman" w:cs="Times New Roman" w:eastAsia="Times New Roman" w:hAnsi="Times New Roman"/>
                <w:sz w:val="14"/>
                <w:szCs w:val="14"/>
                <w:b w:val="1"/>
                <w:bCs w:val="1"/>
                <w:color w:val="auto"/>
                <w:w w:val="81"/>
              </w:rPr>
              <w:t>Series A </w:t>
            </w:r>
          </w:p>
        </w:tc>
        <w:tc>
          <w:tcPr>
            <w:tcW w:w="34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80" w:type="dxa"/>
            <w:vAlign w:val="bottom"/>
            <w:gridSpan w:val="2"/>
          </w:tcPr>
          <w:p>
            <w:pPr>
              <w:jc w:val="right"/>
              <w:ind w:right="920"/>
              <w:spacing w:after="0" w:line="141" w:lineRule="exact"/>
              <w:rPr>
                <w:sz w:val="20"/>
                <w:szCs w:val="20"/>
                <w:color w:val="auto"/>
              </w:rPr>
            </w:pPr>
            <w:r>
              <w:rPr>
                <w:rFonts w:ascii="Times New Roman" w:cs="Times New Roman" w:eastAsia="Times New Roman" w:hAnsi="Times New Roman"/>
                <w:sz w:val="14"/>
                <w:szCs w:val="14"/>
                <w:b w:val="1"/>
                <w:bCs w:val="1"/>
                <w:color w:val="auto"/>
                <w:w w:val="86"/>
              </w:rPr>
              <w:t>Series B </w:t>
            </w: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80" w:type="dxa"/>
            <w:vAlign w:val="bottom"/>
            <w:gridSpan w:val="2"/>
          </w:tcPr>
          <w:p>
            <w:pPr>
              <w:jc w:val="right"/>
              <w:ind w:right="9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Series D </w:t>
            </w: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200" w:type="dxa"/>
            <w:vAlign w:val="bottom"/>
          </w:tcPr>
          <w:p>
            <w:pPr>
              <w:spacing w:after="0"/>
              <w:rPr>
                <w:sz w:val="12"/>
                <w:szCs w:val="12"/>
                <w:color w:val="auto"/>
              </w:rPr>
            </w:pPr>
          </w:p>
        </w:tc>
      </w:tr>
      <w:tr>
        <w:trPr>
          <w:trHeight w:val="207"/>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0.53</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r>
      <w:tr>
        <w:trPr>
          <w:trHeight w:val="21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r>
      <w:tr>
        <w:trPr>
          <w:trHeight w:val="21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3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343"/>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F-20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40" w:type="dxa"/>
            <w:vAlign w:val="bottom"/>
            <w:gridSpan w:val="2"/>
          </w:tcPr>
          <w:p>
            <w:pPr>
              <w:jc w:val="right"/>
              <w:ind w:right="580"/>
              <w:spacing w:after="0" w:line="141" w:lineRule="exact"/>
              <w:rPr>
                <w:sz w:val="20"/>
                <w:szCs w:val="20"/>
                <w:color w:val="auto"/>
              </w:rPr>
            </w:pPr>
            <w:r>
              <w:rPr>
                <w:rFonts w:ascii="Times New Roman" w:cs="Times New Roman" w:eastAsia="Times New Roman" w:hAnsi="Times New Roman"/>
                <w:sz w:val="14"/>
                <w:szCs w:val="14"/>
                <w:b w:val="1"/>
                <w:bCs w:val="1"/>
                <w:color w:val="auto"/>
                <w:w w:val="86"/>
              </w:rPr>
              <w:t>Series B </w:t>
            </w:r>
          </w:p>
        </w:tc>
        <w:tc>
          <w:tcPr>
            <w:tcW w:w="420" w:type="dxa"/>
            <w:vAlign w:val="bottom"/>
          </w:tcPr>
          <w:p>
            <w:pPr>
              <w:spacing w:after="0"/>
              <w:rPr>
                <w:sz w:val="12"/>
                <w:szCs w:val="12"/>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1"/>
                <w:szCs w:val="1"/>
                <w:b w:val="1"/>
                <w:bCs w:val="1"/>
                <w:color w:val="auto"/>
                <w:w w:val="4294967291"/>
              </w:rPr>
              <w:t> </w:t>
            </w:r>
          </w:p>
        </w:tc>
        <w:tc>
          <w:tcPr>
            <w:tcW w:w="1560" w:type="dxa"/>
            <w:vAlign w:val="bottom"/>
            <w:gridSpan w:val="2"/>
          </w:tcPr>
          <w:p>
            <w:pPr>
              <w:jc w:val="right"/>
              <w:ind w:right="980"/>
              <w:spacing w:after="0" w:line="141" w:lineRule="exact"/>
              <w:rPr>
                <w:sz w:val="20"/>
                <w:szCs w:val="20"/>
                <w:color w:val="auto"/>
              </w:rPr>
            </w:pPr>
            <w:r>
              <w:rPr>
                <w:rFonts w:ascii="Times New Roman" w:cs="Times New Roman" w:eastAsia="Times New Roman" w:hAnsi="Times New Roman"/>
                <w:sz w:val="14"/>
                <w:szCs w:val="14"/>
                <w:b w:val="1"/>
                <w:bCs w:val="1"/>
                <w:color w:val="auto"/>
                <w:w w:val="88"/>
              </w:rPr>
              <w:t>Series D </w:t>
            </w:r>
          </w:p>
        </w:tc>
        <w:tc>
          <w:tcPr>
            <w:tcW w:w="86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3"/>
              </w:rPr>
              <w:t>   Common 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2.67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5.04</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3.86%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Level 3 liabilities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3,510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warrant liability</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8"/>
              </w:rPr>
              <w:t>(1,831)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1,679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warrant liability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1,048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exercise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1"/>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3"/>
              </w:rPr>
              <w:t>2,470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 During the years ended December 31, 2022 and 2023, the Company had no transfers of financial assets or liabilities between levels of the fair value hierarchy.</w:t>
      </w:r>
    </w:p>
    <w:p>
      <w:pPr>
        <w:spacing w:after="0" w:line="171" w:lineRule="exact"/>
        <w:rPr>
          <w:sz w:val="20"/>
          <w:szCs w:val="20"/>
          <w:color w:val="auto"/>
        </w:rPr>
      </w:pPr>
    </w:p>
    <w:p>
      <w:pPr>
        <w:ind w:left="600" w:right="8360" w:hanging="433"/>
        <w:spacing w:after="0" w:line="498" w:lineRule="auto"/>
        <w:tabs>
          <w:tab w:leader="none" w:pos="342"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As of December 31, 2022 and 2023, goodwill was $13.2 million. No goodwill impairments were recorded during the years ended December 31, 2022 and 2023.</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Intangible assets with finite lives consisted of the following as of December 31, 2022 and 2023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license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r>
      <w:tr>
        <w:trPr>
          <w:trHeight w:val="221"/>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12,288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13,958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13,808</w:t>
            </w:r>
          </w:p>
        </w:tc>
      </w:tr>
      <w:tr>
        <w:trPr>
          <w:trHeight w:val="22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(5,644)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(7,538)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6,270</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Amortization expense of intangible assets was $2.1 million and $2.0 million during the years ended December 31, 2022 and 2023, respectively. During the year ended December 31, 2023, the Company disposed of the fully amortized product license, and no loss was recognized upon disposal. The weighted-average remaining useful life of the trademarks and the developed technology as of December 31, 2023 is 1.4 years and 3.4 years, respectively. The customer relationships were fully amortized as of December 31, 2023.</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4" w:right="49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07"/>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1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7160" w:type="dxa"/>
            <w:vAlign w:val="bottom"/>
          </w:tcPr>
          <w:p>
            <w:pPr>
              <w:jc w:val="center"/>
              <w:ind w:left="1331"/>
              <w:spacing w:after="0"/>
              <w:rPr>
                <w:sz w:val="20"/>
                <w:szCs w:val="20"/>
                <w:color w:val="auto"/>
              </w:rPr>
            </w:pPr>
            <w:r>
              <w:rPr>
                <w:rFonts w:ascii="Times New Roman" w:cs="Times New Roman" w:eastAsia="Times New Roman" w:hAnsi="Times New Roman"/>
                <w:sz w:val="18"/>
                <w:szCs w:val="18"/>
                <w:b w:val="1"/>
                <w:bCs w:val="1"/>
                <w:color w:val="auto"/>
                <w:w w:val="97"/>
              </w:rPr>
              <w:t>OMADA HEALTH, INC.</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160" w:type="dxa"/>
            <w:vAlign w:val="bottom"/>
          </w:tcPr>
          <w:p>
            <w:pPr>
              <w:jc w:val="center"/>
              <w:ind w:left="1331"/>
              <w:spacing w:after="0"/>
              <w:rPr>
                <w:sz w:val="20"/>
                <w:szCs w:val="20"/>
                <w:color w:val="auto"/>
              </w:rPr>
            </w:pPr>
            <w:r>
              <w:rPr>
                <w:rFonts w:ascii="Times New Roman" w:cs="Times New Roman" w:eastAsia="Times New Roman" w:hAnsi="Times New Roman"/>
                <w:sz w:val="18"/>
                <w:szCs w:val="18"/>
                <w:b w:val="1"/>
                <w:bCs w:val="1"/>
                <w:color w:val="auto"/>
                <w:w w:val="98"/>
              </w:rPr>
              <w:t>NOTES TO THE CONSOLIDATED FINANCIAL STATEMENTS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160" w:type="dxa"/>
            <w:vAlign w:val="bottom"/>
          </w:tcPr>
          <w:p>
            <w:pPr>
              <w:spacing w:after="0"/>
              <w:rPr>
                <w:sz w:val="24"/>
                <w:szCs w:val="24"/>
                <w:color w:val="auto"/>
              </w:rPr>
            </w:pPr>
          </w:p>
        </w:tc>
        <w:tc>
          <w:tcPr>
            <w:tcW w:w="8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Estimated future amortization expense as of December 31, 2023 is as follows (in thousands):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60" w:type="dxa"/>
            <w:vAlign w:val="bottom"/>
            <w:vMerge w:val="restart"/>
          </w:tcPr>
          <w:p>
            <w:pPr>
              <w:spacing w:after="0"/>
              <w:rPr>
                <w:sz w:val="20"/>
                <w:szCs w:val="20"/>
                <w:color w:val="auto"/>
              </w:rPr>
            </w:pPr>
          </w:p>
        </w:tc>
        <w:tc>
          <w:tcPr>
            <w:tcW w:w="11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6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5. Consolidated Balance Sheet Components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85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83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8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1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4"/>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52"/>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Billed accounts receivable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1"/>
        </w:trPr>
        <w:tc>
          <w:tcPr>
            <w:tcW w:w="8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 roll forward of the Company’s allowance for credit losses is as follows (in thousands):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60" w:type="dxa"/>
            <w:vAlign w:val="bottom"/>
          </w:tcPr>
          <w:p>
            <w:pPr>
              <w:spacing w:after="0"/>
              <w:rPr>
                <w:sz w:val="24"/>
                <w:szCs w:val="24"/>
                <w:color w:val="auto"/>
              </w:rPr>
            </w:pPr>
          </w:p>
        </w:tc>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1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420" w:type="dxa"/>
            <w:vAlign w:val="bottom"/>
            <w:tcBorders>
              <w:top w:val="single" w:sz="8" w:color="auto"/>
              <w:bottom w:val="single" w:sz="8" w:color="auto"/>
            </w:tcBorders>
            <w:gridSpan w:val="4"/>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top w:val="single" w:sz="8" w:color="auto"/>
              <w:bottom w:val="single" w:sz="8" w:color="auto"/>
            </w:tcBorders>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76"/>
              </w:rPr>
              <w:t>(343)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and write-offs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w w:val="88"/>
              </w:rPr>
              <w:t>252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w w:val="90"/>
              </w:rPr>
              <w:t>(330</w:t>
            </w:r>
          </w:p>
        </w:tc>
        <w:tc>
          <w:tcPr>
            <w:tcW w:w="340" w:type="dxa"/>
            <w:vAlign w:val="bottom"/>
          </w:tcPr>
          <w:p>
            <w:pPr>
              <w:jc w:val="right"/>
              <w:ind w:right="205"/>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60" w:type="dxa"/>
            <w:vAlign w:val="bottom"/>
          </w:tcPr>
          <w:p>
            <w:pPr>
              <w:spacing w:after="0"/>
              <w:rPr>
                <w:sz w:val="24"/>
                <w:szCs w:val="24"/>
                <w:color w:val="auto"/>
              </w:rPr>
            </w:pPr>
          </w:p>
        </w:tc>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8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1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licenses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21"/>
        </w:trPr>
        <w:tc>
          <w:tcPr>
            <w:tcW w:w="8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   3,594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160" w:type="dxa"/>
            <w:vAlign w:val="bottom"/>
            <w:vMerge w:val="restart"/>
          </w:tcPr>
          <w:p>
            <w:pPr>
              <w:jc w:val="center"/>
              <w:ind w:left="1331"/>
              <w:spacing w:after="0"/>
              <w:rPr>
                <w:sz w:val="20"/>
                <w:szCs w:val="20"/>
                <w:color w:val="auto"/>
              </w:rPr>
            </w:pPr>
            <w:r>
              <w:rPr>
                <w:rFonts w:ascii="Times New Roman" w:cs="Times New Roman" w:eastAsia="Times New Roman" w:hAnsi="Times New Roman"/>
                <w:sz w:val="18"/>
                <w:szCs w:val="18"/>
                <w:color w:val="auto"/>
                <w:w w:val="99"/>
              </w:rPr>
              <w:t>F-22</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41"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Inventory as of December 31, 2022 and 2023 is composed of finished goods inventory. Inventory was $3.5 million and $3.6 million as of December 31, 2022 and 2023, respectively. As of December 31, 2022 and 2023, there was no reserve for excess and obsolete inventory.</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r>
      <w:tr>
        <w:trPr>
          <w:trHeight w:val="214"/>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8,831</w:t>
            </w:r>
          </w:p>
        </w:tc>
      </w:tr>
      <w:tr>
        <w:trPr>
          <w:trHeight w:val="221"/>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12,400</w:t>
            </w:r>
          </w:p>
        </w:tc>
      </w:tr>
      <w:tr>
        <w:trPr>
          <w:trHeight w:val="22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 of $0.7 million and $0.7 million was recognized during the years ended December 31, 2022 and 2023, respectively.</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use taxes</w:t>
            </w: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4,312</w:t>
            </w: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referral and integration fees</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1,545</w:t>
            </w: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 fees</w:t>
            </w: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w:t>
            </w: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connectivity fees</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221"/>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16,155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24,497</w:t>
            </w: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6. Financing Arrangements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financing arrangements consist of the following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 Perceptive</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Term Loan – MidCap</w:t>
            </w:r>
          </w:p>
        </w:tc>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net</w:t>
            </w:r>
          </w:p>
        </w:tc>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28,895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F-23</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Perceptive Credit Agreement</w:t>
      </w:r>
    </w:p>
    <w:p>
      <w:pPr>
        <w:spacing w:after="0" w:line="225" w:lineRule="exact"/>
        <w:rPr>
          <w:sz w:val="20"/>
          <w:szCs w:val="20"/>
          <w:color w:val="auto"/>
        </w:rPr>
      </w:pPr>
    </w:p>
    <w:p>
      <w:pPr>
        <w:jc w:val="both"/>
        <w:ind w:left="160" w:firstLine="436"/>
        <w:spacing w:after="0" w:line="268" w:lineRule="auto"/>
        <w:rPr>
          <w:sz w:val="20"/>
          <w:szCs w:val="20"/>
          <w:color w:val="auto"/>
        </w:rPr>
      </w:pPr>
      <w:r>
        <w:rPr>
          <w:rFonts w:ascii="Times New Roman" w:cs="Times New Roman" w:eastAsia="Times New Roman" w:hAnsi="Times New Roman"/>
          <w:sz w:val="17"/>
          <w:szCs w:val="17"/>
          <w:color w:val="auto"/>
        </w:rPr>
        <w:t>In May 2020, the Company entered into a Credit Agreement and Guaranty (the “Perceptive Credit Agreement”) with Perceptive Credit Holdings III, LP, as the Administrative Agent and Lender, to provide term loans of up to $50.0 million (the “Perceptive Term Facility”). The Company was permitted to draw down on $30.0 million on the closing date with up to another $20.0 million being available for draw between the closing date and March 31, 2022. The Company drew down $30.0 million on the closing date of the Perceptive Term Facility (“Tranche 1”) and did not draw down any additional amounts. The term of the Perceptive Term Facility was five years and the maturity date was May 18, 2025. The outstanding principal balance (together with a 2% prepayment premium) and accrued interest were paid in full in June 2023 from a portion of the proceeds of the MidCap Term Facility (as defined below), and as of December 31, 2023, there were no outstanding amounts owed under the Perceptive Term Facility. In connection with the prepayment of the Perceptive Term Facility, the Company recorded a loss on extinguishment of $1.5 million, which consisted of unamortized debt issuance costs of $0.9 million, prepayment fees of $0.6 million, and immaterial legal fees incurred by the lender and reimbursed by the Company.</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principal amount outstanding on the Perceptive Term Facility accrued interest at the sum of (i) 9.50% plus (ii) the greater of (x) the reference rate as of the second business day immediately preceding the first day of the month and (y) 1.75%. Interest was payable monthly in arrears and was calculated based on a 360-day year for the actual number of days elapsed. The effective interest rate for the years ended December 31, 2022 and 2023 was 13.5% and 15.8%, respectively.</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Perceptive Term Facility was subject to monthly reporting requirements and financial covenants to maintain (i) a minimum balance of $30.0 million in cash and (ii) trailing 12-month revenue levels measured on the last day of each fiscal quarter. As of December 31, 2022, the Company was in compliance with its financial covenants under the Perceptive Term Facility.</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 fully nonrefundable draw fee of 1.25% ($0.4 million for Tranche 1) was paid upon the effective date of the Tranche 1 advance. The Company was also required to pay all of the lender legal fees and out-of-pocket expenses totaling $0.3 million.</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the Perceptive Term Facility, the Company issued warrants to purchase 660,000 shares of Series D redeemable convertible preferred stock at an exercise price of $5.0365 per share with an expiration date of May 18, 2030. The aggregate fair value of these warrants upon issuance was recorded as debt discount and amortized as interest expense over the contractual term of the Perceptive Term Facility using the effective interest rate method.</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MidCap Credit Agreement</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June 2023, the Company entered into a credit, security, and guaranty Agreement with Physera, Inc., MidCap Funding IV Trust (“MidCap”), as administrative agent, MidCap Financial Trust, as term loan servicer, certain funds managed by MidCap, as lenders, and the lenders, additional borrowers, and guarantors from time to time party thereto (the “MidCap Credit Agreement”) for a senior secured term loan in an aggregate principal amount of $60.0 million, with up to $30.0 million available upon the closing date and up to $30.0 million to be available for draw from October 2024 through March 2025 conditional upon achievement of $120.0 million of trailing twelve months revenue and $60.0 million liquidity (the “MidCap Term Facility”). Upon the closing date of the MidCap Credit Agreement, the Company drew down on $30.0 million of the MidCap Term Facility and used a portion of the proceeds to repay the outstanding principal balance (including prepayment premium) and accrued interest on the Perceptive Term Facility The MidCap Term Facility is interest-only for 48 months. At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4"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end of the initial interest-only period, the Company can elect to extend the interest-only period an additional 12 months if the Company meets a certain trailing twelve-month revenue level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the Company’s outstanding accounts receivable and inventory balances (“Availability”). The Company is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closing date of the MidCap Credit Agreement, the Company drew $1.0 million on the MidCap Revolving Facility. The maturity date of the MidCap Term Facility and the MidCap Revolving Facility is June 1, 2028.</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Interest is charged on any outstanding principal of the MidCap Term Facility at the sum of (i) the 30-day forward-looking term SOFR, plus 0.10% (“Adjusted SOFR”), plus 7.00%, subject to a floor of 2.50%. Interest on the MidCap Revolving Facility is charged at the sum of Adjusted SOFR, plus 4.00%, subject to a floor of 2.50%. Both interest rates are reset monthly. The effective interest rate for the year ended December 31, 2023 was 13.7% and 12.1% on the MidCap Term Facility and the MidCap Revolving Facility, respectively.</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 fully nonrefundable origination fee of 1.00%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will pay a fee of 3% on the amount borrowed under the MidCap Term Facility.</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 fully nonrefundable origination fee of 0.5% of the $20 million MidCap Revolving Facility ($0.1 million) was paid upon the closing of the MidCap Credit Agreement. The Company shall pay a collateral management fee of 0.5% per annum on the outstanding balance of the MidCap Revolving Facility, payable monthly in arrears. Additionally, the Company will pay an unused line fee of 0.5% per annum of the average unused portion of the MidCap Revolving Facility, payable monthly in arrears. The Company incurred other debt issuance costs of $0.4 million related to other fees paid to the lender and legal fees incurred by the Company.</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With respect to any prepayment of all or any portion of the outstanding principal amount of MidCap Term Facility, or permanent reduction of the commitments under the MidCap Revolving Facility, a prepayment premium or deferred revolving origination fee, as applicable, will be due as follows: 3% if prepaid or reduce, as applicable, before June 1, 2024, 2% if prepaid or reduced, as applicable, between June 2, 2024 and June 1, 2025, and 1% if prepaid or reduced, as applicable, thereafter.</w:t>
      </w:r>
    </w:p>
    <w:p>
      <w:pPr>
        <w:spacing w:after="0" w:line="18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the Company’s ability to, among other things: sell, transfer, lease, or dispose of its assets subject to certain 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As of December 31, 2023, the Company was in compliance with its financial covenants.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4"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Interest expense related to amortization of the debt discount for long-term debt was $0.5 million and $0.4 million in the years ended December 31, 2022 and 2023, respectively and is included in interest expense.</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future maturities of the financing arrangements in aggregate are as follows (in thousands):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arrangements</w:t>
            </w:r>
          </w:p>
        </w:tc>
        <w:tc>
          <w:tcPr>
            <w:tcW w:w="162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Company has an operating lease for a corporate office located in San Francisco, California. In January 2022, the Company amended the terms of the lease to extend the lease expiration date from July 2022 to July 2025, as well as to revise the total rented square footage and monthly rent during the extended term. The amended lease includes the option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 The Company is responsible for operating expenses that exceed the amount of the base operating expenses as defined in the original lease agreement.</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lease expense, included in operating expenses, were as follows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80" w:type="dxa"/>
            <w:vAlign w:val="bottom"/>
            <w:tcBorders>
              <w:top w:val="single" w:sz="8" w:color="auto"/>
            </w:tcBorders>
            <w:gridSpan w:val="2"/>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top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1,630</w:t>
            </w: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weighted-average remaining operating lease term and weighted-average discount rate were as follows:</w:t>
      </w:r>
    </w:p>
    <w:p>
      <w:pPr>
        <w:spacing w:after="0" w:line="24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7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tcBorders>
              <w:top w:val="single" w:sz="8" w:color="auto"/>
            </w:tcBorders>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2022   </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40" w:type="dxa"/>
            <w:vAlign w:val="bottom"/>
            <w:tcBorders>
              <w:top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410"/>
        </w:trPr>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were as follows (in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7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tcBorders>
              <w:top w:val="single" w:sz="8" w:color="auto"/>
            </w:tcBorders>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2022    </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2023    </w:t>
            </w:r>
          </w:p>
        </w:tc>
        <w:tc>
          <w:tcPr>
            <w:tcW w:w="100" w:type="dxa"/>
            <w:vAlign w:val="bottom"/>
          </w:tcPr>
          <w:p>
            <w:pPr>
              <w:spacing w:after="0"/>
              <w:rPr>
                <w:sz w:val="12"/>
                <w:szCs w:val="12"/>
                <w:color w:val="auto"/>
              </w:rPr>
            </w:pPr>
          </w:p>
        </w:tc>
      </w:tr>
      <w:tr>
        <w:trPr>
          <w:trHeight w:val="194"/>
        </w:trPr>
        <w:tc>
          <w:tcPr>
            <w:tcW w:w="77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(1,547)</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r>
      <w:tr>
        <w:trPr>
          <w:trHeight w:val="214"/>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new operating lease liabilities</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2,040</w:t>
            </w:r>
          </w:p>
        </w:tc>
        <w:tc>
          <w:tcPr>
            <w:tcW w:w="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62"/>
        </w:trPr>
        <w:tc>
          <w:tcPr>
            <w:tcW w:w="772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F-26</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51" w:name="page252"/>
    <w:bookmarkEnd w:id="2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1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84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7"/>
              </w:rPr>
              <w:t>OMADA HEALTH, INC.</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NOTES TO THE CONSOLIDATED FINANCIAL STATEMENTS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160" w:type="dxa"/>
            <w:vAlign w:val="bottom"/>
          </w:tcPr>
          <w:p>
            <w:pPr>
              <w:spacing w:after="0"/>
              <w:rPr>
                <w:sz w:val="24"/>
                <w:szCs w:val="24"/>
                <w:color w:val="auto"/>
              </w:rPr>
            </w:pPr>
          </w:p>
        </w:tc>
        <w:tc>
          <w:tcPr>
            <w:tcW w:w="9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future minimum operating lease payments for each of the next five years and thereafter are as follows (in thousands):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60" w:type="dxa"/>
            <w:vAlign w:val="bottom"/>
            <w:vMerge w:val="restart"/>
          </w:tcPr>
          <w:p>
            <w:pPr>
              <w:spacing w:after="0"/>
              <w:rPr>
                <w:sz w:val="20"/>
                <w:szCs w:val="20"/>
                <w:color w:val="auto"/>
              </w:rPr>
            </w:pPr>
          </w:p>
        </w:tc>
        <w:tc>
          <w:tcPr>
            <w:tcW w:w="118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6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440" w:type="dxa"/>
            <w:vAlign w:val="bottom"/>
          </w:tcPr>
          <w:p>
            <w:pPr>
              <w:spacing w:after="0"/>
              <w:rPr>
                <w:sz w:val="18"/>
                <w:szCs w:val="18"/>
                <w:color w:val="auto"/>
              </w:rPr>
            </w:pPr>
          </w:p>
        </w:tc>
        <w:tc>
          <w:tcPr>
            <w:tcW w:w="7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obligations under lease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7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consolidated balance sheets, consolidated statements of operations and comprehensive loss, or consolidated statements of cash flows. Accordingly, the Company had no liabilities recorded for these provisions as of December 31, 2022 and 2023.</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225"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Redeemable convertible preferred stock has a par value of $0.001 per share and comprises Series A redeemable convertible preferred stock, Series B redeemable convertible preferred stock, Series C redeemable convertible preferred stock, Series C-1 redeemable convertible preferred stock, Series D redeemable convertible preferred stock, Series D-1 redeemable convertible preferred stock, and Series E redeemable convertible preferred stock.</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41"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relating to the Preferred Stock is as follows (in thousands, except per-share amounts):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80" w:type="dxa"/>
            <w:vAlign w:val="bottom"/>
          </w:tcPr>
          <w:p>
            <w:pPr>
              <w:spacing w:after="0"/>
              <w:rPr>
                <w:sz w:val="10"/>
                <w:szCs w:val="10"/>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0"/>
                <w:szCs w:val="10"/>
                <w:color w:val="auto"/>
              </w:rPr>
            </w:pPr>
          </w:p>
        </w:tc>
        <w:tc>
          <w:tcPr>
            <w:tcW w:w="130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and</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2"/>
                <w:szCs w:val="12"/>
                <w:color w:val="auto"/>
              </w:rPr>
            </w:pPr>
          </w:p>
        </w:tc>
        <w:tc>
          <w:tcPr>
            <w:tcW w:w="78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38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7"/>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0.5342</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2"/>
              </w:rPr>
              <w:t>12,027</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1.1828</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19,724</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19,445</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3.1631</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15,386</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15,386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48,667</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2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3.7423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13,358</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13,358</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49,990</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5.0365</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22,330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21,230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2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5.9952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tcPr>
          <w:p>
            <w:pPr>
              <w:spacing w:after="0"/>
              <w:rPr>
                <w:sz w:val="18"/>
                <w:szCs w:val="18"/>
                <w:color w:val="auto"/>
              </w:rPr>
            </w:pP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4,504</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27,002</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5.9952</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33,360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32,291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118,129</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$ 455,540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880" w:type="dxa"/>
            <w:vAlign w:val="bottom"/>
          </w:tcPr>
          <w:p>
            <w:pPr>
              <w:spacing w:after="0"/>
              <w:rPr>
                <w:sz w:val="10"/>
                <w:szCs w:val="10"/>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0"/>
                <w:szCs w:val="10"/>
                <w:color w:val="auto"/>
              </w:rPr>
            </w:pPr>
          </w:p>
        </w:tc>
        <w:tc>
          <w:tcPr>
            <w:tcW w:w="1300" w:type="dxa"/>
            <w:vAlign w:val="bottom"/>
            <w:gridSpan w:val="2"/>
          </w:tcPr>
          <w:p>
            <w:pPr>
              <w:jc w:val="center"/>
              <w:ind w:right="460"/>
              <w:spacing w:after="0" w:line="116"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and</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2"/>
                <w:szCs w:val="12"/>
                <w:color w:val="auto"/>
              </w:rPr>
            </w:pPr>
          </w:p>
        </w:tc>
        <w:tc>
          <w:tcPr>
            <w:tcW w:w="78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38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7"/>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0.5342</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2"/>
              </w:rPr>
              <w:t>12,027</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1.1828</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19,724</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19,445</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3.1631</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15,386</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15,386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48,667</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2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3.7423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13,358</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13,358</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49,990</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5.0365</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22,330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21,230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2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5.9952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tcPr>
          <w:p>
            <w:pPr>
              <w:spacing w:after="0"/>
              <w:rPr>
                <w:sz w:val="18"/>
                <w:szCs w:val="18"/>
                <w:color w:val="auto"/>
              </w:rPr>
            </w:pP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4,504</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27,002</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5.9952</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33,360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32,291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$ 455,588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Series A, Series B, Series C, Series C-1, Series D, Series D-1, and Series E redeemable convertible preferred stockholders are entitled to receive noncumulative dividends prior and in preference to dividends declared on common stock at a rate of $0.0321, $0.0710, $0.1897, $0.2245, $0.3022, $0.3597, and $0.3597, respectively, per annum per share.</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Dividends are payable only when and if declared by the Company’s board of directors. No dividends shall be paid with respect to the common stock during any calendar year unless dividends in the total amount of the annual dividend rate for each such series of redeemable convertible preferred stock shall have first been paid or declared and set apart for payment to the holders of each such series of redeemable convertible preferred stock, respectively, during that calendar year. Payments of any dividends to the holders of each such series of redeemable convertible preferred stock shall be paid pro rata, on an equal priority, pari passu basis according to their respective dividend preferences. Such dividends are not mandatory, and no rights or interest shall accrue to the holders of each such series of redeemable convertible preferred stock if the Company fails to declare or pay dividends in any calendar year. To date, no dividends have been declared or paid.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Each share of Series A, Series B, Series C, Series C-1, Series D, Series D-1, and Series E redeemable convertible preferred stock is convertible at the stockholders’ option at any time into a number of shares of</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80"/>
          </w:cols>
          <w:pgMar w:left="320" w:top="454"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common stock determined by dividing the Original Issue Price (“OIP”) by the then-current conversion price for such series. The initial conversion price is the original issue price and is subject to adjustment for broad-based anti-dilution, stock splits, stock dividends, and other equivalent adjustments. Each share of redeemable convertible preferred stock will automatically be converted into common stock at the conversion rate at the time in effect for such series of redeemable convertible preferred stock immediately upon the earlier of:</w:t>
      </w:r>
    </w:p>
    <w:p>
      <w:pPr>
        <w:spacing w:after="0" w:line="73" w:lineRule="exact"/>
        <w:rPr>
          <w:sz w:val="20"/>
          <w:szCs w:val="20"/>
          <w:color w:val="auto"/>
        </w:rPr>
      </w:pPr>
    </w:p>
    <w:p>
      <w:pPr>
        <w:jc w:val="both"/>
        <w:ind w:left="1140" w:right="20" w:firstLine="10"/>
        <w:spacing w:after="0" w:line="263" w:lineRule="auto"/>
        <w:tabs>
          <w:tab w:leader="none" w:pos="141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 of the Company’s sale of its common stock in a firmly underwritten public offering in which the per-share purchase price is at least $5.9952 (subject to appropriate adjustment) and the proceeds received by the Company (less underwriting discounts and commissions) are not less than $75.0 million (a “Qualified Public Offering”); or</w:t>
      </w:r>
    </w:p>
    <w:p>
      <w:pPr>
        <w:spacing w:after="0" w:line="68" w:lineRule="exact"/>
        <w:rPr>
          <w:rFonts w:ascii="Times New Roman" w:cs="Times New Roman" w:eastAsia="Times New Roman" w:hAnsi="Times New Roman"/>
          <w:sz w:val="18"/>
          <w:szCs w:val="18"/>
          <w:color w:val="auto"/>
        </w:rPr>
      </w:pPr>
    </w:p>
    <w:p>
      <w:pPr>
        <w:jc w:val="both"/>
        <w:ind w:left="1140" w:firstLine="10"/>
        <w:spacing w:after="0" w:line="250" w:lineRule="auto"/>
        <w:tabs>
          <w:tab w:leader="none" w:pos="140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the occurrence of an event, specifically by vote or written consent or agreement of the holders of at least 52% of the then outstanding shares of redeemable convertible preferred stock (voting together as a single class and not as separate series, and on an as converted basis); provided that notwithstanding the foregoing, no shares of Series D redeemable convertible preferred stock shall be converted pursuant to this clause (2) unless the holders of a majority of the then outstanding shares of Series D redeemable convertible preferred stock vote or provide a written consent or agreement in favor of such conversion; and provided further that notwithstanding the foregoing, other than a conversion pursuant to this clause (2) in connection with the Company’s sale of its common stock in a firm commitment underwritten public offering that is not a Qualified Public Offering and occurs after December 21, 2023, no shares of Series C or Series C-1 redeemable convertible preferred stock shall be converted pursuant to this clause (2) unless the holders of at least 60% of the then outstanding shares of Series C or Series C-1 redeemable convertible preferred stock, voting together as a single class and on an as-if-converted to common stock basis, vote or provide written consent or agreement in favor of such conversion, and no shares of Series E redeemable convertible preferred stock shall be converted pursuant to this clause (2) unless the holders of a majority of the then outstanding shares of Series E redeemable convertible preferred stock vote or provide written consent or agreement in favor of such conversion.</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the event of any liquidation or winding up of the Company, whether voluntary or involuntary, the holders of the redeemable convertible preferred stock are entitled to receive, prior and in preference to any distribution to the holders of common stock, an amount per share equal to the sum of the applicable OIP for such series of redeemable convertible preferred stock, together with any declared but unpaid dividends. If, upon such occurrence, the proceeds thus distributed among the holders of the redeemable convertible preferred stock are insufficient to permit the payment of such holders of the full aforesaid preferential amounts, then the entire proceeds legally available for distribution will be distributed pro rata, on an equal priority, pari passu among the holders of the redeemable convertible preferred stock in proportion to the full preferential amount that each such holder is otherwise entitled to receive.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holder of each share of redeemable convertible preferred stock has the right to one vote for each share of common stock into which the redeemable convertible preferred stock could then be converted.</w:t>
      </w:r>
    </w:p>
    <w:p>
      <w:pPr>
        <w:spacing w:after="0" w:line="162"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The holders of Series A (of at least 55% of the outstanding Series A redeemable convertible preferred stock), Series B (of a majority of the outstanding Series B redeemable convertible preferred stock), and Series C (of at least 60% of the outstanding Series C redeemable convertible preferred stock), voting as a separate class, are entitled to elect one director of the Company each provided that at least 20% of the originally issued shares of</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4"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7"/>
          <w:szCs w:val="17"/>
          <w:color w:val="auto"/>
        </w:rPr>
        <w:t>the applicable series remain outstanding. The holders of Series C-1 and Series E redeemable convertible preferred stock are entitled to elect one director of the Company provided that at least 25% of the originally issued shares of the applicable series remain outstanding. The holders of common stock, voting as a separate class, are entitled to elect three directors of the Company. The holders of redeemable convertible preferred stock and common stock, voting together as a single class and on an as-if-converted to common stock basis, are entitled to elect any remaining directors of the Company.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holders of the redeemable convertible preferred stock have no voluntary rights to redeem shares. The redeemable convertible preferred stock has deemed liquidation provisions which require the shares to be redeemed upon any liquidation, dissolution, or winding up of the Company, whether voluntary or involuntary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 currently does not believe a Liquidation Event is probable. The carrying values of the Company’s redeemable convertible preferred stock have not been accreted to their redemption values as the Liquidation Event is not considered probable of occurring. Subsequent adjustments of the carrying values to redemption values will be made only if and when it becomes probable the redeemable convertible preferred stock will become redeemable.</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December 31, 2022 and 2023, the Company had authorized 176.3 million and 181.5 million shares of common stock, respectively, with a $0.001 par value. Each share of common stock is entitled to one vote. The holders of common stock are also entitled to receive dividends whenever funds are legally available and when and if declared by the Company’s board of directors, subject to the prior rights of holders of all classes of stock outstanding. As of December 31, 2022 and 2023, no dividends had been declared or paid.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2022 and 2023, the Company had 20.9 million and 22.2 million shares of common stock issued and outstanding, respectively.</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total shares of the Company’s common stock reserved for issuance are as follows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4400" w:type="dxa"/>
            <w:vAlign w:val="bottom"/>
            <w:tcBorders>
              <w:bottom w:val="single" w:sz="8" w:color="CCEEFF"/>
            </w:tcBorders>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4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60" w:type="dxa"/>
            <w:vAlign w:val="bottom"/>
            <w:shd w:val="clear" w:color="auto" w:fill="CCEEFF"/>
          </w:tcPr>
          <w:p>
            <w:pPr>
              <w:spacing w:after="0"/>
              <w:rPr>
                <w:sz w:val="18"/>
                <w:szCs w:val="18"/>
                <w:color w:val="auto"/>
              </w:rPr>
            </w:pP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5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r>
      <w:tr>
        <w:trPr>
          <w:trHeight w:val="21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5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28,721</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30,650</w:t>
            </w:r>
          </w:p>
        </w:tc>
      </w:tr>
      <w:tr>
        <w:trPr>
          <w:trHeight w:val="21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w:t>
            </w:r>
          </w:p>
        </w:tc>
        <w:tc>
          <w:tcPr>
            <w:tcW w:w="5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7,849</w:t>
            </w:r>
          </w:p>
        </w:tc>
      </w:tr>
      <w:tr>
        <w:trPr>
          <w:trHeight w:val="22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48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150,193</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157,626</w:t>
            </w:r>
          </w:p>
        </w:tc>
        <w:tc>
          <w:tcPr>
            <w:tcW w:w="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4400" w:type="dxa"/>
            <w:vAlign w:val="bottom"/>
          </w:tcPr>
          <w:p>
            <w:pPr>
              <w:spacing w:after="0"/>
              <w:rPr>
                <w:sz w:val="24"/>
                <w:szCs w:val="24"/>
                <w:color w:val="auto"/>
              </w:rPr>
            </w:pPr>
          </w:p>
        </w:tc>
        <w:tc>
          <w:tcPr>
            <w:tcW w:w="57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F-30</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11. Stock Warrants</w:t>
      </w:r>
    </w:p>
    <w:p>
      <w:pPr>
        <w:spacing w:after="0" w:line="22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Company has issued common and redeemable convertible preferred stock warrants in connection with certain notes payable and debt financing transactions. Warrants outstanding as of December 31, 2022 and 2023 are as follows (in thousands, except for per-share data):</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Series</w:t>
            </w:r>
          </w:p>
        </w:tc>
        <w:tc>
          <w:tcPr>
            <w:tcW w:w="3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280" w:type="dxa"/>
            <w:vAlign w:val="bottom"/>
          </w:tcPr>
          <w:p>
            <w:pPr>
              <w:spacing w:after="0"/>
              <w:rPr>
                <w:sz w:val="10"/>
                <w:szCs w:val="10"/>
                <w:color w:val="auto"/>
              </w:rPr>
            </w:pPr>
          </w:p>
        </w:tc>
        <w:tc>
          <w:tcPr>
            <w:tcW w:w="14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80" w:type="dxa"/>
            <w:vAlign w:val="bottom"/>
          </w:tcPr>
          <w:p>
            <w:pPr>
              <w:spacing w:after="0"/>
              <w:rPr>
                <w:sz w:val="10"/>
                <w:szCs w:val="10"/>
                <w:color w:val="auto"/>
              </w:rPr>
            </w:pPr>
          </w:p>
        </w:tc>
        <w:tc>
          <w:tcPr>
            <w:tcW w:w="1140" w:type="dxa"/>
            <w:vAlign w:val="bottom"/>
            <w:gridSpan w:val="4"/>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Exercise Price</w:t>
            </w:r>
          </w:p>
        </w:tc>
        <w:tc>
          <w:tcPr>
            <w:tcW w:w="100" w:type="dxa"/>
            <w:vAlign w:val="bottom"/>
          </w:tcPr>
          <w:p>
            <w:pPr>
              <w:spacing w:after="0"/>
              <w:rPr>
                <w:sz w:val="10"/>
                <w:szCs w:val="10"/>
                <w:color w:val="auto"/>
              </w:rPr>
            </w:pPr>
          </w:p>
        </w:tc>
        <w:tc>
          <w:tcPr>
            <w:tcW w:w="860" w:type="dxa"/>
            <w:vAlign w:val="bottom"/>
            <w:gridSpan w:val="4"/>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60" w:type="dxa"/>
            <w:vAlign w:val="bottom"/>
            <w:gridSpan w:val="2"/>
            <w:vMerge w:val="continue"/>
          </w:tcPr>
          <w:p>
            <w:pPr>
              <w:spacing w:after="0"/>
              <w:rPr>
                <w:sz w:val="15"/>
                <w:szCs w:val="15"/>
                <w:color w:val="auto"/>
              </w:rPr>
            </w:pPr>
          </w:p>
        </w:tc>
        <w:tc>
          <w:tcPr>
            <w:tcW w:w="3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860" w:type="dxa"/>
            <w:vAlign w:val="bottom"/>
            <w:gridSpan w:val="4"/>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A</w:t>
            </w:r>
          </w:p>
        </w:tc>
        <w:tc>
          <w:tcPr>
            <w:tcW w:w="35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September 11,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September 11,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ind w:left="460"/>
              <w:spacing w:after="0" w:line="201" w:lineRule="exact"/>
              <w:rPr>
                <w:sz w:val="20"/>
                <w:szCs w:val="20"/>
                <w:color w:val="auto"/>
              </w:rPr>
            </w:pPr>
            <w:r>
              <w:rPr>
                <w:rFonts w:ascii="Times New Roman" w:cs="Times New Roman" w:eastAsia="Times New Roman" w:hAnsi="Times New Roman"/>
                <w:sz w:val="18"/>
                <w:szCs w:val="18"/>
                <w:color w:val="auto"/>
                <w:w w:val="88"/>
              </w:rPr>
              <w:t>0.53</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May 20, 2015</w:t>
            </w:r>
          </w:p>
        </w:tc>
        <w:tc>
          <w:tcPr>
            <w:tcW w:w="2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May 19, 2025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1.18</w:t>
            </w:r>
          </w:p>
        </w:tc>
        <w:tc>
          <w:tcPr>
            <w:tcW w:w="9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3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18, 2020</w:t>
            </w: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May 18, 2030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5.04</w:t>
            </w:r>
          </w:p>
        </w:tc>
        <w:tc>
          <w:tcPr>
            <w:tcW w:w="9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660</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August 29, 2017</w:t>
            </w:r>
          </w:p>
        </w:tc>
        <w:tc>
          <w:tcPr>
            <w:tcW w:w="28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August 29, 2027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gridSpan w:val="8"/>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Series</w:t>
            </w:r>
          </w:p>
        </w:tc>
        <w:tc>
          <w:tcPr>
            <w:tcW w:w="3560" w:type="dxa"/>
            <w:vAlign w:val="bottom"/>
          </w:tcPr>
          <w:p>
            <w:pPr>
              <w:spacing w:after="0"/>
              <w:rPr>
                <w:sz w:val="10"/>
                <w:szCs w:val="10"/>
                <w:color w:val="auto"/>
              </w:rPr>
            </w:pPr>
          </w:p>
        </w:tc>
        <w:tc>
          <w:tcPr>
            <w:tcW w:w="172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72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20" w:type="dxa"/>
            <w:vAlign w:val="bottom"/>
            <w:gridSpan w:val="5"/>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Exercise Price</w:t>
            </w:r>
          </w:p>
        </w:tc>
        <w:tc>
          <w:tcPr>
            <w:tcW w:w="960" w:type="dxa"/>
            <w:vAlign w:val="bottom"/>
            <w:gridSpan w:val="5"/>
          </w:tcPr>
          <w:p>
            <w:pPr>
              <w:jc w:val="right"/>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60" w:type="dxa"/>
            <w:vAlign w:val="bottom"/>
            <w:gridSpan w:val="2"/>
            <w:vMerge w:val="continue"/>
          </w:tcPr>
          <w:p>
            <w:pPr>
              <w:spacing w:after="0"/>
              <w:rPr>
                <w:sz w:val="15"/>
                <w:szCs w:val="15"/>
                <w:color w:val="auto"/>
              </w:rPr>
            </w:pPr>
          </w:p>
        </w:tc>
        <w:tc>
          <w:tcPr>
            <w:tcW w:w="356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1320" w:type="dxa"/>
            <w:vAlign w:val="bottom"/>
            <w:gridSpan w:val="5"/>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860" w:type="dxa"/>
            <w:vAlign w:val="bottom"/>
            <w:gridSpan w:val="4"/>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35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460" w:type="dxa"/>
            <w:vAlign w:val="bottom"/>
            <w:tcBorders>
              <w:top w:val="single" w:sz="8" w:color="CCEEFF"/>
            </w:tcBorders>
            <w:gridSpan w:val="2"/>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48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color w:val="auto"/>
                <w:w w:val="95"/>
              </w:rPr>
              <w:t>1.18</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3560" w:type="dxa"/>
            <w:vAlign w:val="bottom"/>
          </w:tcPr>
          <w:p>
            <w:pPr>
              <w:spacing w:after="0"/>
              <w:rPr>
                <w:sz w:val="18"/>
                <w:szCs w:val="18"/>
                <w:color w:val="auto"/>
              </w:rPr>
            </w:pPr>
          </w:p>
        </w:tc>
        <w:tc>
          <w:tcPr>
            <w:tcW w:w="17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May 18, 2020</w:t>
            </w:r>
          </w:p>
        </w:tc>
        <w:tc>
          <w:tcPr>
            <w:tcW w:w="17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May 18, 2030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356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August 29, 2017</w:t>
            </w:r>
          </w:p>
        </w:tc>
        <w:tc>
          <w:tcPr>
            <w:tcW w:w="17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August 29, 2027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1"/>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August 2017, the Company issued warrants to purchase common stock in conjunction with a loan and security agreement with Silicon Valley Bank (“SVB”). The number of shares that the holder may purchase is equal to 130,262 and is related to a borrowing under the agreement. The warrants will be automatically exercised under the cashless exercise method upon the expiration date of each respective warrant or upon a cash or public acquisition. The warrants issued allows SVB to acquire shares of common stock at an exercise price of $1.08 per share and expire ten years after issuance. These warrants were concluded to be a liability accounted for at fair value, using the Black-Scholes pricing model, on the date of issuance with subsequent remeasurements recorded in earnings. The fair value on the date of issuance was recorded as warrant liability and debt discount. The debt discount was fully amortized upon the debt being repaid in May 2020. The change in fair value for the years ended December 31, 2022 and 2023 was a gain of $0.1 million and a loss of $0.1 million, respectively.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September 2013, the Company issued warrants to purchase a total of 112,316 shares of Series A redeemable convertible preferred stock at an exercise price of $0.5342 per share in conjunction with a loan and security agreement with SVB. The terms of the warrants provided that the warrants would automatically exercise under the cashless exercise method upon the expiration date. These warrants were concluded to be a liability accounted for at fair value, using the Black-Scholes pricing model, on the date of issuance with subsequent remeasurements recorded in earnings. The fair value of these warrants was recorded as warrant liability and debt discount upon issuance. The debt discount was fully amortized upon the debt being repaid in May 2014. The change in fair value of the warrant liability for the years ended December 31, 2022 and 2023 was a gain of $0.3 million and a loss of $0.1 million, respectively. Upon expiration of the warrant in September 2023, the warrants were automatically exercised under the cashless exercise method into 89,503 shares of Series A redeemable convertible preferred stock.</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80"/>
          </w:cols>
          <w:pgMar w:left="320" w:top="454"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May 2015, the Company issued warrants to purchase a total of 118,363 shares of Series B redeemable convertible preferred stock at an exercise price of $1.1828 per share in conjunction with other borrowings under the loan and security agreement with SVB discussed above. These warrants will be automatically exercised under the cashless exercise method upon the expiration date of each respective warrant or upon a cash or public acquisition. These warrants were concluded to be a liability accounted for at fair value, using the Black-Scholes pricing model, on the date of issuance with subsequent remeasurements recorded in earnings. The fair value of these warrants was recorded as warrant liability and debt discount upon issuance. The debt discount was fully amortized upon the debt being repaid in August 2017. The change in fair value for the years ended December 31, 2022 and 2023 was a gain of $0.2 million and a loss of $0.1 million, respectively.</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May 2020, the Company issued warrants to purchase a total of 660,000 shares of Series D redeemable convertible preferred stock at an exercise price of $5.0365 per share in conjunction with the Perceptive Credit Agreement (refer to Note 6 for additional information). These warrants will be automatically exercised under the cashless exercise method upon the expiration date of the warrant, upon completion of a qualified initial public offering, or upon an acquisition of the Company. These warrants were concluded to be a liability accounted for at fair value, using the Black-Scholes pricing model, on the date of issuance with subsequent remeasurements recorded in earnings. The fair value of these warrants was recorded as warrant liability and debt discount upon issuance. The debt discount was fully amortized upon the debt being repaid in June 2023. Debt discount of $0.2 million and $0.1 million was amortized for the years ended December 31, 2022 and 2023, respectively. The change in fair value for the years ended December 31, 2022 and 2023 was a gain of $1.0 million and a loss of $0.7 million, respectively.</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5" w:lineRule="exact"/>
        <w:rPr>
          <w:sz w:val="20"/>
          <w:szCs w:val="20"/>
          <w:color w:val="auto"/>
        </w:rPr>
      </w:pPr>
    </w:p>
    <w:p>
      <w:pPr>
        <w:jc w:val="both"/>
        <w:ind w:left="160" w:firstLine="436"/>
        <w:spacing w:after="0" w:line="308" w:lineRule="auto"/>
        <w:rPr>
          <w:sz w:val="20"/>
          <w:szCs w:val="20"/>
          <w:color w:val="auto"/>
        </w:rPr>
      </w:pPr>
      <w:r>
        <w:rPr>
          <w:rFonts w:ascii="Times New Roman" w:cs="Times New Roman" w:eastAsia="Times New Roman" w:hAnsi="Times New Roman"/>
          <w:sz w:val="17"/>
          <w:szCs w:val="17"/>
          <w:color w:val="auto"/>
        </w:rPr>
        <w:t>The Company measures compensation expense for all share-based payment awards based on the estimated fair values on the date of the grant. The fair value of stock options granted with standard 90-day post-termination exercise periods is estimated using the Black-Scholes option pricing model.</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calculate the fair value of employee option grants: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0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r>
      <w:tr>
        <w:trPr>
          <w:trHeight w:val="140"/>
        </w:trPr>
        <w:tc>
          <w:tcPr>
            <w:tcW w:w="80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2"/>
          </w:tcPr>
          <w:p>
            <w:pPr>
              <w:jc w:val="right"/>
              <w:ind w:right="43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7"/>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4.93%</w:t>
            </w:r>
          </w:p>
        </w:tc>
      </w:tr>
      <w:tr>
        <w:trPr>
          <w:trHeight w:val="21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r>
      <w:tr>
        <w:trPr>
          <w:trHeight w:val="23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- 9.51</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6.06</w:t>
            </w:r>
          </w:p>
        </w:tc>
      </w:tr>
    </w:tbl>
    <w:p>
      <w:pPr>
        <w:spacing w:after="0" w:line="17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 summary of share-based compensation expense recognized in the consolidated statements of operations and comprehensive loss is as follows (in thousands):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20" w:type="dxa"/>
            <w:vAlign w:val="bottom"/>
            <w:tcBorders>
              <w:top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2022 </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top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cost of revenue</w:t>
            </w:r>
          </w:p>
        </w:tc>
        <w:tc>
          <w:tcPr>
            <w:tcW w:w="4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6,654</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20" w:type="dxa"/>
            <w:vAlign w:val="bottom"/>
            <w:gridSpan w:val="2"/>
          </w:tcPr>
          <w:p>
            <w:pPr>
              <w:jc w:val="right"/>
              <w:ind w:right="3318"/>
              <w:spacing w:after="0"/>
              <w:rPr>
                <w:sz w:val="20"/>
                <w:szCs w:val="20"/>
                <w:color w:val="auto"/>
              </w:rPr>
            </w:pPr>
            <w:r>
              <w:rPr>
                <w:rFonts w:ascii="Times New Roman" w:cs="Times New Roman" w:eastAsia="Times New Roman" w:hAnsi="Times New Roman"/>
                <w:sz w:val="18"/>
                <w:szCs w:val="18"/>
                <w:color w:val="auto"/>
              </w:rPr>
              <w:t>F-32</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Company capitalized $0.1 million and $0.1 million of share-based compensation expense related to internal-use software development costs during the years ended December 31, 2022 and 2023, respectively.</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2011 Stock Plan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Company primarily grants share-based compensation awards under its amended 2011 Equity Incentive Plan (as amended, the “2011 Plan”). The 2011 Plan provides for the granting of incentive and nonqualified stock options, awards of Company common stock, and rights to purchase shares of Company common stock to qualified employees and consultants of the Company, its parents, or subsidiaries and non-employee directors of the Company. Stock options granted under the 2011 Plan generally expire within ten years from the date of grant, vest over four years, and are exercisable for shares of the Company’s common stock.</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January 2018, the Company amended the 2011 Plan to extend the post-termination exercise period beyond the traditional 90-days based on tenure of the employee at the date of termination whereas service providers with a tenure of three years of employment or other service, as applicable, may exercise stock options for a period of up to two years from the date of termination, service providers with a tenure of four years of employment or other service may exercise stock options for a period of up to three years from the date of termination, and service providers with a tenure of five years or more may exercise stock options for a period of up to four years from the date of termination. In December 2021, the Company amended the 2011 Plan to remove extended post-termination exercise periods and revert to the traditional 90-day period for future stock option grants.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December 31, 2022 and 2023, the maximum aggregate number of shares that may be issued pursuant to awards under the 2011 Plan was 39.5 million and 48.2 million, respectively, of which 2.3 million and 7.8 million shares remained available to be issued under the 2011 Plan, respectively.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stock option award activity under the 2011 Plan is as follows (in thousands, except years and per-share data):</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180" w:type="dxa"/>
            <w:vAlign w:val="bottom"/>
            <w:gridSpan w:val="3"/>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1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5"/>
              </w:rPr>
              <w:t>Term (Years)</w:t>
            </w:r>
          </w:p>
        </w:tc>
        <w:tc>
          <w:tcPr>
            <w:tcW w:w="14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2.73</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0.81</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Canceled and forfeited</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2.59</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2.19</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4,071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5,245</w:t>
            </w:r>
          </w:p>
        </w:tc>
        <w:tc>
          <w:tcPr>
            <w:tcW w:w="26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1"/>
              </w:rPr>
              <w:t> </w:t>
            </w: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1.76</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1.47</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Canceled and forfeited</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1.97</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30,650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2022</w:t>
            </w:r>
          </w:p>
        </w:tc>
        <w:tc>
          <w:tcPr>
            <w:tcW w:w="1240" w:type="dxa"/>
            <w:vAlign w:val="bottom"/>
            <w:gridSpan w:val="2"/>
          </w:tcPr>
          <w:p>
            <w:pPr>
              <w:spacing w:after="0" w:line="20" w:lineRule="exact"/>
              <w:rPr>
                <w:sz w:val="1"/>
                <w:szCs w:val="1"/>
                <w:color w:val="auto"/>
              </w:rPr>
            </w:pPr>
          </w:p>
        </w:tc>
        <w:tc>
          <w:tcPr>
            <w:tcW w:w="5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1.81</w:t>
            </w: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gridSpan w:val="2"/>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32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19,144</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2.06</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When stock options are exercised, the Company’s policy is to issue previously unissued shares of common stock. The intrinsic value of a stock option is calculated as the difference between the per-share exercise price of the underlying stock option and the estimated per-share fair value of the Company’s common stock at the measurement date. The total intrinsic values of stock options exercised during the years ended December 31, 2022 and 2023 was $2.9 million and $1.2 million, respectively.</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4" w:right="4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years ended December 31, 2022 and 2023 was $1.49 and $1.44 per share, respectively. The total grant date fair value of stock options vested during the years ended December 31, 2022 and 2023 was $7.1 million and $8.2 million, respectively.</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December 31, 2022 and 2023, there was approximately $17.3 million and $15.9 million, respectively, of total unrecognized compensation cost related to unvested stock options, which is expected to be recognized over the weighted-average period of 2.8 years and 2.6 years, respectively, using the straight-line method.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Secondary Stock Transactions</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2023, certain former employees sold 0.2 million and 1.4 million shares, respectively, of the Company’s common stock at a purchase price in excess of the then-current fair market value to existing investors of the Company. As a result, during the years ended December 31, 2022 and 2023, the Company recorded a total of $0.3 million and $1.4 million, respectively, in share-based compensation expense for the excess of the purchase price paid by these investors over the fair value of shares sold.</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13. Related Party</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 Arrangements with Cigna and its Affiliates</w:t>
      </w:r>
    </w:p>
    <w:p>
      <w:pPr>
        <w:spacing w:after="0" w:line="22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consolidated balance sheets, consolidated statements of operations and comprehensive loss, and consolidated statements of cash flows, affiliates of The Cigna Group made payments to the Company of $39.2 million and $63.3 million during the years ended December 31, 2022, and 2023, respectively. Additionally, the Company made payments to affiliates of The Cigna Group of $10.4 million and $13.1 million during the years ended December 31, 2022, and 2023, respectively.</w:t>
      </w:r>
    </w:p>
    <w:p>
      <w:pPr>
        <w:spacing w:after="0" w:line="214" w:lineRule="exact"/>
        <w:rPr>
          <w:sz w:val="20"/>
          <w:szCs w:val="20"/>
          <w:color w:val="auto"/>
        </w:rPr>
      </w:pPr>
    </w:p>
    <w:p>
      <w:pPr>
        <w:ind w:left="600" w:hanging="433"/>
        <w:spacing w:after="0"/>
        <w:tabs>
          <w:tab w:leader="none" w:pos="6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Company’s geographical distribution of its loss before provision for income taxes of $72.5 million and $67.5 million for the years ended December 31, 2022 and 2023, respectively, relates to the U.S. The Company did not record a provision for income tax expense or benefit for the years ended December 31, 2022 and 2023.</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effective tax rate differs from the U.S. federal statutory rate as follows:</w:t>
      </w:r>
    </w:p>
    <w:p>
      <w:pPr>
        <w:spacing w:after="0" w:line="241"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77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bottom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1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w:t>
            </w: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w:t>
            </w: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(26.0%)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00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F-34</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The tax effects of the temporary differences and carryforwards that give rise to deferred tax assets and liabilities consist of the following (in thousands):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60" w:type="dxa"/>
            <w:vAlign w:val="bottom"/>
            <w:tcBorders>
              <w:top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Deferred tax assets:</w:t>
            </w:r>
          </w:p>
        </w:tc>
        <w:tc>
          <w:tcPr>
            <w:tcW w:w="27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9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69,881</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carryforwards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carryforwards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174 R&amp;D capitalization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(4,710)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(86,334)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(103,517)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reviewed both positive and negative evidence pursuant to the requirements of ASC 740, Income Taxes, including current and historical results of operations, future income projections, and potential tax planning strategies. A significant piece of objective negative evidence evaluated was the cumulative loss incurred over the three-year period ended December 31, 2023. Such objective evidence limits the ability to consider other subjective evidence such as its projections for future growth. On the basis of this evaluation, as of December 31, 2022 and 2023, a full valuation allowance has been established</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Company’s valuation allowance during the years ended December 31, 2022 and 2023 is as follows (in thousands):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2023 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beginning of period</w:t>
            </w:r>
          </w:p>
        </w:tc>
        <w:tc>
          <w:tcPr>
            <w:tcW w:w="4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4"/>
              </w:rPr>
              <w:t>(67,606)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(18,728)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end of period</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(86,334)</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6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F-35</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2022 and 2023, the Company had tax net operating loss carryforwards and tax credit carryforwards as follows (in thousands):</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868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120" w:type="dxa"/>
            <w:vAlign w:val="bottom"/>
            <w:tcBorders>
              <w:top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60" w:type="dxa"/>
            <w:vAlign w:val="bottom"/>
          </w:tcPr>
          <w:p>
            <w:pPr>
              <w:spacing w:after="0"/>
              <w:rPr>
                <w:sz w:val="12"/>
                <w:szCs w:val="12"/>
                <w:color w:val="auto"/>
              </w:rPr>
            </w:pPr>
          </w:p>
        </w:tc>
      </w:tr>
      <w:tr>
        <w:trPr>
          <w:trHeight w:val="207"/>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 federal</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279,121</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 state</w:t>
            </w:r>
          </w:p>
        </w:tc>
        <w:tc>
          <w:tcPr>
            <w:tcW w:w="2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182,880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203,782</w:t>
            </w:r>
          </w:p>
        </w:tc>
        <w:tc>
          <w:tcPr>
            <w:tcW w:w="60" w:type="dxa"/>
            <w:vAlign w:val="bottom"/>
          </w:tcPr>
          <w:p>
            <w:pPr>
              <w:spacing w:after="0"/>
              <w:rPr>
                <w:sz w:val="18"/>
                <w:szCs w:val="18"/>
                <w:color w:val="auto"/>
              </w:rPr>
            </w:pPr>
          </w:p>
        </w:tc>
      </w:tr>
      <w:tr>
        <w:trPr>
          <w:trHeight w:val="21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federal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8,256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10,616</w:t>
            </w:r>
          </w:p>
        </w:tc>
      </w:tr>
      <w:tr>
        <w:trPr>
          <w:trHeight w:val="23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credit, state</w:t>
            </w:r>
          </w:p>
        </w:tc>
        <w:tc>
          <w:tcPr>
            <w:tcW w:w="22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6,190</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60" w:type="dxa"/>
            <w:vAlign w:val="bottom"/>
          </w:tcPr>
          <w:p>
            <w:pPr>
              <w:spacing w:after="0"/>
              <w:rPr>
                <w:sz w:val="20"/>
                <w:szCs w:val="20"/>
                <w:color w:val="auto"/>
              </w:rPr>
            </w:pPr>
          </w:p>
        </w:tc>
      </w:tr>
    </w:tbl>
    <w:p>
      <w:pPr>
        <w:spacing w:after="0" w:line="17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$306.9 million of federal and $203.9 million of state net operating loss carryforwards available to offset future taxable income. Carryforwards generated in tax years ended December 31, 2017 and prior will expire in varying amounts beginning in 2031 for federal and state purposes. Carryforwards generated in the tax year ended December 31, 2018 and future years do not expire for federal purposes.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December 31, 2023, the Company has federal and state research and development tax credits of $10.6 million and $7.1 million, respectively. If not utilized, the federal research and development credits will expire in 2031. The California research and development credits can be carried forward indefinitely.</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restrictions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Company has adopted guidance issued by the FASB that clarifies the accounting for uncertainty in income taxes recognized in the Company’s consolidated financial statements and prescribes a recognition threshold of more likely than not and a measurement process for consolidated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December 31, 2023, the total amount of unrecognized tax benefits, excluding interest, was $4.3 million, none of which would impact the effective tax rate if recognized. The Company’s policy is to include interest and penalties with its provision for income taxes. For the year ended December 31, 2023, the Company accrued less than $0.1 million in interest and penalties on its uncertain tax positions. The Company does not anticipate any significant changes to its unrecognized tax positions within the next twelve months.</w:t>
      </w:r>
    </w:p>
    <w:p>
      <w:pPr>
        <w:spacing w:after="0" w:line="180"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Company’s unrecognized tax benefits during the years ended December 31, 2022 and 2023 is as follows (in thousands):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4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80" w:type="dxa"/>
            <w:vAlign w:val="bottom"/>
            <w:tcBorders>
              <w:top w:val="single" w:sz="8" w:color="auto"/>
            </w:tcBorders>
            <w:gridSpan w:val="2"/>
          </w:tcPr>
          <w:p>
            <w:pPr>
              <w:jc w:val="right"/>
              <w:ind w:right="7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00" w:type="dxa"/>
            <w:vAlign w:val="bottom"/>
          </w:tcPr>
          <w:p>
            <w:pPr>
              <w:spacing w:after="0"/>
              <w:rPr>
                <w:sz w:val="12"/>
                <w:szCs w:val="12"/>
                <w:color w:val="auto"/>
              </w:rPr>
            </w:pPr>
          </w:p>
        </w:tc>
      </w:tr>
      <w:tr>
        <w:trPr>
          <w:trHeight w:val="207"/>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r>
      <w:tr>
        <w:trPr>
          <w:trHeight w:val="21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the applicable statute of limitations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2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4260" w:type="dxa"/>
            <w:vAlign w:val="bottom"/>
          </w:tcPr>
          <w:p>
            <w:pPr>
              <w:spacing w:after="0"/>
              <w:rPr>
                <w:sz w:val="24"/>
                <w:szCs w:val="24"/>
                <w:color w:val="auto"/>
              </w:rPr>
            </w:pPr>
          </w:p>
        </w:tc>
        <w:tc>
          <w:tcPr>
            <w:tcW w:w="4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F-36</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is not currently under examination by the U.S. Internal Revenue Service (the “IRS”) or any other state, city, or local jurisdiction. The Company’s tax years from inception are subject to examination by the IRS and state taxing authorities due to the carryforward of unutilized net operating losses.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15. Net Loss Per Share Attributable to Common Stockholders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determines net income (loss) per share of common stock and participating securities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receive dividends as if all income (loss) for the period had been distributed. The holders of the Company’s redeemable convertible preferred stock would be entitled to dividends in preference to common stockholders, at specified rates,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during the period, less shares subject to repurchase. The diluted net loss per share is computed by giving effect to all potentially dilutive securities outstanding for the period using the treasury stock method or the if-converted method. For periods in which the Company reports net losses, diluted net loss per common share is the same as basic net loss per common share, because all potentially dilutive securities are anti-dilutive.</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For the calculation of diluted net loss per share, net loss per share attributable to common stockholders for basic net loss per share is adjusted by the effect of dilutive securities, including awards under the 2011 Plan. Diluted net loss per share attributable to common stockholders is computed by dividing the resulting net loss attributable to common stockholders by the weighted-average number of fully diluted common shares outstanding. For the years ended December 31, 2022 and 2023, the Company’s potentially dilutive shares relating to stock options, redeemable convertible preferred stock, redeemable convertible preferred stock warrants, and common stock warrants were not included in the computation of diluted net loss per share as the effect of including these shares in the calculation would have been anti-dilutive.</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the Company’s common stockholders (in thousands, except per-share data):</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20" w:type="dxa"/>
            <w:vAlign w:val="bottom"/>
            <w:tcBorders>
              <w:top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9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(72,518)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attributable to common stockholders, basic</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20,340</w:t>
            </w: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the Company was in a loss position for the years ended December 31, 2022 and 2023, basic net loss per share is the same as diluted net loss per share as the inclusion of all potential shares of common stock outstanding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80"/>
          </w:cols>
          <w:pgMar w:left="320" w:top="454"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would have been anti-dilutive. Potentially dilutive securities that were not included in the diluted per-share calculations because they would have been anti-dilutive were as follows (in thousands):</w:t>
      </w:r>
    </w:p>
    <w:p>
      <w:pPr>
        <w:spacing w:after="0" w:line="18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960" w:type="dxa"/>
            <w:vAlign w:val="bottom"/>
            <w:tcBorders>
              <w:top w:val="single" w:sz="8" w:color="auto"/>
            </w:tcBorders>
            <w:gridSpan w:val="2"/>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2022 </w:t>
            </w:r>
          </w:p>
        </w:tc>
        <w:tc>
          <w:tcPr>
            <w:tcW w:w="740" w:type="dxa"/>
            <w:vAlign w:val="bottom"/>
            <w:tcBorders>
              <w:top w:val="single" w:sz="8" w:color="auto"/>
            </w:tcBorders>
          </w:tcPr>
          <w:p>
            <w:pPr>
              <w:jc w:val="right"/>
              <w:ind w:right="114"/>
              <w:spacing w:after="0" w:line="141" w:lineRule="exact"/>
              <w:rPr>
                <w:sz w:val="20"/>
                <w:szCs w:val="20"/>
                <w:color w:val="auto"/>
              </w:rPr>
            </w:pPr>
            <w:r>
              <w:rPr>
                <w:rFonts w:ascii="Times New Roman" w:cs="Times New Roman" w:eastAsia="Times New Roman" w:hAnsi="Times New Roman"/>
                <w:sz w:val="14"/>
                <w:szCs w:val="14"/>
                <w:b w:val="1"/>
                <w:bCs w:val="1"/>
                <w:color w:val="auto"/>
                <w:w w:val="82"/>
              </w:rPr>
              <w:t>   2023 </w:t>
            </w: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118,129</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28,721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30,650</w:t>
            </w:r>
          </w:p>
        </w:tc>
      </w:tr>
      <w:tr>
        <w:trPr>
          <w:trHeight w:val="214"/>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r>
      <w:tr>
        <w:trPr>
          <w:trHeight w:val="221"/>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147,870</w:t>
            </w: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has evaluated subsequent events for recognition and measurement purposes through June 21, 2024, which is the date the consolidated financial statements were available to be issued. The Company has concluded that no events or transactions have occurred that may require disclosure in the accompanying consolidated financial statements.</w:t>
      </w: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54"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917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29755" cy="891730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245110</wp:posOffset>
            </wp:positionV>
            <wp:extent cx="692975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295910</wp:posOffset>
            </wp:positionV>
            <wp:extent cx="69297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9"/>
          <w:szCs w:val="29"/>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549910</wp:posOffset>
            </wp:positionV>
            <wp:extent cx="3957320" cy="9512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95732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1261110</wp:posOffset>
            </wp:positionV>
            <wp:extent cx="14605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248920</wp:posOffset>
            </wp:positionV>
            <wp:extent cx="14605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00"/>
        <w:spacing w:after="0"/>
        <w:tabs>
          <w:tab w:leader="none" w:pos="4500" w:val="left"/>
          <w:tab w:leader="none" w:pos="8780" w:val="left"/>
        </w:tabs>
        <w:rPr>
          <w:sz w:val="20"/>
          <w:szCs w:val="20"/>
          <w:color w:val="auto"/>
        </w:rPr>
      </w:pPr>
      <w:r>
        <w:rPr>
          <w:rFonts w:ascii="Times New Roman" w:cs="Times New Roman" w:eastAsia="Times New Roman" w:hAnsi="Times New Roman"/>
          <w:sz w:val="21"/>
          <w:szCs w:val="21"/>
          <w:b w:val="1"/>
          <w:bCs w:val="1"/>
          <w:i w:val="1"/>
          <w:iCs w:val="1"/>
          <w:color w:val="auto"/>
        </w:rPr>
        <w:t>Morgan Stanley</w:t>
      </w:r>
      <w:r>
        <w:rPr>
          <w:sz w:val="20"/>
          <w:szCs w:val="20"/>
          <w:color w:val="auto"/>
        </w:rPr>
        <w:tab/>
      </w:r>
      <w:r>
        <w:rPr>
          <w:rFonts w:ascii="Times New Roman" w:cs="Times New Roman" w:eastAsia="Times New Roman" w:hAnsi="Times New Roman"/>
          <w:sz w:val="21"/>
          <w:szCs w:val="21"/>
          <w:b w:val="1"/>
          <w:bCs w:val="1"/>
          <w:i w:val="1"/>
          <w:iCs w:val="1"/>
          <w:color w:val="auto"/>
        </w:rPr>
        <w:t>Goldman Sachs &amp; Co. LLC</w:t>
      </w:r>
      <w:r>
        <w:rPr>
          <w:sz w:val="20"/>
          <w:szCs w:val="20"/>
          <w:color w:val="auto"/>
        </w:rPr>
        <w:tab/>
      </w:r>
      <w:r>
        <w:rPr>
          <w:rFonts w:ascii="Times New Roman" w:cs="Times New Roman" w:eastAsia="Times New Roman" w:hAnsi="Times New Roman"/>
          <w:sz w:val="20"/>
          <w:szCs w:val="20"/>
          <w:b w:val="1"/>
          <w:bCs w:val="1"/>
          <w:i w:val="1"/>
          <w:i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411480</wp:posOffset>
            </wp:positionV>
            <wp:extent cx="14605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426085</wp:posOffset>
            </wp:positionV>
            <wp:extent cx="69297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494030</wp:posOffset>
            </wp:positionV>
            <wp:extent cx="692975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type w:val="continuous"/>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8"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The following table sets forth the costs and expenses, other than the underwriting discounts and commissions, payable by Omada Health, Inc. (the “registrant”) in connection with the sale of the common stock being registered. All amounts are estimates except for the U.S. Securities and Exchange Commission (the “SEC”) registration fee, the Financial Industry Regulatory Authority (“FINRA”) filing fee, and the Nasdaq Global Market listing fee.</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9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to Be</w:t>
            </w:r>
          </w:p>
        </w:tc>
      </w:tr>
      <w:tr>
        <w:trPr>
          <w:trHeight w:val="172"/>
        </w:trPr>
        <w:tc>
          <w:tcPr>
            <w:tcW w:w="10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0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6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16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1"/>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filed by amendment.</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certificate of incorporation provides for indemnification by the registrant of its directors, officers, and employees to the fullest extent permitted by the Delaware General Corporation Law. The registrant has entered into indemnification agreements with each of its current directors, executive officers, and certain other officers to provide these directors and officers additional contractual assurances regarding the scope of the indemnification set forth in the registrant’s amended and restated certificate of incorporation and amended and restated bylaws and to provide additional procedural protections.</w:t>
      </w:r>
    </w:p>
    <w:p>
      <w:pPr>
        <w:spacing w:after="0" w:line="189"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 officers may not be indemnified for actions by or in the right of the corporation. The registrant’s amended and restated certificate of incorporation provides for such limitation of liability.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4"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proposed form of underwriting agreement to be filed as Exhibit 1.1 to this registration statement provides for indemnification of officers and directors of the registrant by the underwriters against certain liabilities.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Since January 1, 2021, the registrant made sales of the following unregistered securities:</w:t>
      </w:r>
    </w:p>
    <w:p>
      <w:pPr>
        <w:spacing w:after="0" w:line="1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Equity Plan-Related Issuances</w:t>
      </w:r>
    </w:p>
    <w:p>
      <w:pPr>
        <w:spacing w:after="0" w:line="129" w:lineRule="exact"/>
        <w:rPr>
          <w:sz w:val="20"/>
          <w:szCs w:val="20"/>
          <w:color w:val="auto"/>
        </w:rPr>
      </w:pPr>
    </w:p>
    <w:p>
      <w:pPr>
        <w:jc w:val="both"/>
        <w:ind w:left="1580" w:hanging="436"/>
        <w:spacing w:after="0" w:line="308" w:lineRule="auto"/>
        <w:tabs>
          <w:tab w:leader="none" w:pos="15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2021, the registrant granted to its directors, employees, consultants, and other service providers options to purchase an aggregate of 27,972,359 shares of its common stock under its 2011 Plan, at exercise prices ranging from $1.58 to $3.48 per share.</w:t>
      </w:r>
    </w:p>
    <w:p>
      <w:pPr>
        <w:spacing w:after="0" w:line="46" w:lineRule="exact"/>
        <w:rPr>
          <w:rFonts w:ascii="Times New Roman" w:cs="Times New Roman" w:eastAsia="Times New Roman" w:hAnsi="Times New Roman"/>
          <w:sz w:val="17"/>
          <w:szCs w:val="17"/>
          <w:color w:val="auto"/>
        </w:rPr>
      </w:pPr>
    </w:p>
    <w:p>
      <w:pPr>
        <w:jc w:val="both"/>
        <w:ind w:left="1580" w:hanging="436"/>
        <w:spacing w:after="0" w:line="263" w:lineRule="auto"/>
        <w:tabs>
          <w:tab w:leader="none" w:pos="15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the registrant issued and sold to its directors, employees, consultants, and other service providers an aggregate of 6,283,449 shares of its common stock upon the exercise of stock options under its 2011 Plan, at exercise prices ranging from $0.11 to $3.06 per share, for a weighted-average exercise price of $1.13.</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Sales of Preferred Stock</w:t>
      </w:r>
    </w:p>
    <w:p>
      <w:pPr>
        <w:spacing w:after="0" w:line="129" w:lineRule="exact"/>
        <w:rPr>
          <w:sz w:val="20"/>
          <w:szCs w:val="20"/>
          <w:color w:val="auto"/>
        </w:rPr>
      </w:pPr>
    </w:p>
    <w:p>
      <w:pPr>
        <w:ind w:left="1580" w:hanging="436"/>
        <w:spacing w:after="0" w:line="278" w:lineRule="auto"/>
        <w:tabs>
          <w:tab w:leader="none" w:pos="1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the registrant sold an aggregate of 4,503,601 shares of its Series D-1 redeemable convertible preferred stock to seven accredited investors at a purchase price of $5.9952 per share, for an aggregate purchase price of $27.0 million.</w:t>
      </w:r>
    </w:p>
    <w:p>
      <w:pPr>
        <w:spacing w:after="0" w:line="68" w:lineRule="exact"/>
        <w:rPr>
          <w:rFonts w:ascii="Times New Roman" w:cs="Times New Roman" w:eastAsia="Times New Roman" w:hAnsi="Times New Roman"/>
          <w:sz w:val="18"/>
          <w:szCs w:val="18"/>
          <w:color w:val="auto"/>
        </w:rPr>
      </w:pPr>
    </w:p>
    <w:p>
      <w:pPr>
        <w:jc w:val="both"/>
        <w:ind w:left="1580" w:hanging="436"/>
        <w:spacing w:after="0" w:line="263" w:lineRule="auto"/>
        <w:tabs>
          <w:tab w:leader="none" w:pos="1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2021 through March 2022, the registrant sold an aggregate of 32,291,492 shares of its Series E redeemable convertible preferred stock to 27 accredited investors at a purchase price of $5.9952 per share, for an aggregate purchase price of $193.6 million.</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29" w:lineRule="exact"/>
        <w:rPr>
          <w:sz w:val="20"/>
          <w:szCs w:val="20"/>
          <w:color w:val="auto"/>
        </w:rPr>
      </w:pPr>
    </w:p>
    <w:p>
      <w:pPr>
        <w:ind w:left="1580" w:hanging="436"/>
        <w:spacing w:after="0" w:line="278" w:lineRule="auto"/>
        <w:tabs>
          <w:tab w:leader="none" w:pos="1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registrant issued an aggregate of 89,503 shares of Series A redeemable convertible preferred stock to one accredited investor upon the net exercise of warrants at a purchase price of $0.5342 per share.</w:t>
      </w:r>
    </w:p>
    <w:p>
      <w:pPr>
        <w:spacing w:after="0" w:line="16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No underwriters were involved in these transactions. The offers, sales, and issuances of the securities described in paragraphs (1) and (2)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paragraphs (3), (4), and (5)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w:t>
      </w:r>
    </w:p>
    <w:p>
      <w:pPr>
        <w:spacing w:after="0" w:line="2"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of securities in these transactions was an accredited investor within the meaning of Rule 501 of Regulation D under the Securities Act and had adequate access to information about us.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4"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which Exhibit Index is incorporated herein by reference.</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1" w:lineRule="exact"/>
        <w:rPr>
          <w:sz w:val="20"/>
          <w:szCs w:val="20"/>
          <w:color w:val="auto"/>
        </w:rPr>
      </w:pPr>
    </w:p>
    <w:p>
      <w:pPr>
        <w:jc w:val="both"/>
        <w:ind w:left="1140" w:hanging="421"/>
        <w:spacing w:after="0" w:line="252" w:lineRule="auto"/>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3" w:lineRule="exact"/>
        <w:rPr>
          <w:rFonts w:ascii="Times New Roman" w:cs="Times New Roman" w:eastAsia="Times New Roman" w:hAnsi="Times New Roman"/>
          <w:sz w:val="18"/>
          <w:szCs w:val="18"/>
          <w:color w:val="auto"/>
        </w:rPr>
      </w:pPr>
    </w:p>
    <w:p>
      <w:pPr>
        <w:ind w:left="1140" w:hanging="431"/>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27" w:lineRule="exact"/>
        <w:rPr>
          <w:rFonts w:ascii="Times New Roman" w:cs="Times New Roman" w:eastAsia="Times New Roman" w:hAnsi="Times New Roman"/>
          <w:sz w:val="18"/>
          <w:szCs w:val="18"/>
          <w:color w:val="auto"/>
        </w:rPr>
      </w:pPr>
    </w:p>
    <w:p>
      <w:pPr>
        <w:jc w:val="both"/>
        <w:ind w:left="1580" w:hanging="436"/>
        <w:spacing w:after="0" w:line="258" w:lineRule="auto"/>
        <w:tabs>
          <w:tab w:leader="none" w:pos="15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6" w:lineRule="exact"/>
        <w:rPr>
          <w:rFonts w:ascii="Times New Roman" w:cs="Times New Roman" w:eastAsia="Times New Roman" w:hAnsi="Times New Roman"/>
          <w:sz w:val="18"/>
          <w:szCs w:val="18"/>
          <w:color w:val="auto"/>
        </w:rPr>
      </w:pPr>
    </w:p>
    <w:p>
      <w:pPr>
        <w:jc w:val="both"/>
        <w:ind w:left="1580" w:hanging="436"/>
        <w:spacing w:after="0" w:line="263" w:lineRule="auto"/>
        <w:tabs>
          <w:tab w:leader="none" w:pos="15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4"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10"/>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8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2"/>
              </w:rPr>
              <w:t>    1.1*</w:t>
            </w:r>
          </w:p>
        </w:tc>
        <w:tc>
          <w:tcPr>
            <w:tcW w:w="660" w:type="dxa"/>
            <w:vAlign w:val="bottom"/>
          </w:tcPr>
          <w:p>
            <w:pPr>
              <w:spacing w:after="0"/>
              <w:rPr>
                <w:sz w:val="19"/>
                <w:szCs w:val="19"/>
                <w:color w:val="auto"/>
              </w:rPr>
            </w:pPr>
          </w:p>
        </w:tc>
        <w:tc>
          <w:tcPr>
            <w:tcW w:w="5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0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3.1(a)</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currently in effect.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340" w:right="120" w:hanging="1173"/>
        <w:spacing w:after="0" w:line="278" w:lineRule="auto"/>
        <w:tabs>
          <w:tab w:leader="none" w:pos="2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3.1(b)Certificate of Amendment to the Restated Certificate of Incorporation, dated June 13, 2023.</w:t>
      </w:r>
    </w:p>
    <w:p>
      <w:pPr>
        <w:spacing w:after="0" w:line="5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to be in effect</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immediately prior to the completion of this offering.</w:t>
            </w:r>
          </w:p>
        </w:tc>
      </w:tr>
      <w:tr>
        <w:trPr>
          <w:trHeight w:val="32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Bylaws, currently in effect.</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Amended and Restated Bylaws, to be in effect immediately prior to</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completion of this offering.</w:t>
            </w:r>
          </w:p>
        </w:tc>
      </w:tr>
      <w:tr>
        <w:trPr>
          <w:trHeight w:val="32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is made to exhibits 3.1 through 3.4.</w:t>
            </w:r>
          </w:p>
        </w:tc>
      </w:tr>
      <w:tr>
        <w:trPr>
          <w:trHeight w:val="32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Investors’ Rights Agreement, dated December 22,</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 by and among Omada Health, Inc. and the investors listed therein.</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to Purchase Series B Preferred Stock, dated May 20, 2015, issued to</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Silicon Valley Bank.</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Warrant to Purchase Common Stock, dated August 29, 2017, issued to Silicon</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Valley Bank.</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to Purchase Series D Preferred Stock, dated May 18, 2020, issued to</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Perceptive Credit Holdings III, LP.</w:t>
            </w:r>
          </w:p>
        </w:tc>
      </w:tr>
      <w:tr>
        <w:trPr>
          <w:trHeight w:val="32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Opinion of Latham &amp; Watkins LLP.</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Credit, Security, and Guaranty Agreement, dated as of June 2, 2023, by and</w:t>
            </w:r>
          </w:p>
        </w:tc>
      </w:tr>
      <w:tr>
        <w:trPr>
          <w:trHeight w:val="214"/>
        </w:trPr>
        <w:tc>
          <w:tcPr>
            <w:tcW w:w="84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among Omada Health, Inc., Physera, Inc., MidCap Funding IV Trust, as</w:t>
            </w:r>
          </w:p>
        </w:tc>
      </w:tr>
      <w:tr>
        <w:trPr>
          <w:trHeight w:val="214"/>
        </w:trPr>
        <w:tc>
          <w:tcPr>
            <w:tcW w:w="84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agent, MidCap Financial Trust, as term loan servicer, and the</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lenders, additional borrowers, and guarantors from time to time party thereto.</w:t>
            </w:r>
          </w:p>
        </w:tc>
      </w:tr>
    </w:tbl>
    <w:p>
      <w:pPr>
        <w:spacing w:after="0" w:line="88" w:lineRule="exact"/>
        <w:rPr>
          <w:sz w:val="20"/>
          <w:szCs w:val="20"/>
          <w:color w:val="auto"/>
        </w:rPr>
      </w:pPr>
    </w:p>
    <w:p>
      <w:pPr>
        <w:ind w:left="1340" w:right="260" w:hanging="1173"/>
        <w:spacing w:after="0" w:line="278" w:lineRule="auto"/>
        <w:tabs>
          <w:tab w:leader="none" w:pos="2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10.2(a)^500 Sansome Lease, dated April 30, 2014, by and between Omada Health, Inc. and 500 Sansome Street Investors, LLC.</w:t>
      </w:r>
    </w:p>
    <w:p>
      <w:pPr>
        <w:spacing w:after="0" w:line="55" w:lineRule="exact"/>
        <w:rPr>
          <w:rFonts w:ascii="Times New Roman" w:cs="Times New Roman" w:eastAsia="Times New Roman" w:hAnsi="Times New Roman"/>
          <w:sz w:val="18"/>
          <w:szCs w:val="18"/>
          <w:color w:val="auto"/>
        </w:rPr>
      </w:pPr>
    </w:p>
    <w:p>
      <w:pPr>
        <w:ind w:left="1340" w:right="320" w:hanging="1173"/>
        <w:spacing w:after="0" w:line="278" w:lineRule="auto"/>
        <w:tabs>
          <w:tab w:leader="none" w:pos="2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10.2(b)^First Amendment to Office Lease, dated March 10, 2016, by and between Omada Health, Inc. and 500 Sansome Street Investors, LLC.</w:t>
      </w:r>
    </w:p>
    <w:p>
      <w:pPr>
        <w:spacing w:after="0" w:line="55" w:lineRule="exact"/>
        <w:rPr>
          <w:rFonts w:ascii="Times New Roman" w:cs="Times New Roman" w:eastAsia="Times New Roman" w:hAnsi="Times New Roman"/>
          <w:sz w:val="18"/>
          <w:szCs w:val="18"/>
          <w:color w:val="auto"/>
        </w:rPr>
      </w:pPr>
    </w:p>
    <w:p>
      <w:pPr>
        <w:ind w:left="1340" w:right="300" w:hanging="1173"/>
        <w:spacing w:after="0" w:line="278" w:lineRule="auto"/>
        <w:tabs>
          <w:tab w:leader="none" w:pos="2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10.2(c)^Second Amendment to Office Lease, dated July 19, 2019, by and between Omada Health, Inc. and 500 Sansome Street Investors, LLC.</w:t>
      </w:r>
    </w:p>
    <w:p>
      <w:pPr>
        <w:spacing w:after="0" w:line="55" w:lineRule="exact"/>
        <w:rPr>
          <w:rFonts w:ascii="Times New Roman" w:cs="Times New Roman" w:eastAsia="Times New Roman" w:hAnsi="Times New Roman"/>
          <w:sz w:val="18"/>
          <w:szCs w:val="18"/>
          <w:color w:val="auto"/>
        </w:rPr>
      </w:pPr>
    </w:p>
    <w:p>
      <w:pPr>
        <w:jc w:val="center"/>
        <w:ind w:left="1340" w:right="60" w:hanging="1173"/>
        <w:spacing w:after="0" w:line="278" w:lineRule="auto"/>
        <w:tabs>
          <w:tab w:leader="none" w:pos="2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10.2(d)^Third Amendment to Office Lease, dated November 7, 2019, by and between Omada Health, Inc. and 500 Sansome Street Investors, LLC.</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6985</wp:posOffset>
            </wp:positionV>
            <wp:extent cx="15709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ind w:left="312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tabs>
          <w:tab w:leader="none" w:pos="940" w:val="left"/>
          <w:tab w:leader="none" w:pos="1860" w:val="left"/>
          <w:tab w:leader="none" w:pos="298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Date</w:t>
      </w:r>
      <w:r>
        <w:rPr>
          <w:sz w:val="20"/>
          <w:szCs w:val="20"/>
          <w:color w:val="auto"/>
        </w:rPr>
        <w:tab/>
      </w: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Herewith</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920" w:space="540"/>
            <w:col w:w="3560"/>
          </w:cols>
          <w:pgMar w:left="320" w:top="454" w:right="5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w w:val="99"/>
              </w:rPr>
              <w:t>Exhibit Description</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-635</wp:posOffset>
            </wp:positionV>
            <wp:extent cx="34988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98850" cy="8255"/>
                    </a:xfrm>
                    <a:prstGeom prst="rect">
                      <a:avLst/>
                    </a:prstGeom>
                    <a:noFill/>
                  </pic:spPr>
                </pic:pic>
              </a:graphicData>
            </a:graphic>
          </wp:anchor>
        </w:drawing>
      </w:r>
    </w:p>
    <w:p>
      <w:pPr>
        <w:spacing w:after="0" w:line="67" w:lineRule="exact"/>
        <w:rPr>
          <w:sz w:val="20"/>
          <w:szCs w:val="20"/>
          <w:color w:val="auto"/>
        </w:rPr>
      </w:pPr>
    </w:p>
    <w:p>
      <w:pPr>
        <w:jc w:val="center"/>
        <w:ind w:left="1440" w:right="80" w:hanging="1273"/>
        <w:spacing w:after="0" w:line="278"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10.2(e)^Fourth Amendment to Office Lease, dated January 5, 2022, by and between Omada Health, Inc. and 500 Sansome Street Investors, LLC.</w:t>
      </w:r>
    </w:p>
    <w:p>
      <w:pPr>
        <w:spacing w:after="0" w:line="55" w:lineRule="exact"/>
        <w:rPr>
          <w:rFonts w:ascii="Times New Roman" w:cs="Times New Roman" w:eastAsia="Times New Roman" w:hAnsi="Times New Roman"/>
          <w:sz w:val="18"/>
          <w:szCs w:val="18"/>
          <w:color w:val="auto"/>
        </w:rPr>
      </w:pPr>
    </w:p>
    <w:p>
      <w:pPr>
        <w:ind w:left="1440" w:right="140" w:hanging="1273"/>
        <w:spacing w:after="0" w:line="278"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10.3(a)†*Services Agreement, dated as of February 1, 2018, by and between Omada Health, Inc. and Cigna Health and Life Insurance Company.</w:t>
      </w:r>
    </w:p>
    <w:p>
      <w:pPr>
        <w:spacing w:after="0" w:line="55" w:lineRule="exact"/>
        <w:rPr>
          <w:rFonts w:ascii="Times New Roman" w:cs="Times New Roman" w:eastAsia="Times New Roman" w:hAnsi="Times New Roman"/>
          <w:sz w:val="18"/>
          <w:szCs w:val="18"/>
          <w:color w:val="auto"/>
        </w:rPr>
      </w:pPr>
    </w:p>
    <w:p>
      <w:pPr>
        <w:ind w:left="1440" w:right="100" w:hanging="1273"/>
        <w:spacing w:after="0" w:line="263"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10.3(b)†*Amendment No. 1 to Services Agreement, dated as of February 1, 2018, by and between Omada Health, Inc. and Cigna Health and Life Insurance Company.</w:t>
      </w:r>
    </w:p>
    <w:p>
      <w:pPr>
        <w:spacing w:after="0" w:line="68" w:lineRule="exact"/>
        <w:rPr>
          <w:rFonts w:ascii="Times New Roman" w:cs="Times New Roman" w:eastAsia="Times New Roman" w:hAnsi="Times New Roman"/>
          <w:sz w:val="18"/>
          <w:szCs w:val="18"/>
          <w:color w:val="auto"/>
        </w:rPr>
      </w:pPr>
    </w:p>
    <w:p>
      <w:pPr>
        <w:ind w:left="1440" w:right="40" w:hanging="1273"/>
        <w:spacing w:after="0" w:line="278"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10.4(a)†*Master Services Agreement, dated January 1, 2020, by and between Express Scripts Holding Company, Inc. and Omada Health, Inc.</w:t>
      </w:r>
    </w:p>
    <w:p>
      <w:pPr>
        <w:spacing w:after="0" w:line="55" w:lineRule="exact"/>
        <w:rPr>
          <w:rFonts w:ascii="Times New Roman" w:cs="Times New Roman" w:eastAsia="Times New Roman" w:hAnsi="Times New Roman"/>
          <w:sz w:val="18"/>
          <w:szCs w:val="18"/>
          <w:color w:val="auto"/>
        </w:rPr>
      </w:pPr>
    </w:p>
    <w:p>
      <w:pPr>
        <w:ind w:left="1440" w:right="40" w:hanging="1273"/>
        <w:spacing w:after="0" w:line="258"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10.4(b)†*Amendment No. 1 to Master Services Agreement, dated as of July 22, 2021, by and between Evernorth Health, Inc., f/k/a Express Scripts Health and Welfare Plan and Express Scripts Holding Company, Inc. (f/k/a ESHC), and Omada Health, Inc.</w:t>
      </w:r>
    </w:p>
    <w:p>
      <w:pPr>
        <w:spacing w:after="0" w:line="72" w:lineRule="exact"/>
        <w:rPr>
          <w:rFonts w:ascii="Times New Roman" w:cs="Times New Roman" w:eastAsia="Times New Roman" w:hAnsi="Times New Roman"/>
          <w:sz w:val="18"/>
          <w:szCs w:val="18"/>
          <w:color w:val="auto"/>
        </w:rPr>
      </w:pPr>
    </w:p>
    <w:p>
      <w:pPr>
        <w:ind w:left="1440" w:right="80" w:hanging="1273"/>
        <w:spacing w:after="0" w:line="263"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10.4(c)†*Amendment No. 2 to Master Services Agreement, dated as of February 14, 2023, by and between Evernorth Health, Inc., f/k/a Express Scripts Holding Company, Inc., and Omada Health, Inc.</w:t>
      </w:r>
    </w:p>
    <w:p>
      <w:pPr>
        <w:spacing w:after="0" w:line="68" w:lineRule="exact"/>
        <w:rPr>
          <w:rFonts w:ascii="Times New Roman" w:cs="Times New Roman" w:eastAsia="Times New Roman" w:hAnsi="Times New Roman"/>
          <w:sz w:val="18"/>
          <w:szCs w:val="18"/>
          <w:color w:val="auto"/>
        </w:rPr>
      </w:pPr>
    </w:p>
    <w:p>
      <w:pPr>
        <w:ind w:left="1440" w:hanging="1273"/>
        <w:spacing w:after="0" w:line="308"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10.5(a)†*</w:t>
      </w:r>
      <w:r>
        <w:rPr>
          <w:rFonts w:ascii="Times New Roman" w:cs="Times New Roman" w:eastAsia="Times New Roman" w:hAnsi="Times New Roman"/>
          <w:sz w:val="17"/>
          <w:szCs w:val="17"/>
          <w:color w:val="auto"/>
        </w:rPr>
        <w:t>Administrative Services Agreement, dated as of January 1, 2020, by and between Omada Health, Inc. and Cigna Health and Life Insurance Company.</w:t>
      </w:r>
    </w:p>
    <w:p>
      <w:pPr>
        <w:spacing w:after="0" w:line="33" w:lineRule="exact"/>
        <w:rPr>
          <w:rFonts w:ascii="Times New Roman" w:cs="Times New Roman" w:eastAsia="Times New Roman" w:hAnsi="Times New Roman"/>
          <w:sz w:val="18"/>
          <w:szCs w:val="18"/>
          <w:color w:val="auto"/>
        </w:rPr>
      </w:pPr>
    </w:p>
    <w:p>
      <w:pPr>
        <w:ind w:left="260" w:hanging="93"/>
        <w:spacing w:after="0"/>
        <w:tabs>
          <w:tab w:leader="none" w:pos="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10.5(b)†*</w:t>
      </w:r>
      <w:r>
        <w:rPr>
          <w:rFonts w:ascii="Times New Roman" w:cs="Times New Roman" w:eastAsia="Times New Roman" w:hAnsi="Times New Roman"/>
          <w:sz w:val="17"/>
          <w:szCs w:val="17"/>
          <w:color w:val="auto"/>
        </w:rPr>
        <w:t>Amendment No. 1 to Administrative Services Agreement, dated as of</w:t>
      </w:r>
    </w:p>
    <w:p>
      <w:pPr>
        <w:spacing w:after="0" w:line="26" w:lineRule="exact"/>
        <w:rPr>
          <w:sz w:val="20"/>
          <w:szCs w:val="20"/>
          <w:color w:val="auto"/>
        </w:rPr>
      </w:pPr>
    </w:p>
    <w:p>
      <w:pPr>
        <w:ind w:left="1440" w:right="280"/>
        <w:spacing w:after="0" w:line="256" w:lineRule="auto"/>
        <w:rPr>
          <w:sz w:val="20"/>
          <w:szCs w:val="20"/>
          <w:color w:val="auto"/>
        </w:rPr>
      </w:pPr>
      <w:r>
        <w:rPr>
          <w:rFonts w:ascii="Times New Roman" w:cs="Times New Roman" w:eastAsia="Times New Roman" w:hAnsi="Times New Roman"/>
          <w:sz w:val="18"/>
          <w:szCs w:val="18"/>
          <w:color w:val="auto"/>
        </w:rPr>
        <w:t>April 6, 2021, by and between Omada Health, Inc. and Cigna Health and Life Insurance Company.</w:t>
      </w:r>
    </w:p>
    <w:p>
      <w:pPr>
        <w:spacing w:after="0" w:line="75" w:lineRule="exact"/>
        <w:rPr>
          <w:sz w:val="20"/>
          <w:szCs w:val="20"/>
          <w:color w:val="auto"/>
        </w:rPr>
      </w:pPr>
    </w:p>
    <w:p>
      <w:pPr>
        <w:ind w:left="1440" w:right="40" w:hanging="1273"/>
        <w:spacing w:after="0" w:line="263" w:lineRule="auto"/>
        <w:tabs>
          <w:tab w:leader="none" w:pos="2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10.5(c)†*Amendment No. 2 to Administrative Service Agreement, dated as of May 7, 2022, by and between Omada Health, Inc. and Cigna Health and Life Insurance Company.</w:t>
      </w:r>
    </w:p>
    <w:p>
      <w:pPr>
        <w:spacing w:after="0" w:line="6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Administrative Services Agreement, dated as of December 13, 2022, by and</w:t>
            </w:r>
          </w:p>
        </w:tc>
      </w:tr>
      <w:tr>
        <w:trPr>
          <w:trHeight w:val="233"/>
        </w:trPr>
        <w:tc>
          <w:tcPr>
            <w:tcW w:w="940" w:type="dxa"/>
            <w:vAlign w:val="bottom"/>
          </w:tcPr>
          <w:p>
            <w:pPr>
              <w:spacing w:after="0"/>
              <w:rPr>
                <w:sz w:val="20"/>
                <w:szCs w:val="20"/>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between Omada Health, Inc. and Allegiance Benefit Plan Management, Inc.</w:t>
            </w:r>
          </w:p>
        </w:tc>
      </w:tr>
    </w:tbl>
    <w:p>
      <w:pPr>
        <w:spacing w:after="0" w:line="88" w:lineRule="exact"/>
        <w:rPr>
          <w:sz w:val="20"/>
          <w:szCs w:val="20"/>
          <w:color w:val="auto"/>
        </w:rPr>
      </w:pPr>
    </w:p>
    <w:p>
      <w:pPr>
        <w:ind w:left="260" w:hanging="93"/>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10.7(a)#</w:t>
      </w:r>
      <w:r>
        <w:rPr>
          <w:rFonts w:ascii="Times New Roman" w:cs="Times New Roman" w:eastAsia="Times New Roman" w:hAnsi="Times New Roman"/>
          <w:sz w:val="17"/>
          <w:szCs w:val="17"/>
          <w:color w:val="auto"/>
        </w:rPr>
        <w:t>2011 Stock Plan.</w:t>
      </w:r>
    </w:p>
    <w:p>
      <w:pPr>
        <w:spacing w:after="0" w:line="113" w:lineRule="exact"/>
        <w:rPr>
          <w:rFonts w:ascii="Times New Roman" w:cs="Times New Roman" w:eastAsia="Times New Roman" w:hAnsi="Times New Roman"/>
          <w:sz w:val="18"/>
          <w:szCs w:val="18"/>
          <w:color w:val="auto"/>
        </w:rPr>
      </w:pPr>
    </w:p>
    <w:p>
      <w:pPr>
        <w:ind w:left="260" w:hanging="93"/>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10.7(b)#</w:t>
      </w:r>
      <w:r>
        <w:rPr>
          <w:rFonts w:ascii="Times New Roman" w:cs="Times New Roman" w:eastAsia="Times New Roman" w:hAnsi="Times New Roman"/>
          <w:sz w:val="17"/>
          <w:szCs w:val="17"/>
          <w:color w:val="auto"/>
        </w:rPr>
        <w:t>Form Agreements under 2011 Stock Plan.</w:t>
      </w:r>
    </w:p>
    <w:p>
      <w:pPr>
        <w:spacing w:after="0" w:line="113" w:lineRule="exact"/>
        <w:rPr>
          <w:rFonts w:ascii="Times New Roman" w:cs="Times New Roman" w:eastAsia="Times New Roman" w:hAnsi="Times New Roman"/>
          <w:sz w:val="18"/>
          <w:szCs w:val="18"/>
          <w:color w:val="auto"/>
        </w:rPr>
      </w:pPr>
    </w:p>
    <w:p>
      <w:pPr>
        <w:ind w:left="260" w:hanging="93"/>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10.8(a)#*</w:t>
      </w:r>
      <w:r>
        <w:rPr>
          <w:rFonts w:ascii="Times New Roman" w:cs="Times New Roman" w:eastAsia="Times New Roman" w:hAnsi="Times New Roman"/>
          <w:sz w:val="17"/>
          <w:szCs w:val="17"/>
          <w:color w:val="auto"/>
        </w:rPr>
        <w:t>2024 Incentive Award Plan.</w:t>
      </w:r>
    </w:p>
    <w:p>
      <w:pPr>
        <w:spacing w:after="0" w:line="113" w:lineRule="exact"/>
        <w:rPr>
          <w:rFonts w:ascii="Times New Roman" w:cs="Times New Roman" w:eastAsia="Times New Roman" w:hAnsi="Times New Roman"/>
          <w:sz w:val="18"/>
          <w:szCs w:val="18"/>
          <w:color w:val="auto"/>
        </w:rPr>
      </w:pPr>
    </w:p>
    <w:p>
      <w:pPr>
        <w:ind w:left="260" w:hanging="93"/>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10.8(b)#*</w:t>
      </w:r>
      <w:r>
        <w:rPr>
          <w:rFonts w:ascii="Times New Roman" w:cs="Times New Roman" w:eastAsia="Times New Roman" w:hAnsi="Times New Roman"/>
          <w:sz w:val="17"/>
          <w:szCs w:val="17"/>
          <w:color w:val="auto"/>
        </w:rPr>
        <w:t>Form Agreements under 2024 Incentive Award Plan.</w:t>
      </w:r>
    </w:p>
    <w:p>
      <w:pPr>
        <w:spacing w:after="0" w:line="114"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2024 Employee Stock Purchase Plan.</w:t>
            </w:r>
          </w:p>
        </w:tc>
      </w:tr>
      <w:tr>
        <w:trPr>
          <w:trHeight w:val="32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10.10#*</w:t>
            </w:r>
          </w:p>
        </w:tc>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Non-Employee Director Compensation Program.</w:t>
            </w:r>
          </w:p>
        </w:tc>
      </w:tr>
      <w:tr>
        <w:trPr>
          <w:trHeight w:val="32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10.11#*</w:t>
            </w:r>
          </w:p>
        </w:tc>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Indemnification Agreement for Directors and Officers.</w:t>
            </w:r>
          </w:p>
        </w:tc>
      </w:tr>
      <w:tr>
        <w:trPr>
          <w:trHeight w:val="32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10.12#</w:t>
            </w:r>
          </w:p>
        </w:tc>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Offer Letter, by and between Omada Health, Inc. and Steve Cook.</w:t>
            </w:r>
          </w:p>
        </w:tc>
      </w:tr>
      <w:tr>
        <w:trPr>
          <w:trHeight w:val="361"/>
        </w:trPr>
        <w:tc>
          <w:tcPr>
            <w:tcW w:w="980" w:type="dxa"/>
            <w:vAlign w:val="bottom"/>
          </w:tcPr>
          <w:p>
            <w:pPr>
              <w:spacing w:after="0"/>
              <w:rPr>
                <w:sz w:val="24"/>
                <w:szCs w:val="24"/>
                <w:color w:val="auto"/>
              </w:rPr>
            </w:pPr>
          </w:p>
        </w:tc>
        <w:tc>
          <w:tcPr>
            <w:tcW w:w="500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II-5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6985</wp:posOffset>
            </wp:positionV>
            <wp:extent cx="155384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ind w:left="310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tabs>
          <w:tab w:leader="none" w:pos="940" w:val="left"/>
          <w:tab w:leader="none" w:pos="1840" w:val="left"/>
          <w:tab w:leader="none" w:pos="29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Date</w:t>
      </w:r>
      <w:r>
        <w:rPr>
          <w:sz w:val="20"/>
          <w:szCs w:val="20"/>
          <w:color w:val="auto"/>
        </w:rPr>
        <w:tab/>
      </w: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Herewith</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920" w:space="560"/>
            <w:col w:w="3540"/>
          </w:cols>
          <w:pgMar w:left="320" w:top="454" w:right="5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8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9"/>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10.13#</w:t>
            </w: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Offer Letter, by and between Omada Health, Inc. and Wei-Li Shao.</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340" w:right="320" w:hanging="1173"/>
        <w:spacing w:after="0" w:line="278" w:lineRule="auto"/>
        <w:tabs>
          <w:tab w:leader="none" w:pos="2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10.14#*Change in Control and Severance Agreement, by and between Omada Health, Inc. and Sean Duffy.</w:t>
      </w:r>
    </w:p>
    <w:p>
      <w:pPr>
        <w:spacing w:after="0" w:line="55" w:lineRule="exact"/>
        <w:rPr>
          <w:rFonts w:ascii="Times New Roman" w:cs="Times New Roman" w:eastAsia="Times New Roman" w:hAnsi="Times New Roman"/>
          <w:sz w:val="18"/>
          <w:szCs w:val="18"/>
          <w:color w:val="auto"/>
        </w:rPr>
      </w:pPr>
    </w:p>
    <w:p>
      <w:pPr>
        <w:ind w:left="1340" w:right="320" w:hanging="1173"/>
        <w:spacing w:after="0" w:line="278" w:lineRule="auto"/>
        <w:tabs>
          <w:tab w:leader="none" w:pos="2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10.15#*Change in Control and Severance Agreement, by and between Omada Health, Inc. and Steve Cook.</w:t>
      </w:r>
    </w:p>
    <w:p>
      <w:pPr>
        <w:spacing w:after="0" w:line="55" w:lineRule="exact"/>
        <w:rPr>
          <w:rFonts w:ascii="Times New Roman" w:cs="Times New Roman" w:eastAsia="Times New Roman" w:hAnsi="Times New Roman"/>
          <w:sz w:val="18"/>
          <w:szCs w:val="18"/>
          <w:color w:val="auto"/>
        </w:rPr>
      </w:pPr>
    </w:p>
    <w:p>
      <w:pPr>
        <w:ind w:left="1340" w:right="320" w:hanging="1173"/>
        <w:spacing w:after="0" w:line="278" w:lineRule="auto"/>
        <w:tabs>
          <w:tab w:leader="none" w:pos="2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10.16#*Change in Control and Severance Agreement, by and between Omada Health, Inc. and Wei-Li Shao.</w:t>
      </w:r>
    </w:p>
    <w:p>
      <w:pPr>
        <w:spacing w:after="0" w:line="5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16.1*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of PricewaterhouseCoopers LLP to the U.S. Securities and Exchange</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Commission</w:t>
            </w:r>
          </w:p>
        </w:tc>
      </w:tr>
      <w:tr>
        <w:trPr>
          <w:trHeight w:val="32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Consent of Deloitte &amp; Touche LLP, independent registered public accounting</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firm.</w:t>
            </w:r>
          </w:p>
        </w:tc>
      </w:tr>
      <w:tr>
        <w:trPr>
          <w:trHeight w:val="32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Latham &amp; Watkins LLP (included in Exhibit 5.1).</w:t>
            </w:r>
          </w:p>
        </w:tc>
      </w:tr>
      <w:tr>
        <w:trPr>
          <w:trHeight w:val="30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Power of Attorney (reference is made to the signature page to the Registration</w:t>
            </w:r>
          </w:p>
        </w:tc>
      </w:tr>
      <w:tr>
        <w:trPr>
          <w:trHeight w:val="233"/>
        </w:trPr>
        <w:tc>
          <w:tcPr>
            <w:tcW w:w="84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Statement).</w:t>
            </w:r>
          </w:p>
        </w:tc>
      </w:tr>
      <w:tr>
        <w:trPr>
          <w:trHeight w:val="32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6985</wp:posOffset>
            </wp:positionV>
            <wp:extent cx="14693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290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tabs>
          <w:tab w:leader="none" w:pos="860" w:val="left"/>
          <w:tab w:leader="none" w:pos="1700" w:val="left"/>
          <w:tab w:leader="none" w:pos="27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Date</w:t>
      </w:r>
      <w:r>
        <w:rPr>
          <w:sz w:val="20"/>
          <w:szCs w:val="20"/>
          <w:color w:val="auto"/>
        </w:rPr>
        <w:tab/>
      </w: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Herewith</w:t>
      </w:r>
    </w:p>
    <w:p>
      <w:pPr>
        <w:spacing w:after="0" w:line="8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X</w:t>
      </w:r>
    </w:p>
    <w:p>
      <w:pPr>
        <w:spacing w:after="0" w:line="1919" w:lineRule="exact"/>
        <w:rPr>
          <w:sz w:val="20"/>
          <w:szCs w:val="20"/>
          <w:color w:val="auto"/>
        </w:rPr>
      </w:pPr>
    </w:p>
    <w:p>
      <w:pPr>
        <w:sectPr>
          <w:pgSz w:w="11900" w:h="16838" w:orient="portrait"/>
          <w:cols w:equalWidth="0" w:num="2">
            <w:col w:w="7220" w:space="460"/>
            <w:col w:w="3400"/>
          </w:cols>
          <w:pgMar w:left="320" w:top="454" w:right="499" w:bottom="1440" w:gutter="0" w:footer="0" w:header="0"/>
          <w:type w:val="continuous"/>
        </w:sectPr>
      </w:pPr>
    </w:p>
    <w:p>
      <w:pPr>
        <w:ind w:left="600" w:hanging="433"/>
        <w:spacing w:after="0"/>
        <w:tabs>
          <w:tab w:leader="none" w:pos="6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6" w:lineRule="exact"/>
        <w:rPr>
          <w:sz w:val="20"/>
          <w:szCs w:val="20"/>
          <w:color w:val="auto"/>
        </w:rPr>
      </w:pPr>
    </w:p>
    <w:p>
      <w:pPr>
        <w:ind w:left="600" w:hanging="433"/>
        <w:spacing w:after="0"/>
        <w:tabs>
          <w:tab w:leader="none" w:pos="6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7" w:lineRule="exact"/>
        <w:rPr>
          <w:sz w:val="20"/>
          <w:szCs w:val="20"/>
          <w:color w:val="auto"/>
        </w:rPr>
      </w:pPr>
    </w:p>
    <w:p>
      <w:pPr>
        <w:ind w:left="600" w:hanging="433"/>
        <w:spacing w:after="0" w:line="248" w:lineRule="auto"/>
        <w:tabs>
          <w:tab w:leader="none" w:pos="6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in accordance with Item 601(b)(10) of Regulation S-K because the omitted information (i) is not material and (ii) is the type of information that Omada Health, Inc. treats as private or confidential.</w:t>
      </w:r>
    </w:p>
    <w:p>
      <w:pPr>
        <w:ind w:left="600" w:hanging="433"/>
        <w:spacing w:after="0" w:line="256" w:lineRule="auto"/>
        <w:tabs>
          <w:tab w:leader="none" w:pos="6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601(a)(5) of Regulation S-K. Omada Health, Inc. undertakes to furnish a copy of all omitted schedules and exhibits to the SEC upon its request.</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80"/>
          </w:cols>
          <w:pgMar w:left="320" w:top="454" w:right="499" w:bottom="1440" w:gutter="0" w:footer="0" w:header="0"/>
          <w:type w:val="continuous"/>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San Francisco, State of California on         , 2024.</w:t>
      </w:r>
    </w:p>
    <w:p>
      <w:pPr>
        <w:spacing w:after="0" w:line="18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15875</wp:posOffset>
            </wp:positionV>
            <wp:extent cx="25730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Sean Duffy</w:t>
      </w:r>
    </w:p>
    <w:p>
      <w:pPr>
        <w:spacing w:after="0" w:line="2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Sean Duffy and Steve Cook,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9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8"/>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Sean Duffy</w:t>
            </w:r>
          </w:p>
        </w:tc>
        <w:tc>
          <w:tcPr>
            <w:tcW w:w="100" w:type="dxa"/>
            <w:vAlign w:val="bottom"/>
          </w:tcPr>
          <w:p>
            <w:pPr>
              <w:spacing w:after="0"/>
              <w:rPr>
                <w:sz w:val="19"/>
                <w:szCs w:val="19"/>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2"/>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 Cook</w:t>
            </w:r>
          </w:p>
        </w:tc>
        <w:tc>
          <w:tcPr>
            <w:tcW w:w="100" w:type="dxa"/>
            <w:vAlign w:val="bottom"/>
          </w:tcPr>
          <w:p>
            <w:pPr>
              <w:spacing w:after="0"/>
              <w:rPr>
                <w:sz w:val="19"/>
                <w:szCs w:val="19"/>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2"/>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Chairperson of the Board of Directors</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Jeryl Hilleman</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2"/>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Casper de Clercq</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2"/>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Trevor Fetter</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2"/>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Adrian James</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2"/>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Vijay Pande, Ph.D.</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2"/>
        </w:trPr>
        <w:tc>
          <w:tcPr>
            <w:tcW w:w="3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 2024</w:t>
            </w:r>
          </w:p>
        </w:tc>
      </w:tr>
      <w:tr>
        <w:trPr>
          <w:trHeight w:val="22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Jonathan Root, M.D.</w:t>
            </w:r>
          </w:p>
        </w:tc>
        <w:tc>
          <w:tcPr>
            <w:tcW w:w="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ectPr>
          <w:pgSz w:w="11900" w:h="16838" w:orient="portrait"/>
          <w:cols w:equalWidth="0" w:num="1">
            <w:col w:w="11080"/>
          </w:cols>
          <w:pgMar w:left="320" w:top="454" w:right="49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242 and 245 of the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w:t>
      </w:r>
    </w:p>
    <w:p>
      <w:pPr>
        <w:spacing w:after="0" w:line="202" w:lineRule="exact"/>
        <w:rPr>
          <w:sz w:val="20"/>
          <w:szCs w:val="20"/>
          <w:color w:val="auto"/>
        </w:rPr>
      </w:pPr>
    </w:p>
    <w:p>
      <w:pPr>
        <w:ind w:right="380" w:firstLine="436"/>
        <w:spacing w:after="0" w:line="278" w:lineRule="auto"/>
        <w:rPr>
          <w:sz w:val="20"/>
          <w:szCs w:val="20"/>
          <w:color w:val="auto"/>
        </w:rPr>
      </w:pPr>
      <w:r>
        <w:rPr>
          <w:rFonts w:ascii="Times New Roman" w:cs="Times New Roman" w:eastAsia="Times New Roman" w:hAnsi="Times New Roman"/>
          <w:sz w:val="18"/>
          <w:szCs w:val="18"/>
          <w:color w:val="auto"/>
        </w:rPr>
        <w:t>Omada Health,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14"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the name of this corporation is Omada Health, Inc. and that this corporation was originally incorporated pursuant to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on April 25, 2011 under the name Omada Health, Inc.</w:t>
      </w:r>
    </w:p>
    <w:p>
      <w:pPr>
        <w:spacing w:after="0" w:line="156"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the Board of Directors duly adopted resolutions proposing to amend and restate the Certificate of Incorporation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be amended and restated in its entirety as follows: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corporation is Omada Health, Inc.</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right="240" w:firstLine="436"/>
        <w:spacing w:after="0" w:line="278" w:lineRule="auto"/>
        <w:rPr>
          <w:sz w:val="20"/>
          <w:szCs w:val="20"/>
          <w:color w:val="auto"/>
        </w:rPr>
      </w:pPr>
      <w:r>
        <w:rPr>
          <w:rFonts w:ascii="Times New Roman" w:cs="Times New Roman" w:eastAsia="Times New Roman" w:hAnsi="Times New Roman"/>
          <w:sz w:val="18"/>
          <w:szCs w:val="18"/>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right="500" w:firstLine="436"/>
        <w:spacing w:after="0" w:line="278"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right="4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Authorization of Stock</w:t>
      </w:r>
      <w:r>
        <w:rPr>
          <w:rFonts w:ascii="Times New Roman" w:cs="Times New Roman" w:eastAsia="Times New Roman" w:hAnsi="Times New Roman"/>
          <w:sz w:val="18"/>
          <w:szCs w:val="18"/>
          <w:color w:val="auto"/>
        </w:rPr>
        <w:t>. This corporation is authorized to issue two classes of stock to be designated, respectively, common stock and preferred stock. The total number of shares that this corporation is authorized to issue is 296,989,139. The total number of shares of common stock authorized to be issued is 176,300,000,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w:t>
      </w:r>
    </w:p>
    <w:p>
      <w:pPr>
        <w:sectPr>
          <w:pgSz w:w="11900" w:h="16838" w:orient="portrait"/>
          <w:cols w:equalWidth="0" w:num="1">
            <w:col w:w="10920"/>
          </w:cols>
          <w:pgMar w:left="480" w:top="117" w:right="499" w:bottom="1440" w:gutter="0" w:footer="0" w:header="0"/>
        </w:sectPr>
      </w:pPr>
    </w:p>
    <w:bookmarkStart w:id="273" w:name="page274"/>
    <w:bookmarkEnd w:id="27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total number of shares of preferred stock authorized to be issued is 120,689,139, par value $0.001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12,027,426 of which shares are designated as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19,724,378 of which shares are designated as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15,385,707 of which shares are designated as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13,357,797 of which shares are designated as “</w:t>
      </w:r>
      <w:r>
        <w:rPr>
          <w:rFonts w:ascii="Times New Roman" w:cs="Times New Roman" w:eastAsia="Times New Roman" w:hAnsi="Times New Roman"/>
          <w:sz w:val="18"/>
          <w:szCs w:val="18"/>
          <w:b w:val="1"/>
          <w:bCs w:val="1"/>
          <w:i w:val="1"/>
          <w:iCs w:val="1"/>
          <w:color w:val="auto"/>
        </w:rPr>
        <w:t>Series C-1 Preferred Stock</w:t>
      </w:r>
      <w:r>
        <w:rPr>
          <w:rFonts w:ascii="Times New Roman" w:cs="Times New Roman" w:eastAsia="Times New Roman" w:hAnsi="Times New Roman"/>
          <w:sz w:val="18"/>
          <w:szCs w:val="18"/>
          <w:color w:val="auto"/>
        </w:rPr>
        <w:t>”, 22,330,212 of which shares are designated as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4,503,601 of which shares are designated as “</w:t>
      </w:r>
      <w:r>
        <w:rPr>
          <w:rFonts w:ascii="Times New Roman" w:cs="Times New Roman" w:eastAsia="Times New Roman" w:hAnsi="Times New Roman"/>
          <w:sz w:val="18"/>
          <w:szCs w:val="18"/>
          <w:b w:val="1"/>
          <w:bCs w:val="1"/>
          <w:i w:val="1"/>
          <w:iCs w:val="1"/>
          <w:color w:val="auto"/>
        </w:rPr>
        <w:t>Series D-1 Preferred Stock</w:t>
      </w:r>
      <w:r>
        <w:rPr>
          <w:rFonts w:ascii="Times New Roman" w:cs="Times New Roman" w:eastAsia="Times New Roman" w:hAnsi="Times New Roman"/>
          <w:sz w:val="18"/>
          <w:szCs w:val="18"/>
          <w:color w:val="auto"/>
        </w:rPr>
        <w:t>” and 33,360,018 of which shares are designated as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300" w:firstLine="436"/>
        <w:spacing w:after="0" w:line="27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Rights, Preferences and Restrictions of Preferred Stock</w:t>
      </w:r>
      <w:r>
        <w:rPr>
          <w:rFonts w:ascii="Times New Roman" w:cs="Times New Roman" w:eastAsia="Times New Roman" w:hAnsi="Times New Roman"/>
          <w:sz w:val="18"/>
          <w:szCs w:val="18"/>
          <w:color w:val="auto"/>
        </w:rPr>
        <w:t>. The rights, preferences, privileges and restrictions granted to and imposed on the Preferred Stock are as set forth below in this Article IV(B).</w:t>
      </w:r>
    </w:p>
    <w:p>
      <w:pPr>
        <w:spacing w:after="0" w:line="2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Dividend Provisions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1419"/>
        <w:spacing w:after="0" w:line="265" w:lineRule="auto"/>
        <w:rPr>
          <w:sz w:val="20"/>
          <w:szCs w:val="20"/>
          <w:color w:val="auto"/>
        </w:rPr>
      </w:pPr>
      <w:r>
        <w:rPr>
          <w:rFonts w:ascii="Times New Roman" w:cs="Times New Roman" w:eastAsia="Times New Roman" w:hAnsi="Times New Roman"/>
          <w:sz w:val="17"/>
          <w:szCs w:val="17"/>
          <w:color w:val="auto"/>
        </w:rPr>
        <w:t>(a)  The holders of shares of Preferred Stock shall be entitled to receive dividends, out of any assets legally available therefor, prior to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applicable Dividend Rate (as defined below), payable when, as and if declared by the Board of Directors. Payments of any dividends to the holders of each such series of Preferred Stock shall be paid pro rata, on an equal priority, pari passu basis according to their respective dividend preferences as set forth herein. Such dividends shall not be mandatory or cumulative and no rights or interest shall accrue to the holders of the Preferred Stock by reason of the fact that this corporation shall fail to declare or pay dividends on the Preferred Stock in the amount of the respective annual Dividend Rate for each such series or in any other amount in any calendar year or any fiscal year of the corporation, whether or not the earnings of this corporation in any calendar year or fiscal year were sufficient to pay such dividends in whole or in part. The holders of the outstanding Preferred Stock can waive any dividend preference that such holders shall be entitled to receive under this Section 1 upon the affirmative vote or written consent of the holders of at least fifty-two percent (52%) of the shares of Preferred Stock then outstanding (voting together as a single class and not as separate series, and on an as-converted basis). For purposes of this subsection 1(a), “</w:t>
      </w:r>
      <w:r>
        <w:rPr>
          <w:rFonts w:ascii="Times New Roman" w:cs="Times New Roman" w:eastAsia="Times New Roman" w:hAnsi="Times New Roman"/>
          <w:sz w:val="17"/>
          <w:szCs w:val="17"/>
          <w:b w:val="1"/>
          <w:bCs w:val="1"/>
          <w:i w:val="1"/>
          <w:iCs w:val="1"/>
          <w:color w:val="auto"/>
        </w:rPr>
        <w:t>Dividend Rate</w:t>
      </w:r>
      <w:r>
        <w:rPr>
          <w:rFonts w:ascii="Times New Roman" w:cs="Times New Roman" w:eastAsia="Times New Roman" w:hAnsi="Times New Roman"/>
          <w:sz w:val="17"/>
          <w:szCs w:val="17"/>
          <w:color w:val="auto"/>
        </w:rPr>
        <w:t>” shall mean $0.0321 per annum for each share of Series A Preferred Stock, $0.071 per annum for each share of Series B Preferred Stock, $0.1897 per annum for each share of Series C Preferred Stock, $0.2245 per annum for each share of Series C-1 Preferred Stock, $0.3022 per annum for each share of Series D Preferred Stock, $0.3597 per annum for each share of Series D-1 Preferred Stock and $0.3597 per annum for each share of Series E Preferred Stock (in each case, as adjusted for any stock splits, stock dividends, combinations, subdivisions, recapitalizations, reorganizations, reclassifications or the like with respect to such series of Preferred Stock).</w:t>
      </w:r>
    </w:p>
    <w:p>
      <w:pPr>
        <w:spacing w:after="0" w:line="184" w:lineRule="exact"/>
        <w:rPr>
          <w:sz w:val="20"/>
          <w:szCs w:val="20"/>
          <w:color w:val="auto"/>
        </w:rPr>
      </w:pPr>
    </w:p>
    <w:p>
      <w:pPr>
        <w:ind w:right="140" w:firstLine="1419"/>
        <w:spacing w:after="0" w:line="263" w:lineRule="auto"/>
        <w:rPr>
          <w:sz w:val="20"/>
          <w:szCs w:val="20"/>
          <w:color w:val="auto"/>
        </w:rPr>
      </w:pPr>
      <w:r>
        <w:rPr>
          <w:rFonts w:ascii="Times New Roman" w:cs="Times New Roman" w:eastAsia="Times New Roman" w:hAnsi="Times New Roman"/>
          <w:sz w:val="18"/>
          <w:szCs w:val="18"/>
          <w:color w:val="auto"/>
        </w:rPr>
        <w:t>(b)  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4" w:right="539" w:bottom="1440" w:gutter="0" w:footer="0" w:header="0"/>
        </w:sectPr>
      </w:pPr>
    </w:p>
    <w:bookmarkStart w:id="274" w:name="page275"/>
    <w:bookmarkEnd w:id="2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1419"/>
        <w:spacing w:after="0" w:line="250" w:lineRule="auto"/>
        <w:rPr>
          <w:sz w:val="20"/>
          <w:szCs w:val="20"/>
          <w:color w:val="auto"/>
        </w:rPr>
      </w:pPr>
      <w:r>
        <w:rPr>
          <w:rFonts w:ascii="Times New Roman" w:cs="Times New Roman" w:eastAsia="Times New Roman" w:hAnsi="Times New Roman"/>
          <w:sz w:val="18"/>
          <w:szCs w:val="18"/>
          <w:color w:val="auto"/>
        </w:rPr>
        <w:t>(a)  In the event of any Liquidation Event (as defined below), either voluntary or involuntary, the holders of each series of Preferred Stock shall be entitled to receive out of the proceeds or assets of this corporation available for distribution to its stockholders (the “</w:t>
      </w:r>
      <w:r>
        <w:rPr>
          <w:rFonts w:ascii="Times New Roman" w:cs="Times New Roman" w:eastAsia="Times New Roman" w:hAnsi="Times New Roman"/>
          <w:sz w:val="18"/>
          <w:szCs w:val="18"/>
          <w:b w:val="1"/>
          <w:bCs w:val="1"/>
          <w:i w:val="1"/>
          <w:iCs w:val="1"/>
          <w:color w:val="auto"/>
        </w:rPr>
        <w:t>Proceeds</w:t>
      </w:r>
      <w:r>
        <w:rPr>
          <w:rFonts w:ascii="Times New Roman" w:cs="Times New Roman" w:eastAsia="Times New Roman" w:hAnsi="Times New Roman"/>
          <w:sz w:val="18"/>
          <w:szCs w:val="18"/>
          <w:color w:val="auto"/>
        </w:rPr>
        <w:t>”), prior and in preference to any distribution of the Proceeds of such Liquidation Event to the holders of Common Stock by reason of their ownership thereof, an amount per share equal to the sum of the applicable Original Issue Price (as defined below) for such series of Preferred Stock, plus declared but unpaid dividends on such share.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pro rata, on an equal priority, pari passu basis among the holders of the Preferred Stock in proportion to the full preferential amount that each such holder is otherwise entitled to receive under this subsection (a). For purposes of this Restated Certificate of Incorporation, “</w:t>
      </w:r>
      <w:r>
        <w:rPr>
          <w:rFonts w:ascii="Times New Roman" w:cs="Times New Roman" w:eastAsia="Times New Roman" w:hAnsi="Times New Roman"/>
          <w:sz w:val="18"/>
          <w:szCs w:val="18"/>
          <w:b w:val="1"/>
          <w:bCs w:val="1"/>
          <w:i w:val="1"/>
          <w:i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shall mean $0.5342 per share for each share of the Series A Preferred Stock, $1.1828 per share for each share of Series B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$3.1631 per share for each share of Series C Preferred Stock, $3.7423 per share for each share of Series C-1 Preferred Stock, $5.0365 per share for each share of Series D Preferred Stock, $5.9952 per share for each share of Series D-1 Preferred Stock and $5.9952 per share for each share of Series E Preferred Stock (in each case, as adjusted for any stock splits, stock dividends, combinations, subdivisions, recapitalizations, reorganizations, reclassifications or the like with respect to such series of Preferred Stock).</w:t>
      </w:r>
    </w:p>
    <w:p>
      <w:pPr>
        <w:spacing w:after="0" w:line="193" w:lineRule="exact"/>
        <w:rPr>
          <w:sz w:val="20"/>
          <w:szCs w:val="20"/>
          <w:color w:val="auto"/>
        </w:rPr>
      </w:pPr>
    </w:p>
    <w:p>
      <w:pPr>
        <w:ind w:right="100" w:firstLine="1419"/>
        <w:spacing w:after="0" w:line="263" w:lineRule="auto"/>
        <w:rPr>
          <w:sz w:val="20"/>
          <w:szCs w:val="20"/>
          <w:color w:val="auto"/>
        </w:rPr>
      </w:pPr>
      <w:r>
        <w:rPr>
          <w:rFonts w:ascii="Times New Roman" w:cs="Times New Roman" w:eastAsia="Times New Roman" w:hAnsi="Times New Roman"/>
          <w:sz w:val="18"/>
          <w:szCs w:val="18"/>
          <w:color w:val="auto"/>
        </w:rPr>
        <w:t>(b)  Upon completion of the distribution required by subsection (a) of this Section 2, all of the remaining Proceeds available for distribution to stockholders shall be distributed among the holders of Common Stock pro rata based on the number of shares of Common Stock held by each.</w:t>
      </w:r>
    </w:p>
    <w:p>
      <w:pPr>
        <w:spacing w:after="0" w:line="175" w:lineRule="exact"/>
        <w:rPr>
          <w:sz w:val="20"/>
          <w:szCs w:val="20"/>
          <w:color w:val="auto"/>
        </w:rPr>
      </w:pPr>
    </w:p>
    <w:p>
      <w:pPr>
        <w:ind w:firstLine="1419"/>
        <w:spacing w:after="0" w:line="252" w:lineRule="auto"/>
        <w:rPr>
          <w:sz w:val="20"/>
          <w:szCs w:val="20"/>
          <w:color w:val="auto"/>
        </w:rPr>
      </w:pPr>
      <w:r>
        <w:rPr>
          <w:rFonts w:ascii="Times New Roman" w:cs="Times New Roman" w:eastAsia="Times New Roman" w:hAnsi="Times New Roman"/>
          <w:sz w:val="18"/>
          <w:szCs w:val="18"/>
          <w:color w:val="auto"/>
        </w:rPr>
        <w:t>(c)  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taking into consideration any distribution of proceeds pursuant to Section 2(e) below,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2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Liquidation Events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20" w:firstLine="1964"/>
        <w:spacing w:after="0" w:line="259" w:lineRule="auto"/>
        <w:rPr>
          <w:sz w:val="20"/>
          <w:szCs w:val="20"/>
          <w:color w:val="auto"/>
        </w:rPr>
      </w:pPr>
      <w:r>
        <w:rPr>
          <w:rFonts w:ascii="Times New Roman" w:cs="Times New Roman" w:eastAsia="Times New Roman" w:hAnsi="Times New Roman"/>
          <w:sz w:val="18"/>
          <w:szCs w:val="18"/>
          <w:color w:val="auto"/>
        </w:rPr>
        <w:t>(i)  For purposes of this Section 2, a “</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shall include (A) the closing of the sale, transfer, exclusive license or other disposition, in one transaction or a series of related transactions, of all or substantially all of this corporation’s and its subsidiaries assets, taken as a whole, (B) the consummation of the merger or consolidation of this corporation with or into another entity, except any merger or consolidation in which the holders of capital stock of this corporation immediately prior to such merger or consolidation continue to</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275" w:name="page276"/>
    <w:bookmarkEnd w:id="275"/>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hold a majority of the voting power of the capital stock of this corporation or the surviving or acquiring entity, (or, if the surviving or acquiring entity is a wholly owned subsidiary of another party immediately following such merger or consolidation, the parent entity of such surviving or acquiring entity),</w:t>
      </w:r>
    </w:p>
    <w:p>
      <w:pPr>
        <w:ind w:right="20" w:firstLine="7"/>
        <w:spacing w:after="0" w:line="249" w:lineRule="auto"/>
        <w:tabs>
          <w:tab w:leader="none" w:pos="28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transfer (whether by merger, consolidation or otherwise), in one transaction or a series of related transactions, to a person or group of affiliated persons (other than an underwriter of this corporation’s securities), of this corporation’s securities if, after such closing, such person or group of affiliated persons would hold 50% or more of the outstanding voting stock of this corporation (or the surviving or acquiring entity) or (D) a liquidation, voluntary or involuntary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(i) the vote or written consent of the holders of at least fifty-two percent (52%) of the outstanding Preferred Stock (voting together as a single class and not as separate series, and on an as converted basis) and (ii) with respect to the Series E Preferred Stock only, the vote or written consent of the holders of a majority of the outstanding shares of Series E Preferred Stock, voting separately as a single class (the “</w:t>
      </w:r>
      <w:r>
        <w:rPr>
          <w:rFonts w:ascii="Times New Roman" w:cs="Times New Roman" w:eastAsia="Times New Roman" w:hAnsi="Times New Roman"/>
          <w:sz w:val="18"/>
          <w:szCs w:val="18"/>
          <w:b w:val="1"/>
          <w:bCs w:val="1"/>
          <w:i w:val="1"/>
          <w:iCs w:val="1"/>
          <w:color w:val="auto"/>
        </w:rPr>
        <w:t>Series E Majority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1964"/>
        <w:spacing w:after="0" w:line="278" w:lineRule="auto"/>
        <w:rPr>
          <w:sz w:val="20"/>
          <w:szCs w:val="20"/>
          <w:color w:val="auto"/>
        </w:rPr>
      </w:pPr>
      <w:r>
        <w:rPr>
          <w:rFonts w:ascii="Times New Roman" w:cs="Times New Roman" w:eastAsia="Times New Roman" w:hAnsi="Times New Roman"/>
          <w:sz w:val="18"/>
          <w:szCs w:val="18"/>
          <w:color w:val="auto"/>
        </w:rPr>
        <w:t>(ii)  In any Liquidation Event, if Proceeds received by this corporation or its stockholders are other than cash, its value will be deemed its fair market value. Any securities shall be valued as follows:</w:t>
      </w:r>
    </w:p>
    <w:p>
      <w:pPr>
        <w:spacing w:after="0" w:line="16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Securities not subject to investment letter or other similar restrictions on free marketability covered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below:</w:t>
      </w:r>
    </w:p>
    <w:p>
      <w:pPr>
        <w:spacing w:after="0" w:line="202" w:lineRule="exact"/>
        <w:rPr>
          <w:sz w:val="20"/>
          <w:szCs w:val="20"/>
          <w:color w:val="auto"/>
        </w:rPr>
      </w:pPr>
    </w:p>
    <w:p>
      <w:pPr>
        <w:ind w:right="160" w:firstLine="2837"/>
        <w:spacing w:after="0" w:line="278" w:lineRule="auto"/>
        <w:rPr>
          <w:sz w:val="20"/>
          <w:szCs w:val="20"/>
          <w:color w:val="auto"/>
        </w:rPr>
      </w:pPr>
      <w:r>
        <w:rPr>
          <w:rFonts w:ascii="Times New Roman" w:cs="Times New Roman" w:eastAsia="Times New Roman" w:hAnsi="Times New Roman"/>
          <w:sz w:val="18"/>
          <w:szCs w:val="18"/>
          <w:color w:val="auto"/>
        </w:rPr>
        <w:t>(1)  If traded on a securities exchange, the value shall be deemed to be the average of the closing prices of the securities on such exchange over the twenty (20) trading-day period ending three (3) trading days prior to the closing of the Liquidation Event;</w:t>
      </w:r>
    </w:p>
    <w:p>
      <w:pPr>
        <w:spacing w:after="0" w:line="162" w:lineRule="exact"/>
        <w:rPr>
          <w:sz w:val="20"/>
          <w:szCs w:val="20"/>
          <w:color w:val="auto"/>
        </w:rPr>
      </w:pPr>
    </w:p>
    <w:p>
      <w:pPr>
        <w:ind w:right="120" w:firstLine="2837"/>
        <w:spacing w:after="0" w:line="308" w:lineRule="auto"/>
        <w:rPr>
          <w:sz w:val="20"/>
          <w:szCs w:val="20"/>
          <w:color w:val="auto"/>
        </w:rPr>
      </w:pPr>
      <w:r>
        <w:rPr>
          <w:rFonts w:ascii="Times New Roman" w:cs="Times New Roman" w:eastAsia="Times New Roman" w:hAnsi="Times New Roman"/>
          <w:sz w:val="17"/>
          <w:szCs w:val="17"/>
          <w:color w:val="auto"/>
        </w:rPr>
        <w:t>(2)  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40" w:lineRule="exact"/>
        <w:rPr>
          <w:sz w:val="20"/>
          <w:szCs w:val="20"/>
          <w:color w:val="auto"/>
        </w:rPr>
      </w:pPr>
    </w:p>
    <w:p>
      <w:pPr>
        <w:ind w:right="100" w:firstLine="2837"/>
        <w:spacing w:after="0" w:line="263" w:lineRule="auto"/>
        <w:rPr>
          <w:sz w:val="20"/>
          <w:szCs w:val="20"/>
          <w:color w:val="auto"/>
        </w:rPr>
      </w:pPr>
      <w:r>
        <w:rPr>
          <w:rFonts w:ascii="Times New Roman" w:cs="Times New Roman" w:eastAsia="Times New Roman" w:hAnsi="Times New Roman"/>
          <w:sz w:val="18"/>
          <w:szCs w:val="18"/>
          <w:color w:val="auto"/>
        </w:rPr>
        <w:t>(3)  If there is no active public market, the value shall be the fair market value thereof, as mutually determined by this corporation and the holders of at least fifty-two percent (52%) of the voting power of all then outstanding shares of Preferred Stock (voting together as a single class and not as separate series, and on an as converted basis).</w:t>
      </w:r>
    </w:p>
    <w:p>
      <w:pPr>
        <w:spacing w:after="0" w:line="175" w:lineRule="exact"/>
        <w:rPr>
          <w:sz w:val="20"/>
          <w:szCs w:val="20"/>
          <w:color w:val="auto"/>
        </w:rPr>
      </w:pPr>
    </w:p>
    <w:p>
      <w:pPr>
        <w:ind w:firstLine="2401"/>
        <w:spacing w:after="0" w:line="255" w:lineRule="auto"/>
        <w:rPr>
          <w:sz w:val="20"/>
          <w:szCs w:val="20"/>
          <w:color w:val="auto"/>
        </w:rPr>
      </w:pPr>
      <w:r>
        <w:rPr>
          <w:rFonts w:ascii="Times New Roman" w:cs="Times New Roman" w:eastAsia="Times New Roman" w:hAnsi="Times New Roman"/>
          <w:sz w:val="18"/>
          <w:szCs w:val="18"/>
          <w:color w:val="auto"/>
        </w:rPr>
        <w:t>(B)  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mutually determined by this corporation and the holders of at least fifty-two percent (52%) of the voting power of all then outstanding shares of such Preferred Stock (voting together as a single class and not as separate series, and on an as converted basis).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76" w:name="page277"/>
    <w:bookmarkEnd w:id="276"/>
    <w:p>
      <w:pPr>
        <w:ind w:right="140" w:firstLine="2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  The foregoing methods for valuing non-cash consideration to be distributed in connection with a Liquidation Event shall, with the appropriate approval of the definitive agreements governing such Liquidation Event by the stockholders under the General Corporation Law and Section 6 of this Article IV(B), be superseded by the determination of such value set forth in the definitive agreements governing such Liquidation Event.</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(iii)   In the event the requirements of this Section 2 are not complied with, this corporation shall forthwith either:</w:t>
      </w:r>
    </w:p>
    <w:p>
      <w:pPr>
        <w:spacing w:after="0" w:line="2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cause the closing of such Liquidation Event to be postponed until such time as the requirements of this Section 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complied with; or</w:t>
      </w:r>
    </w:p>
    <w:p>
      <w:pPr>
        <w:spacing w:after="0" w:line="202" w:lineRule="exact"/>
        <w:rPr>
          <w:sz w:val="20"/>
          <w:szCs w:val="20"/>
          <w:color w:val="auto"/>
        </w:rPr>
      </w:pPr>
    </w:p>
    <w:p>
      <w:pPr>
        <w:jc w:val="both"/>
        <w:ind w:right="360" w:firstLine="2401"/>
        <w:spacing w:after="0" w:line="263" w:lineRule="auto"/>
        <w:rPr>
          <w:sz w:val="20"/>
          <w:szCs w:val="20"/>
          <w:color w:val="auto"/>
        </w:rPr>
      </w:pPr>
      <w:r>
        <w:rPr>
          <w:rFonts w:ascii="Times New Roman" w:cs="Times New Roman" w:eastAsia="Times New Roman" w:hAnsi="Times New Roman"/>
          <w:sz w:val="18"/>
          <w:szCs w:val="18"/>
          <w:color w:val="auto"/>
        </w:rPr>
        <w:t>(B)  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175" w:lineRule="exact"/>
        <w:rPr>
          <w:sz w:val="20"/>
          <w:szCs w:val="20"/>
          <w:color w:val="auto"/>
        </w:rPr>
      </w:pPr>
    </w:p>
    <w:p>
      <w:pPr>
        <w:ind w:firstLine="1964"/>
        <w:spacing w:after="0" w:line="251" w:lineRule="auto"/>
        <w:rPr>
          <w:sz w:val="20"/>
          <w:szCs w:val="20"/>
          <w:color w:val="auto"/>
        </w:rPr>
      </w:pPr>
      <w:r>
        <w:rPr>
          <w:rFonts w:ascii="Times New Roman" w:cs="Times New Roman" w:eastAsia="Times New Roman" w:hAnsi="Times New Roman"/>
          <w:sz w:val="18"/>
          <w:szCs w:val="18"/>
          <w:color w:val="auto"/>
        </w:rPr>
        <w:t>(iv)  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written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Preferred Stock that represent at least fifty-two percent (52%) of the voting power of all then outstanding shares of such Preferred Stock (voting together as a single class and not as separate series, and on an as converted basis).</w:t>
      </w:r>
    </w:p>
    <w:p>
      <w:pPr>
        <w:spacing w:after="0" w:line="192" w:lineRule="exact"/>
        <w:rPr>
          <w:sz w:val="20"/>
          <w:szCs w:val="20"/>
          <w:color w:val="auto"/>
        </w:rPr>
      </w:pPr>
    </w:p>
    <w:p>
      <w:pPr>
        <w:ind w:right="60" w:firstLine="1419"/>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Allocation of Contingent Consideration</w:t>
      </w:r>
      <w:r>
        <w:rPr>
          <w:rFonts w:ascii="Times New Roman" w:cs="Times New Roman" w:eastAsia="Times New Roman" w:hAnsi="Times New Roman"/>
          <w:sz w:val="18"/>
          <w:szCs w:val="18"/>
          <w:color w:val="auto"/>
        </w:rPr>
        <w:t>. In the event of a deemed Liquidation Event pursuant to subsection 2(d)(i), if any portion of the consideration payable to this corporation or to the stockholders of this corporation is placed into an escrow and/or is payable to this corporation or to the stockholders of this corporation subject to contingencies (collectively, “</w:t>
      </w:r>
      <w:r>
        <w:rPr>
          <w:rFonts w:ascii="Times New Roman" w:cs="Times New Roman" w:eastAsia="Times New Roman" w:hAnsi="Times New Roman"/>
          <w:sz w:val="18"/>
          <w:szCs w:val="18"/>
          <w:b w:val="1"/>
          <w:bCs w:val="1"/>
          <w:i w:val="1"/>
          <w:iCs w:val="1"/>
          <w:color w:val="auto"/>
        </w:rPr>
        <w:t>Contingent Consideration</w:t>
      </w:r>
      <w:r>
        <w:rPr>
          <w:rFonts w:ascii="Times New Roman" w:cs="Times New Roman" w:eastAsia="Times New Roman" w:hAnsi="Times New Roman"/>
          <w:sz w:val="18"/>
          <w:szCs w:val="18"/>
          <w:color w:val="auto"/>
        </w:rPr>
        <w:t>”), the definitive agreement with respect to such deemed Liquidation Event shall provide that the portion of such consideration that is not placed into an escrow and is not subject to any contingencies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shall be allocated among the holders of capital stock of this corporation in accordance with Sections 2(a) and 2(b) as if the Initial Consideration were the only consideration payable in connection with such deemed Liquidation Event and any Contingent Consideration that becomes payable to the corporation or to the stockholders of this corporation upon release from escrow or satisfaction of contingencies shall be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277" w:name="page278"/>
    <w:bookmarkEnd w:id="27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allocated among the stockholders of this corporation in accordance with Sections 2(a) and 2(b) after taking into account the previous payment of the Initial Consideration as part of the same transaction, and recalculating whether any deemed conversion of the Preferred Stock to Common Stock, as provided in Section 2(c) above would have been economically rational based upon the aggregate amount of the Initial Consideration plus all Contingent Consideration which becomes payable to the stockholders of this corporation upon release from escrow or satisfaction of contingencies.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Preferred Stock is not redeemable at the option of the holder.</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419"/>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Common Stock as is determined by dividing the applicable Original Issue Price for such series of Preferred Stock by the applicable Conversion Price for such series of Preferred Stock (the conversion rate for a series of Preferred Stock into Common Stock is referred to herein as the “</w:t>
      </w:r>
      <w:r>
        <w:rPr>
          <w:rFonts w:ascii="Times New Roman" w:cs="Times New Roman" w:eastAsia="Times New Roman" w:hAnsi="Times New Roman"/>
          <w:sz w:val="18"/>
          <w:szCs w:val="18"/>
          <w:b w:val="1"/>
          <w:bCs w:val="1"/>
          <w:i w:val="1"/>
          <w:iCs w:val="1"/>
          <w:color w:val="auto"/>
        </w:rPr>
        <w:t>Conversion Rate</w:t>
      </w:r>
      <w:r>
        <w:rPr>
          <w:rFonts w:ascii="Times New Roman" w:cs="Times New Roman" w:eastAsia="Times New Roman" w:hAnsi="Times New Roman"/>
          <w:sz w:val="18"/>
          <w:szCs w:val="18"/>
          <w:color w:val="auto"/>
        </w:rPr>
        <w:t>” for such series), determined as hereafter provided, in effect on the date the certificate is surrendered for conversion. The initial Conversion Price per share for each series of Preferred Stock shall be the Original Issue Price applicable to such series; provided, however, that the Conversion Price for the Preferred Stock shall be subject to adjustment as set forth in subsection 4(d).</w:t>
      </w:r>
    </w:p>
    <w:p>
      <w:pPr>
        <w:spacing w:after="0" w:line="184" w:lineRule="exact"/>
        <w:rPr>
          <w:sz w:val="20"/>
          <w:szCs w:val="20"/>
          <w:color w:val="auto"/>
        </w:rPr>
      </w:pPr>
    </w:p>
    <w:p>
      <w:pPr>
        <w:ind w:firstLine="1419"/>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Each share of Preferred Stock shall automatically be converted into shares of Common Stock at the Conversion Rate at the time in effect for such series of Preferred Stock immediately upon the earlier of (i) immediately prior to the closing of this corporation’s sale of its Common Stock at a price of at least $5.9952 per share (subject to appropriate adjustment in the event of any stock dividend, stock split, combination or other similar recapitalization with respect to the Common Stock), in a firm commitment underwritten public offering pursuant to a registration statement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where the public offering price of which was not less than $75,000,000 in the aggregate (less underwriting discounts and commissions) to this corporation and in connection with such offering, the Common Stock is listed for trading on the Nasdaq Stock Market or the New York Stock Exchange (a “</w:t>
      </w:r>
      <w:r>
        <w:rPr>
          <w:rFonts w:ascii="Times New Roman" w:cs="Times New Roman" w:eastAsia="Times New Roman" w:hAnsi="Times New Roman"/>
          <w:sz w:val="18"/>
          <w:szCs w:val="18"/>
          <w:b w:val="1"/>
          <w:bCs w:val="1"/>
          <w:i w:val="1"/>
          <w:iCs w:val="1"/>
          <w:color w:val="auto"/>
        </w:rPr>
        <w:t>Qualified Public Offering</w:t>
      </w:r>
      <w:r>
        <w:rPr>
          <w:rFonts w:ascii="Times New Roman" w:cs="Times New Roman" w:eastAsia="Times New Roman" w:hAnsi="Times New Roman"/>
          <w:sz w:val="18"/>
          <w:szCs w:val="18"/>
          <w:color w:val="auto"/>
        </w:rPr>
        <w:t>” ) or (ii) the date, or the occurrence of an event, specified by vote or written consent or agreement of the holders of at least fifty-two percent (52%) of the then outstanding shares of Preferred Stock (voting together as a single class and not as separate series, and on an as converted basis); provided, that no shares of Series D Preferred Stock shall be converted pursuant to this clause (ii) unless the holders of a majority of the then outstanding shares of Series D Preferred Stock, voting separately as a single class, vote or provide a written consent or agreement in favor of such conversion. Notwithstanding the foregoing, other than a conversion pursuant to clause (ii) in connection with and immediately prior to the closing of a sale of this corporation’s shares of Common Stock in a firm commitment underwritten public offering pursuant to a registration statement under the Securities Act that is not a Qualified Public Offering which occurs after the date that is twenty-four (24) months after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278" w:name="page279"/>
    <w:bookmarkEnd w:id="278"/>
    <w:p>
      <w:pPr>
        <w:ind w:right="240"/>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date upon which this Restated Certificate of Incorporation is accepted for filing by the Secretary of State of the State of Delaware (the “</w:t>
      </w:r>
      <w:r>
        <w:rPr>
          <w:rFonts w:ascii="Times New Roman" w:cs="Times New Roman" w:eastAsia="Times New Roman" w:hAnsi="Times New Roman"/>
          <w:sz w:val="17"/>
          <w:szCs w:val="17"/>
          <w:b w:val="1"/>
          <w:bCs w:val="1"/>
          <w:i w:val="1"/>
          <w:iCs w:val="1"/>
          <w:color w:val="auto"/>
        </w:rPr>
        <w:t>Filing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(A) no shares of Series C Preferred Stock or Series C-1 Stock shall be converted pursuant to this clause (ii) unless the holders of at least sixty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percent (60%) of the then outstanding shares of Series C Preferred Stock and Series C-1 Preferred Stock, voting together as a single class on an as converted basis, vote or provide a written consent or agreement in favor of such conversion, and (B) no shares of Series E Preferred Stock shall be converted pursuant to this clause (ii) unless the Series E Majority vote or provide a written consent or agreement in favor of such conversion.</w:t>
      </w:r>
    </w:p>
    <w:p>
      <w:pPr>
        <w:spacing w:after="0" w:line="168" w:lineRule="exact"/>
        <w:rPr>
          <w:sz w:val="20"/>
          <w:szCs w:val="20"/>
          <w:color w:val="auto"/>
        </w:rPr>
      </w:pPr>
    </w:p>
    <w:p>
      <w:pPr>
        <w:ind w:firstLine="1419"/>
        <w:spacing w:after="0" w:line="24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Before any holder of Preferred Stock shall be entitled to voluntarily convert the same into shares of Common Stock, he or she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Common Stock are to be issued. This corporation shall, as soon as practicable thereafter, (i) issue and deliver at such office to such holder of Preferred Stock, or to the nominee or nominees of such holder, a certificate or certificates for the number of shares of Common Stock to which such holder shall be entitled as aforesaid and a certificate for the number (if any) of the shares of Preferred Stock represented by the surrendered certificate that were not converted into Common Stock and (ii) pay all declared but unpaid dividends on the shares of Preferred Stock converted. Such conversion shall be deemed to have been made immediately prior to the close of business on the date set forth for conversion in the written notice of the election to convert irrespective of the surrender of the shares of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an underwritten offering of securities registered pursuant to the Securities Act, the conversion may, at the option of any holder tendering Preferred Stock for conversion, be conditioned upon the closing with the underwriters of the sale of securities pursuant to such offering, in which event the persons entitled to receive the Common Stock upon conversion of the Preferred Stock shall not be deemed to have converted such Preferred Stock until immediately prior to the closing of such sale of securities. If the conversion is in connection with Automatic Conversion provisions of subsection 4(b)(ii) above, such conversion shall be deemed to have been made on the conversion date described in the stockholder vote or written consent or agreement approving such conversion, and the persons entitled to receive shares of Common Stock issuable upon such conversion shall be treated for all purposes as the record holders of such shares of Common Stock as of such date.</w:t>
      </w:r>
    </w:p>
    <w:p>
      <w:pPr>
        <w:spacing w:after="0" w:line="200" w:lineRule="exact"/>
        <w:rPr>
          <w:sz w:val="20"/>
          <w:szCs w:val="20"/>
          <w:color w:val="auto"/>
        </w:rPr>
      </w:pPr>
    </w:p>
    <w:p>
      <w:pPr>
        <w:ind w:right="300" w:firstLine="1419"/>
        <w:spacing w:after="0" w:line="27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Conversion Price Adjustments of Preferred Stock for Certain Dilutive Issuances, Splits and Combinations</w:t>
      </w:r>
      <w:r>
        <w:rPr>
          <w:rFonts w:ascii="Times New Roman" w:cs="Times New Roman" w:eastAsia="Times New Roman" w:hAnsi="Times New Roman"/>
          <w:sz w:val="18"/>
          <w:szCs w:val="18"/>
          <w:color w:val="auto"/>
        </w:rPr>
        <w:t>. The Conversion Price of the Preferred Stock shall be subject to adjustment from time to time as follows:</w:t>
      </w:r>
    </w:p>
    <w:p>
      <w:pPr>
        <w:spacing w:after="0" w:line="16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w:t>
      </w:r>
    </w:p>
    <w:p>
      <w:pPr>
        <w:spacing w:after="0" w:line="221" w:lineRule="exact"/>
        <w:rPr>
          <w:sz w:val="20"/>
          <w:szCs w:val="20"/>
          <w:color w:val="auto"/>
        </w:rPr>
      </w:pPr>
    </w:p>
    <w:p>
      <w:pPr>
        <w:ind w:right="180" w:firstLine="2401"/>
        <w:spacing w:after="0" w:line="263" w:lineRule="auto"/>
        <w:rPr>
          <w:sz w:val="20"/>
          <w:szCs w:val="20"/>
          <w:color w:val="auto"/>
        </w:rPr>
      </w:pPr>
      <w:r>
        <w:rPr>
          <w:rFonts w:ascii="Times New Roman" w:cs="Times New Roman" w:eastAsia="Times New Roman" w:hAnsi="Times New Roman"/>
          <w:sz w:val="18"/>
          <w:szCs w:val="18"/>
          <w:color w:val="auto"/>
        </w:rPr>
        <w:t>(A)  If this corporation shall issue, on or after the Filing Date,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4" w:right="519" w:bottom="1440" w:gutter="0" w:footer="0" w:header="0"/>
        </w:sectPr>
      </w:pPr>
    </w:p>
    <w:bookmarkStart w:id="279" w:name="page280"/>
    <w:bookmarkEnd w:id="279"/>
    <w:p>
      <w:pPr>
        <w:ind w:right="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immediately prior to each such issuance shall forthwith (except as otherwise provided in this clause)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Additional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w:t>
      </w:r>
      <w:r>
        <w:rPr>
          <w:rFonts w:ascii="Times New Roman" w:cs="Times New Roman" w:eastAsia="Times New Roman" w:hAnsi="Times New Roman"/>
          <w:sz w:val="18"/>
          <w:szCs w:val="18"/>
          <w:b w:val="1"/>
          <w:bCs w:val="1"/>
          <w:i w:val="1"/>
          <w:iCs w:val="1"/>
          <w:color w:val="auto"/>
        </w:rPr>
        <w:t>Common Stock Outstanding</w:t>
      </w:r>
      <w:r>
        <w:rPr>
          <w:rFonts w:ascii="Times New Roman" w:cs="Times New Roman" w:eastAsia="Times New Roman" w:hAnsi="Times New Roman"/>
          <w:sz w:val="18"/>
          <w:szCs w:val="18"/>
          <w:color w:val="auto"/>
        </w:rPr>
        <w:t>” shall mean and include the following: (1) outstanding Common Stock, (2) Common Stock issuable upon conversion of outstanding Preferred Stock, (3) Common Stock issuable upon exercise of outstanding stock options and (4) Common Stock issuable upon exercise (and, in the case of warrants to purchase Preferred Stock, conversion) of outstanding warrants and other convertible securities. Shares described in (1) through (4) above shall be included whether vested or unvested, whether contingent or non-contingent and whether exercisable or not yet exercisable. In the event that this corporation issues or sells, or is deemed to have issued or sold, shares of Additional Stock that results in an adjustment to a Conversion Price pursuant to the provisions of this Section 4(d) (the “</w:t>
      </w:r>
      <w:r>
        <w:rPr>
          <w:rFonts w:ascii="Times New Roman" w:cs="Times New Roman" w:eastAsia="Times New Roman" w:hAnsi="Times New Roman"/>
          <w:sz w:val="18"/>
          <w:szCs w:val="18"/>
          <w:b w:val="1"/>
          <w:bCs w:val="1"/>
          <w:i w:val="1"/>
          <w:iCs w:val="1"/>
          <w:color w:val="auto"/>
        </w:rPr>
        <w:t>First 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Issuance</w:t>
      </w:r>
      <w:r>
        <w:rPr>
          <w:rFonts w:ascii="Times New Roman" w:cs="Times New Roman" w:eastAsia="Times New Roman" w:hAnsi="Times New Roman"/>
          <w:sz w:val="18"/>
          <w:szCs w:val="18"/>
          <w:color w:val="auto"/>
        </w:rPr>
        <w:t>”), and this corporation then issues or sells, or is deemed to have issued or sold, shares of Additional Stock in a subsequent issuance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Dilutive Issuance that would result in further adjustment to a Conversion Price (a “</w:t>
      </w:r>
      <w:r>
        <w:rPr>
          <w:rFonts w:ascii="Times New Roman" w:cs="Times New Roman" w:eastAsia="Times New Roman" w:hAnsi="Times New Roman"/>
          <w:sz w:val="18"/>
          <w:szCs w:val="18"/>
          <w:b w:val="1"/>
          <w:bCs w:val="1"/>
          <w:i w:val="1"/>
          <w:iCs w:val="1"/>
          <w:color w:val="auto"/>
        </w:rPr>
        <w:t>Subsequent Dilutive Issuance</w:t>
      </w:r>
      <w:r>
        <w:rPr>
          <w:rFonts w:ascii="Times New Roman" w:cs="Times New Roman" w:eastAsia="Times New Roman" w:hAnsi="Times New Roman"/>
          <w:sz w:val="18"/>
          <w:szCs w:val="18"/>
          <w:color w:val="auto"/>
        </w:rPr>
        <w:t>”) pursuant to the same instruments as the First Dilutive Issuance, then and in each such case upon a Subsequent Dilutive Issuance the applicable Conversion Price for each series of Preferred Stock shall be reduced to the applicable Conversion Price that would have been in effect had the First Dilutive Issuance and each Subsequent Dilutive Issuance all occurred on the closing date of the First Dilutive Issuance.</w:t>
      </w:r>
    </w:p>
    <w:p>
      <w:pPr>
        <w:spacing w:after="0" w:line="188" w:lineRule="exact"/>
        <w:rPr>
          <w:sz w:val="20"/>
          <w:szCs w:val="20"/>
          <w:color w:val="auto"/>
        </w:rPr>
      </w:pPr>
    </w:p>
    <w:p>
      <w:pPr>
        <w:ind w:right="20" w:firstLine="2401"/>
        <w:spacing w:after="0" w:line="263" w:lineRule="auto"/>
        <w:rPr>
          <w:sz w:val="20"/>
          <w:szCs w:val="20"/>
          <w:color w:val="auto"/>
        </w:rPr>
      </w:pPr>
      <w:r>
        <w:rPr>
          <w:rFonts w:ascii="Times New Roman" w:cs="Times New Roman" w:eastAsia="Times New Roman" w:hAnsi="Times New Roman"/>
          <w:sz w:val="18"/>
          <w:szCs w:val="18"/>
          <w:color w:val="auto"/>
        </w:rPr>
        <w:t>(B)  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w:t>
      </w:r>
    </w:p>
    <w:p>
      <w:pPr>
        <w:spacing w:after="0" w:line="175" w:lineRule="exact"/>
        <w:rPr>
          <w:sz w:val="20"/>
          <w:szCs w:val="20"/>
          <w:color w:val="auto"/>
        </w:rPr>
      </w:pPr>
    </w:p>
    <w:p>
      <w:pPr>
        <w:ind w:right="180" w:firstLine="2401"/>
        <w:spacing w:after="0" w:line="263" w:lineRule="auto"/>
        <w:rPr>
          <w:sz w:val="20"/>
          <w:szCs w:val="20"/>
          <w:color w:val="auto"/>
        </w:rPr>
      </w:pPr>
      <w:r>
        <w:rPr>
          <w:rFonts w:ascii="Times New Roman" w:cs="Times New Roman" w:eastAsia="Times New Roman" w:hAnsi="Times New Roman"/>
          <w:sz w:val="18"/>
          <w:szCs w:val="18"/>
          <w:color w:val="auto"/>
        </w:rPr>
        <w:t>(C)  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75" w:lineRule="exact"/>
        <w:rPr>
          <w:sz w:val="20"/>
          <w:szCs w:val="20"/>
          <w:color w:val="auto"/>
        </w:rPr>
      </w:pPr>
    </w:p>
    <w:p>
      <w:pPr>
        <w:ind w:firstLine="2401"/>
        <w:spacing w:after="0" w:line="263" w:lineRule="auto"/>
        <w:rPr>
          <w:sz w:val="20"/>
          <w:szCs w:val="20"/>
          <w:color w:val="auto"/>
        </w:rPr>
      </w:pPr>
      <w:r>
        <w:rPr>
          <w:rFonts w:ascii="Times New Roman" w:cs="Times New Roman" w:eastAsia="Times New Roman" w:hAnsi="Times New Roman"/>
          <w:sz w:val="18"/>
          <w:szCs w:val="18"/>
          <w:color w:val="auto"/>
        </w:rPr>
        <w:t>(D)  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8" w:right="559" w:bottom="1440" w:gutter="0" w:footer="0" w:header="0"/>
        </w:sectPr>
      </w:pPr>
    </w:p>
    <w:bookmarkStart w:id="280" w:name="page281"/>
    <w:bookmarkEnd w:id="280"/>
    <w:p>
      <w:pPr>
        <w:ind w:right="120" w:firstLine="2401"/>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  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160" w:lineRule="exact"/>
        <w:rPr>
          <w:sz w:val="20"/>
          <w:szCs w:val="20"/>
          <w:color w:val="auto"/>
        </w:rPr>
      </w:pPr>
    </w:p>
    <w:p>
      <w:pPr>
        <w:ind w:right="40" w:firstLine="2837"/>
        <w:spacing w:after="0" w:line="254" w:lineRule="auto"/>
        <w:rPr>
          <w:sz w:val="20"/>
          <w:szCs w:val="20"/>
          <w:color w:val="auto"/>
        </w:rPr>
      </w:pPr>
      <w:r>
        <w:rPr>
          <w:rFonts w:ascii="Times New Roman" w:cs="Times New Roman" w:eastAsia="Times New Roman" w:hAnsi="Times New Roman"/>
          <w:sz w:val="18"/>
          <w:szCs w:val="18"/>
          <w:color w:val="auto"/>
        </w:rPr>
        <w:t>(1)  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w:t>
      </w:r>
    </w:p>
    <w:p>
      <w:pPr>
        <w:spacing w:after="0" w:line="184" w:lineRule="exact"/>
        <w:rPr>
          <w:sz w:val="20"/>
          <w:szCs w:val="20"/>
          <w:color w:val="auto"/>
        </w:rPr>
      </w:pPr>
    </w:p>
    <w:p>
      <w:pPr>
        <w:ind w:right="20" w:firstLine="2837"/>
        <w:spacing w:after="0" w:line="251" w:lineRule="auto"/>
        <w:rPr>
          <w:sz w:val="20"/>
          <w:szCs w:val="20"/>
          <w:color w:val="auto"/>
        </w:rPr>
      </w:pPr>
      <w:r>
        <w:rPr>
          <w:rFonts w:ascii="Times New Roman" w:cs="Times New Roman" w:eastAsia="Times New Roman" w:hAnsi="Times New Roman"/>
          <w:sz w:val="18"/>
          <w:szCs w:val="18"/>
          <w:color w:val="auto"/>
        </w:rPr>
        <w:t>(2)  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w:t>
      </w:r>
    </w:p>
    <w:p>
      <w:pPr>
        <w:spacing w:after="0" w:line="192" w:lineRule="exact"/>
        <w:rPr>
          <w:sz w:val="20"/>
          <w:szCs w:val="20"/>
          <w:color w:val="auto"/>
        </w:rPr>
      </w:pPr>
    </w:p>
    <w:p>
      <w:pPr>
        <w:ind w:right="60" w:firstLine="2837"/>
        <w:spacing w:after="0" w:line="255" w:lineRule="auto"/>
        <w:rPr>
          <w:sz w:val="20"/>
          <w:szCs w:val="20"/>
          <w:color w:val="auto"/>
        </w:rPr>
      </w:pPr>
      <w:r>
        <w:rPr>
          <w:rFonts w:ascii="Times New Roman" w:cs="Times New Roman" w:eastAsia="Times New Roman" w:hAnsi="Times New Roman"/>
          <w:sz w:val="18"/>
          <w:szCs w:val="18"/>
          <w:color w:val="auto"/>
        </w:rPr>
        <w:t>(3)  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84" w:lineRule="exact"/>
        <w:rPr>
          <w:sz w:val="20"/>
          <w:szCs w:val="20"/>
          <w:color w:val="auto"/>
        </w:rPr>
      </w:pPr>
    </w:p>
    <w:p>
      <w:pPr>
        <w:ind w:firstLine="2837"/>
        <w:spacing w:after="0" w:line="254" w:lineRule="auto"/>
        <w:rPr>
          <w:sz w:val="20"/>
          <w:szCs w:val="20"/>
          <w:color w:val="auto"/>
        </w:rPr>
      </w:pPr>
      <w:r>
        <w:rPr>
          <w:rFonts w:ascii="Times New Roman" w:cs="Times New Roman" w:eastAsia="Times New Roman" w:hAnsi="Times New Roman"/>
          <w:sz w:val="18"/>
          <w:szCs w:val="18"/>
          <w:color w:val="auto"/>
        </w:rPr>
        <w:t>(4)  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84" w:lineRule="exact"/>
        <w:rPr>
          <w:sz w:val="20"/>
          <w:szCs w:val="20"/>
          <w:color w:val="auto"/>
        </w:rPr>
      </w:pPr>
    </w:p>
    <w:p>
      <w:pPr>
        <w:jc w:val="both"/>
        <w:ind w:right="400" w:firstLine="2837"/>
        <w:spacing w:after="0" w:line="263" w:lineRule="auto"/>
        <w:rPr>
          <w:sz w:val="20"/>
          <w:szCs w:val="20"/>
          <w:color w:val="auto"/>
        </w:rPr>
      </w:pPr>
      <w:r>
        <w:rPr>
          <w:rFonts w:ascii="Times New Roman" w:cs="Times New Roman" w:eastAsia="Times New Roman" w:hAnsi="Times New Roman"/>
          <w:sz w:val="18"/>
          <w:szCs w:val="18"/>
          <w:color w:val="auto"/>
        </w:rPr>
        <w:t>(5)  The number of shares of Additional Stock deemed issued and the consideration deemed paid therefor pursuant to subsections 4(d)(i)(E)(1) and (2) shall be appropriately adjusted to reflect any change, termination or expiration of the type described in either subsection 4(d)(i)(E)(3) or (4).</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281" w:name="page282"/>
    <w:bookmarkEnd w:id="281"/>
    <w:p>
      <w:pPr>
        <w:ind w:right="60" w:firstLine="196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(ii)  “</w:t>
      </w:r>
      <w:r>
        <w:rPr>
          <w:rFonts w:ascii="Times New Roman" w:cs="Times New Roman" w:eastAsia="Times New Roman" w:hAnsi="Times New Roman"/>
          <w:sz w:val="18"/>
          <w:szCs w:val="18"/>
          <w:b w:val="1"/>
          <w:bCs w:val="1"/>
          <w:i w:val="1"/>
          <w:iCs w:val="1"/>
          <w:color w:val="auto"/>
        </w:rPr>
        <w:t>Additional Stock</w:t>
      </w:r>
      <w:r>
        <w:rPr>
          <w:rFonts w:ascii="Times New Roman" w:cs="Times New Roman" w:eastAsia="Times New Roman" w:hAnsi="Times New Roman"/>
          <w:sz w:val="18"/>
          <w:szCs w:val="18"/>
          <w:color w:val="auto"/>
        </w:rPr>
        <w:t>” shall mean any shares of Common Stock or Preferred Stock issued (or deemed to have been issued pursuant to subsection 4(d)(i)(E)) by this corporation on or after the Filing Date other than:</w:t>
      </w:r>
    </w:p>
    <w:p>
      <w:pPr>
        <w:spacing w:after="0" w:line="16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Common Stock issued pursuant to a transaction described in subsection 4(d)(iii) hereof;</w:t>
      </w:r>
    </w:p>
    <w:p>
      <w:pPr>
        <w:spacing w:after="0" w:line="221" w:lineRule="exact"/>
        <w:rPr>
          <w:sz w:val="20"/>
          <w:szCs w:val="20"/>
          <w:color w:val="auto"/>
        </w:rPr>
      </w:pPr>
    </w:p>
    <w:p>
      <w:pPr>
        <w:ind w:right="240" w:firstLine="2401"/>
        <w:spacing w:after="0" w:line="274" w:lineRule="auto"/>
        <w:rPr>
          <w:sz w:val="20"/>
          <w:szCs w:val="20"/>
          <w:color w:val="auto"/>
        </w:rPr>
      </w:pPr>
      <w:r>
        <w:rPr>
          <w:rFonts w:ascii="Times New Roman" w:cs="Times New Roman" w:eastAsia="Times New Roman" w:hAnsi="Times New Roman"/>
          <w:sz w:val="17"/>
          <w:szCs w:val="17"/>
          <w:color w:val="auto"/>
        </w:rPr>
        <w:t>(B)  Shares of Common Stock (and/or options or warrants therefor) issued to employees, directors, consultants or other service providers for the primary purpose of soliciting or retaining their services pursuant to plans or agreements, or increases of securities reserved for issuance pursuant to such plans or agreements, approved by the Board of Directors (which approval shall include at least two affirmative votes from among the Preferred Directors (as defined below) then in office (provided that if the Preferred Directors then in office, as a group, are entitled to cast fewer than two votes thereon, such approval need include only one affirmative vote from among the Preferred Directors));</w:t>
      </w:r>
    </w:p>
    <w:p>
      <w:pPr>
        <w:spacing w:after="0" w:line="16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   Common Stock issued pursuant to a Qualified Public Offering;</w:t>
      </w:r>
    </w:p>
    <w:p>
      <w:pPr>
        <w:spacing w:after="0" w:line="221" w:lineRule="exact"/>
        <w:rPr>
          <w:sz w:val="20"/>
          <w:szCs w:val="20"/>
          <w:color w:val="auto"/>
        </w:rPr>
      </w:pPr>
    </w:p>
    <w:p>
      <w:pPr>
        <w:ind w:right="280" w:firstLine="2401"/>
        <w:spacing w:after="0" w:line="278" w:lineRule="auto"/>
        <w:rPr>
          <w:sz w:val="20"/>
          <w:szCs w:val="20"/>
          <w:color w:val="auto"/>
        </w:rPr>
      </w:pPr>
      <w:r>
        <w:rPr>
          <w:rFonts w:ascii="Times New Roman" w:cs="Times New Roman" w:eastAsia="Times New Roman" w:hAnsi="Times New Roman"/>
          <w:sz w:val="18"/>
          <w:szCs w:val="18"/>
          <w:color w:val="auto"/>
        </w:rPr>
        <w:t>(D)  Common Stock or Preferred Stock issued pursuant to the conversion or exercise of convertible or exercisable securities outstanding on the Filing Date;</w:t>
      </w:r>
    </w:p>
    <w:p>
      <w:pPr>
        <w:spacing w:after="0" w:line="162" w:lineRule="exact"/>
        <w:rPr>
          <w:sz w:val="20"/>
          <w:szCs w:val="20"/>
          <w:color w:val="auto"/>
        </w:rPr>
      </w:pPr>
    </w:p>
    <w:p>
      <w:pPr>
        <w:ind w:firstLine="2401"/>
        <w:spacing w:after="0" w:line="258" w:lineRule="auto"/>
        <w:rPr>
          <w:sz w:val="20"/>
          <w:szCs w:val="20"/>
          <w:color w:val="auto"/>
        </w:rPr>
      </w:pPr>
      <w:r>
        <w:rPr>
          <w:rFonts w:ascii="Times New Roman" w:cs="Times New Roman" w:eastAsia="Times New Roman" w:hAnsi="Times New Roman"/>
          <w:sz w:val="18"/>
          <w:szCs w:val="18"/>
          <w:color w:val="auto"/>
        </w:rPr>
        <w:t>(E)  Common Stock issued in connection with a bona fide business acquisition by this corporation, whether by merger, consolidation, sale of assets, sale or exchange of stock or otherwise, which issuance is approved by the Board of Directors (which approval shall include at least two affirmative votes from among the Preferred Directors then in office (provided that if the Preferred Directors then in office, as a group, are entitled to cast fewer than two votes thereon, such approval need include only one affirmative vote from among the Preferred Directors));</w:t>
      </w:r>
    </w:p>
    <w:p>
      <w:pPr>
        <w:spacing w:after="0" w:line="180" w:lineRule="exact"/>
        <w:rPr>
          <w:sz w:val="20"/>
          <w:szCs w:val="20"/>
          <w:color w:val="auto"/>
        </w:rPr>
      </w:pPr>
    </w:p>
    <w:p>
      <w:pPr>
        <w:ind w:right="660" w:firstLine="2401"/>
        <w:spacing w:after="0" w:line="278" w:lineRule="auto"/>
        <w:rPr>
          <w:sz w:val="20"/>
          <w:szCs w:val="20"/>
          <w:color w:val="auto"/>
        </w:rPr>
      </w:pPr>
      <w:r>
        <w:rPr>
          <w:rFonts w:ascii="Times New Roman" w:cs="Times New Roman" w:eastAsia="Times New Roman" w:hAnsi="Times New Roman"/>
          <w:sz w:val="18"/>
          <w:szCs w:val="18"/>
          <w:color w:val="auto"/>
        </w:rPr>
        <w:t>(F)  Common Stock issued or deemed issued pursuant to subsection 4(d)(i)(E) as a result of a decrease in the Conversion Price of any series of Preferred Stock resulting from the operation of Section 4(d);</w:t>
      </w:r>
    </w:p>
    <w:p>
      <w:pPr>
        <w:spacing w:after="0" w:line="16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(G)   Common Stock issued upon conversion of the Preferred Stock;</w:t>
      </w:r>
    </w:p>
    <w:p>
      <w:pPr>
        <w:spacing w:after="0" w:line="221" w:lineRule="exact"/>
        <w:rPr>
          <w:sz w:val="20"/>
          <w:szCs w:val="20"/>
          <w:color w:val="auto"/>
        </w:rPr>
      </w:pPr>
    </w:p>
    <w:p>
      <w:pPr>
        <w:ind w:right="60" w:firstLine="2401"/>
        <w:spacing w:after="0" w:line="274" w:lineRule="auto"/>
        <w:rPr>
          <w:sz w:val="20"/>
          <w:szCs w:val="20"/>
          <w:color w:val="auto"/>
        </w:rPr>
      </w:pPr>
      <w:r>
        <w:rPr>
          <w:rFonts w:ascii="Times New Roman" w:cs="Times New Roman" w:eastAsia="Times New Roman" w:hAnsi="Times New Roman"/>
          <w:sz w:val="17"/>
          <w:szCs w:val="17"/>
          <w:color w:val="auto"/>
        </w:rPr>
        <w:t>(H)  Up to 8,627,986 shares of Common Stock or Preferred Stock (and/or options or warrants therefor) issued (i) to entities or persons in connection with joint ventures, sales or purchases of assets, development projects, or other strategic transactions or (ii) pursuant to any lease, banking or financing arrangement, equipment leasing arrangement or debt financing arrangement, or other arrangement involving providers of goods and services to this corporation, which, in cases of the matters addressed in both (i) and (ii), such arrangement is approved by the Board of Directors (which approval shall include at least two affirmative votes from among the Preferred Directors then in office (provided that if the Preferred</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4" w:right="519" w:bottom="1440" w:gutter="0" w:footer="0" w:header="0"/>
        </w:sectPr>
      </w:pPr>
    </w:p>
    <w:bookmarkStart w:id="282" w:name="page283"/>
    <w:bookmarkEnd w:id="282"/>
    <w:p>
      <w:pPr>
        <w:ind w:right="1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Directors then in office, as a group, are entitled to cast fewer than two votes thereon, such approval need include only one affirmative vote from among the Preferred Directors)) and is primarily for non-equity financing purposes; or</w:t>
      </w:r>
    </w:p>
    <w:p>
      <w:pPr>
        <w:spacing w:after="0" w:line="16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(I)   Securities issued as a dividend or distribution on Preferred Stock.</w:t>
      </w:r>
    </w:p>
    <w:p>
      <w:pPr>
        <w:spacing w:after="0" w:line="221" w:lineRule="exact"/>
        <w:rPr>
          <w:sz w:val="20"/>
          <w:szCs w:val="20"/>
          <w:color w:val="auto"/>
        </w:rPr>
      </w:pPr>
    </w:p>
    <w:p>
      <w:pPr>
        <w:ind w:right="40" w:firstLine="1964"/>
        <w:spacing w:after="0" w:line="251" w:lineRule="auto"/>
        <w:rPr>
          <w:sz w:val="20"/>
          <w:szCs w:val="20"/>
          <w:color w:val="auto"/>
        </w:rPr>
      </w:pPr>
      <w:r>
        <w:rPr>
          <w:rFonts w:ascii="Times New Roman" w:cs="Times New Roman" w:eastAsia="Times New Roman" w:hAnsi="Times New Roman"/>
          <w:sz w:val="18"/>
          <w:szCs w:val="18"/>
          <w:color w:val="auto"/>
        </w:rPr>
        <w:t>(iii)  In the event this corporation should at any time or from time to time after the Filing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w:t>
      </w:r>
    </w:p>
    <w:p>
      <w:pPr>
        <w:spacing w:after="0" w:line="189" w:lineRule="exact"/>
        <w:rPr>
          <w:sz w:val="20"/>
          <w:szCs w:val="20"/>
          <w:color w:val="auto"/>
        </w:rPr>
      </w:pPr>
    </w:p>
    <w:p>
      <w:pPr>
        <w:ind w:right="100" w:firstLine="1964"/>
        <w:spacing w:after="0" w:line="258" w:lineRule="auto"/>
        <w:rPr>
          <w:sz w:val="20"/>
          <w:szCs w:val="20"/>
          <w:color w:val="auto"/>
        </w:rPr>
      </w:pPr>
      <w:r>
        <w:rPr>
          <w:rFonts w:ascii="Times New Roman" w:cs="Times New Roman" w:eastAsia="Times New Roman" w:hAnsi="Times New Roman"/>
          <w:sz w:val="18"/>
          <w:szCs w:val="18"/>
          <w:color w:val="auto"/>
        </w:rPr>
        <w:t>(iv)  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Common Stock issuable on conversion of each share of such series shall be decreased in proportion to such decrease in outstanding shares.</w:t>
      </w:r>
    </w:p>
    <w:p>
      <w:pPr>
        <w:spacing w:after="0" w:line="180" w:lineRule="exact"/>
        <w:rPr>
          <w:sz w:val="20"/>
          <w:szCs w:val="20"/>
          <w:color w:val="auto"/>
        </w:rPr>
      </w:pPr>
    </w:p>
    <w:p>
      <w:pPr>
        <w:ind w:firstLine="1419"/>
        <w:spacing w:after="0" w:line="274"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Other Distributions</w:t>
      </w:r>
      <w:r>
        <w:rPr>
          <w:rFonts w:ascii="Times New Roman" w:cs="Times New Roman" w:eastAsia="Times New Roman" w:hAnsi="Times New Roman"/>
          <w:sz w:val="17"/>
          <w:szCs w:val="17"/>
          <w:color w:val="auto"/>
        </w:rPr>
        <w:t>. In the event this corporation shall declare a distribution payable in securities of other persons, evidences of indebtedness issued by this corporation or other persons, assets (excluding cash dividends) or options or rights not referred to in subsection 4(d)(iii), then, in each such case for the purpose of this subsection 4(e),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w:t>
      </w:r>
    </w:p>
    <w:p>
      <w:pPr>
        <w:spacing w:after="0" w:line="168" w:lineRule="exact"/>
        <w:rPr>
          <w:sz w:val="20"/>
          <w:szCs w:val="20"/>
          <w:color w:val="auto"/>
        </w:rPr>
      </w:pPr>
    </w:p>
    <w:p>
      <w:pPr>
        <w:ind w:right="60" w:firstLine="1419"/>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Recapitalizations</w:t>
      </w:r>
      <w:r>
        <w:rPr>
          <w:rFonts w:ascii="Times New Roman" w:cs="Times New Roman" w:eastAsia="Times New Roman" w:hAnsi="Times New Roman"/>
          <w:sz w:val="18"/>
          <w:szCs w:val="18"/>
          <w:color w:val="auto"/>
        </w:rPr>
        <w:t>.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Common Stock deliverable upon conversion would have been entitled on such recapitalization. In any such case, appropriate adjustment shall</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283" w:name="page284"/>
    <w:bookmarkEnd w:id="283"/>
    <w:p>
      <w:pPr>
        <w:ind w:right="1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28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 Fractional Shares and Certificate as to Adjustments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1964"/>
        <w:spacing w:after="0" w:line="255" w:lineRule="auto"/>
        <w:rPr>
          <w:sz w:val="20"/>
          <w:szCs w:val="20"/>
          <w:color w:val="auto"/>
        </w:rPr>
      </w:pPr>
      <w:r>
        <w:rPr>
          <w:rFonts w:ascii="Times New Roman" w:cs="Times New Roman" w:eastAsia="Times New Roman" w:hAnsi="Times New Roman"/>
          <w:sz w:val="18"/>
          <w:szCs w:val="18"/>
          <w:color w:val="auto"/>
        </w:rPr>
        <w:t>(i)  No fractional shares shall be issued upon the conversion of any share or shares of the Preferred Stock and the aggregate number of shares of Common Stock to be issued to particular stockholders, shall be rounded down to the nearest whole share and this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Preferred Stock the holder is at the time converting into Common Stock and the number of shares of Common Stock issuable upon such conversion.</w:t>
      </w:r>
    </w:p>
    <w:p>
      <w:pPr>
        <w:spacing w:after="0" w:line="184" w:lineRule="exact"/>
        <w:rPr>
          <w:sz w:val="20"/>
          <w:szCs w:val="20"/>
          <w:color w:val="auto"/>
        </w:rPr>
      </w:pPr>
    </w:p>
    <w:p>
      <w:pPr>
        <w:ind w:right="40" w:firstLine="1964"/>
        <w:spacing w:after="0" w:line="253" w:lineRule="auto"/>
        <w:rPr>
          <w:sz w:val="20"/>
          <w:szCs w:val="20"/>
          <w:color w:val="auto"/>
        </w:rPr>
      </w:pPr>
      <w:r>
        <w:rPr>
          <w:rFonts w:ascii="Times New Roman" w:cs="Times New Roman" w:eastAsia="Times New Roman" w:hAnsi="Times New Roman"/>
          <w:sz w:val="18"/>
          <w:szCs w:val="18"/>
          <w:color w:val="auto"/>
        </w:rPr>
        <w:t>(ii)  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Common Stock and the amount, if any, of other property that at the time would be received upon the conversion of a share of Preferred Stock.</w:t>
      </w:r>
    </w:p>
    <w:p>
      <w:pPr>
        <w:spacing w:after="0" w:line="184" w:lineRule="exact"/>
        <w:rPr>
          <w:sz w:val="20"/>
          <w:szCs w:val="20"/>
          <w:color w:val="auto"/>
        </w:rPr>
      </w:pPr>
    </w:p>
    <w:p>
      <w:pPr>
        <w:ind w:right="240" w:firstLine="1419"/>
        <w:spacing w:after="0" w:line="258"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Notices of Record Date</w:t>
      </w:r>
      <w:r>
        <w:rPr>
          <w:rFonts w:ascii="Times New Roman" w:cs="Times New Roman" w:eastAsia="Times New Roman" w:hAnsi="Times New Roman"/>
          <w:sz w:val="18"/>
          <w:szCs w:val="18"/>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ten (10) days prior to the date specified therein, a notice specifying the date on which any such record is to be taken for the purpose of such dividend or distribution, and the amount and character of such dividend or distribution.</w:t>
      </w:r>
    </w:p>
    <w:p>
      <w:pPr>
        <w:spacing w:after="0" w:line="180" w:lineRule="exact"/>
        <w:rPr>
          <w:sz w:val="20"/>
          <w:szCs w:val="20"/>
          <w:color w:val="auto"/>
        </w:rPr>
      </w:pPr>
    </w:p>
    <w:p>
      <w:pPr>
        <w:ind w:firstLine="1419"/>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Reservation of Stock Issuable Upon Conversion</w:t>
      </w:r>
      <w:r>
        <w:rPr>
          <w:rFonts w:ascii="Times New Roman" w:cs="Times New Roman" w:eastAsia="Times New Roman" w:hAnsi="Times New Roman"/>
          <w:sz w:val="18"/>
          <w:szCs w:val="18"/>
          <w:color w:val="auto"/>
        </w:rPr>
        <w:t>. This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and if at any time the number of authorized but unissued shares of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of Incorporation.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8" w:right="499" w:bottom="1440" w:gutter="0" w:footer="0" w:header="0"/>
        </w:sectPr>
      </w:pPr>
    </w:p>
    <w:bookmarkStart w:id="284" w:name="page285"/>
    <w:bookmarkEnd w:id="284"/>
    <w:p>
      <w:pPr>
        <w:ind w:firstLine="1419"/>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(j)  </w:t>
      </w:r>
      <w:r>
        <w:rPr>
          <w:rFonts w:ascii="Times New Roman" w:cs="Times New Roman" w:eastAsia="Times New Roman" w:hAnsi="Times New Roman"/>
          <w:sz w:val="18"/>
          <w:szCs w:val="18"/>
          <w:u w:val="single" w:color="auto"/>
          <w:color w:val="auto"/>
        </w:rPr>
        <w:t>Waiver of Adjustment to Conversion Price</w:t>
      </w:r>
      <w:r>
        <w:rPr>
          <w:rFonts w:ascii="Times New Roman" w:cs="Times New Roman" w:eastAsia="Times New Roman" w:hAnsi="Times New Roman"/>
          <w:sz w:val="18"/>
          <w:szCs w:val="18"/>
          <w:color w:val="auto"/>
        </w:rPr>
        <w:t>. Notwithstanding anything herein to the contrary, any downward adjustment of the Conversion Price of the Series A Preferred Stock may be waived, either prospectively or retroactively and either generally or in a particular instance, by the consent or vote of the holders of at least fifty-five percent (55%) of the shares of Series A Preferred Stock then outstanding (voting as a separate series). Notwithstanding anything herein to the contrary, any downward adjustment of the Conversion Price of the Series B Preferred Stock may be waived, either prospectively or retroactively and either generally or in a particular instance, by the consent or vote of the holders of a majority of the shares of Series B Preferred Stock then outstanding (voting as a separate series). Notwithstanding anything herein to the contrary, any downward adjustment of the Conversion Price of the Series C Preferred Stock may be waived, either prospectively or retroactively and either generally or in a particular instance, by the consent or vote of the holders of at least sixty percent (60%) of the then outstanding shares of Series C Preferred Stock (voting as a separate series). Notwithstanding anything herein to the contrary, any downward adjustment of the Conversion Price of the Series C-1 Preferred Stock may be waived, either prospectively or retroactively and either generally or in a particular instance, by the consent or vote of the holders of a majority of the then outstanding shares of Series C-1 Preferred Stock (voting as a separate series). Notwithstanding anything herein to the contrary, any downward adjustment of the Conversion Price of the Series D Preferred Stock may be waived, either prospectively or retroactively and either generally or in a particular instance, by the consent or vote of the holders of a majority of the then outstanding shares of Series D Preferred Stock (voting as a separate series). Notwithstanding anything herein to the contrary, any downward adjustment of the Conversion Price of the Series D-1 Preferred Stock may be waived, either prospectively or retroactively and either generally or in a particular instance, by the consent of the holders of a majority of the then outstanding shares of Series D-1 Preferred Stock (voting as a separate series). Notwithstanding anything herein to the contrary, any downward adjustment of the Conversion Price of the Series E Preferred Stock may be waived, either prospectively or retroactively and either generally or in a particular instance, by the consent of the Series E Majority. Any such waiver shall bind all future holders of such shares of Preferred Stock.</w:t>
      </w:r>
    </w:p>
    <w:p>
      <w:pPr>
        <w:spacing w:after="0" w:line="3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1419"/>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Voting Rights</w:t>
      </w:r>
      <w:r>
        <w:rPr>
          <w:rFonts w:ascii="Times New Roman" w:cs="Times New Roman" w:eastAsia="Times New Roman" w:hAnsi="Times New Roman"/>
          <w:sz w:val="18"/>
          <w:szCs w:val="18"/>
          <w:color w:val="auto"/>
        </w:rPr>
        <w:t>. The holder of each share of Preferred Stock shall have the right to one vote for each share of Common Stock into which such Preferred Stock could then be converted,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this corporation, and except as provided by law, shall be entitled to vote, together with holders of Common Stock,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285" w:name="page286"/>
    <w:bookmarkEnd w:id="285"/>
    <w:p>
      <w:pPr>
        <w:ind w:right="100" w:firstLine="1419"/>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Voting for the Election of Directors</w:t>
      </w:r>
      <w:r>
        <w:rPr>
          <w:rFonts w:ascii="Times New Roman" w:cs="Times New Roman" w:eastAsia="Times New Roman" w:hAnsi="Times New Roman"/>
          <w:sz w:val="18"/>
          <w:szCs w:val="18"/>
          <w:color w:val="auto"/>
        </w:rPr>
        <w:t>. As long as at least twenty percent (20%) of the shares of Series A Preferred Stock originally issued remain outstanding (as adjusted for any stock splits, stock dividends, combinations, subdivisions, recapitalizations, reorganizations, reclassifications or the like), the holders of at least fifty-five (55%) of the outstanding Series A Preferred Stock shall be entitled to elect one (1) director of this corporation at any election of directors (the “</w:t>
      </w:r>
      <w:r>
        <w:rPr>
          <w:rFonts w:ascii="Times New Roman" w:cs="Times New Roman" w:eastAsia="Times New Roman" w:hAnsi="Times New Roman"/>
          <w:sz w:val="18"/>
          <w:szCs w:val="18"/>
          <w:b w:val="1"/>
          <w:bCs w:val="1"/>
          <w:i w:val="1"/>
          <w:iCs w:val="1"/>
          <w:color w:val="auto"/>
        </w:rPr>
        <w:t>Series A Director</w:t>
      </w:r>
      <w:r>
        <w:rPr>
          <w:rFonts w:ascii="Times New Roman" w:cs="Times New Roman" w:eastAsia="Times New Roman" w:hAnsi="Times New Roman"/>
          <w:sz w:val="18"/>
          <w:szCs w:val="18"/>
          <w:color w:val="auto"/>
        </w:rPr>
        <w:t>”). As long as at least twenty percent (20%) of the shares of Series B Preferred Stock originally issued remain outstanding (as adjusted for any stock splits, stock dividends, combinations, subdivisions, recapitalizations, reorganizations, reclassifications or the like), the holders of a majority of the outstanding Series B Preferred Stock shall be entitled to elect one</w:t>
      </w:r>
    </w:p>
    <w:p>
      <w:pPr>
        <w:spacing w:after="0" w:line="4" w:lineRule="exact"/>
        <w:rPr>
          <w:sz w:val="20"/>
          <w:szCs w:val="20"/>
          <w:color w:val="auto"/>
        </w:rPr>
      </w:pPr>
    </w:p>
    <w:p>
      <w:pPr>
        <w:ind w:right="120" w:firstLine="7"/>
        <w:spacing w:after="0" w:line="262" w:lineRule="auto"/>
        <w:tabs>
          <w:tab w:leader="none" w:pos="252"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of this corporation at any election of directors (the “</w:t>
      </w:r>
      <w:r>
        <w:rPr>
          <w:rFonts w:ascii="Times New Roman" w:cs="Times New Roman" w:eastAsia="Times New Roman" w:hAnsi="Times New Roman"/>
          <w:sz w:val="17"/>
          <w:szCs w:val="17"/>
          <w:b w:val="1"/>
          <w:bCs w:val="1"/>
          <w:i w:val="1"/>
          <w:iCs w:val="1"/>
          <w:color w:val="auto"/>
        </w:rPr>
        <w:t>Series B Director</w:t>
      </w:r>
      <w:r>
        <w:rPr>
          <w:rFonts w:ascii="Times New Roman" w:cs="Times New Roman" w:eastAsia="Times New Roman" w:hAnsi="Times New Roman"/>
          <w:sz w:val="17"/>
          <w:szCs w:val="17"/>
          <w:color w:val="auto"/>
        </w:rPr>
        <w:t>”). As long as at least twenty percent (20%) of the shares of Series C Preferred Stock originally issued remain outstanding (as adjusted for any stock splits, stock dividends, combinations, subdivisions, recapitalizations, reorganizations, reclassifications or the like), the holders of at least sixty percent (60%) of the then outstanding shares of Series C Preferred Stock shall be entitled to elect one (1) director of this corporation at any election of directors (the “</w:t>
      </w:r>
      <w:r>
        <w:rPr>
          <w:rFonts w:ascii="Times New Roman" w:cs="Times New Roman" w:eastAsia="Times New Roman" w:hAnsi="Times New Roman"/>
          <w:sz w:val="17"/>
          <w:szCs w:val="17"/>
          <w:b w:val="1"/>
          <w:bCs w:val="1"/>
          <w:i w:val="1"/>
          <w:iCs w:val="1"/>
          <w:color w:val="auto"/>
        </w:rPr>
        <w:t>Series C Director</w:t>
      </w:r>
      <w:r>
        <w:rPr>
          <w:rFonts w:ascii="Times New Roman" w:cs="Times New Roman" w:eastAsia="Times New Roman" w:hAnsi="Times New Roman"/>
          <w:sz w:val="17"/>
          <w:szCs w:val="17"/>
          <w:color w:val="auto"/>
        </w:rPr>
        <w:t>”). As long as at least twenty-five percent</w:t>
      </w:r>
    </w:p>
    <w:p>
      <w:pPr>
        <w:spacing w:after="0" w:line="2" w:lineRule="exact"/>
        <w:rPr>
          <w:rFonts w:ascii="Times New Roman" w:cs="Times New Roman" w:eastAsia="Times New Roman" w:hAnsi="Times New Roman"/>
          <w:sz w:val="17"/>
          <w:szCs w:val="17"/>
          <w:color w:val="auto"/>
        </w:rPr>
      </w:pPr>
    </w:p>
    <w:p>
      <w:pPr>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 of the shares of Series C-1 Preferred Stock originally issued remain outstanding (as adjusted for any stock splits, stock dividends, combinations, subdivisions, recapitalizations, reorganizations, reclassifications or the like), the holders of a majority of the outstanding Series C-1 Preferred Stock shall be entitled to elect one (1) director of this corporation at any election of directors (the “</w:t>
      </w:r>
      <w:r>
        <w:rPr>
          <w:rFonts w:ascii="Times New Roman" w:cs="Times New Roman" w:eastAsia="Times New Roman" w:hAnsi="Times New Roman"/>
          <w:sz w:val="18"/>
          <w:szCs w:val="18"/>
          <w:b w:val="1"/>
          <w:bCs w:val="1"/>
          <w:i w:val="1"/>
          <w:iCs w:val="1"/>
          <w:color w:val="auto"/>
        </w:rPr>
        <w:t>Series C-1 Director</w:t>
      </w:r>
      <w:r>
        <w:rPr>
          <w:rFonts w:ascii="Times New Roman" w:cs="Times New Roman" w:eastAsia="Times New Roman" w:hAnsi="Times New Roman"/>
          <w:sz w:val="18"/>
          <w:szCs w:val="18"/>
          <w:color w:val="auto"/>
        </w:rPr>
        <w:t>”). As long as at least twenty-five percent (25%) of the shares of Series E Preferred Stock originally issued remain outstanding (as adjusted for any stock splits, stock dividends, combinations, subdivisions, recapitalizations, reorganizations, reclassifications or the like), the Series E Majority shall be entitled to elect one (1) director of this corporation at any election of directors (the “</w:t>
      </w:r>
      <w:r>
        <w:rPr>
          <w:rFonts w:ascii="Times New Roman" w:cs="Times New Roman" w:eastAsia="Times New Roman" w:hAnsi="Times New Roman"/>
          <w:sz w:val="18"/>
          <w:szCs w:val="18"/>
          <w:b w:val="1"/>
          <w:bCs w:val="1"/>
          <w:i w:val="1"/>
          <w:iCs w:val="1"/>
          <w:color w:val="auto"/>
        </w:rPr>
        <w:t>Series E Director</w:t>
      </w:r>
      <w:r>
        <w:rPr>
          <w:rFonts w:ascii="Times New Roman" w:cs="Times New Roman" w:eastAsia="Times New Roman" w:hAnsi="Times New Roman"/>
          <w:sz w:val="18"/>
          <w:szCs w:val="18"/>
          <w:color w:val="auto"/>
        </w:rPr>
        <w:t>”, and, together with the Series A Director, the Series B Director, the Series C Director and the Series C-1 Director, the “</w:t>
      </w:r>
      <w:r>
        <w:rPr>
          <w:rFonts w:ascii="Times New Roman" w:cs="Times New Roman" w:eastAsia="Times New Roman" w:hAnsi="Times New Roman"/>
          <w:sz w:val="18"/>
          <w:szCs w:val="18"/>
          <w:b w:val="1"/>
          <w:bCs w:val="1"/>
          <w:i w:val="1"/>
          <w:iCs w:val="1"/>
          <w:color w:val="auto"/>
        </w:rPr>
        <w:t>Preferred Directors</w:t>
      </w:r>
      <w:r>
        <w:rPr>
          <w:rFonts w:ascii="Times New Roman" w:cs="Times New Roman" w:eastAsia="Times New Roman" w:hAnsi="Times New Roman"/>
          <w:sz w:val="18"/>
          <w:szCs w:val="18"/>
          <w:color w:val="auto"/>
        </w:rPr>
        <w:t>”). The holders of outstanding Common Stock shall be entitled to elect three (3) directors of this corporation at any election of directors. The holders of Preferred Stock and Common Stock (voting together as a single class and not as separate series, and on an as-converted basis) shall be entitled to elect any remaining directors of this corporation.</w:t>
      </w:r>
    </w:p>
    <w:p>
      <w:pPr>
        <w:spacing w:after="0" w:line="188"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color w:val="auto"/>
        </w:rPr>
        <w:t>Notwithstanding the provisions of Section 223(a)(1) and 223(a)(2) of the General Corporation Law, any vacancy, including newly created directorships resulting from any increase in the authorized number of directors or amendment of this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or all the holders of all shares voting together,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in accordance with that certain Amended and Restated Voting Agreement by and among the Company, certain holders of Preferred Stock listed on Schedule A attached thereto and certain holders of Common Stock listed on Schedule B attached thereto, dated on or about the date of the Filing Date. Any director may be removed during his or her term of office, either with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8" w:right="519" w:bottom="1440" w:gutter="0" w:footer="0" w:header="0"/>
        </w:sectPr>
      </w:pPr>
    </w:p>
    <w:bookmarkStart w:id="286" w:name="page287"/>
    <w:bookmarkEnd w:id="286"/>
    <w:p>
      <w:pPr>
        <w:ind w:right="1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75"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The right of any series of Preferred Stock to appoint a director pursuant to this Article IV(B)(5)(b) may be amended only with the approval of the holders of a majority of the then outstanding shares of such series of Preferred Stock; provided that no amendment to the right to appoint the Series A Director may be made without the approval of the holders in the aggregate of at least fifty-five percent (55%) of the then outstanding shares of Series A Preferred Stock.</w:t>
      </w:r>
    </w:p>
    <w:p>
      <w:pPr>
        <w:spacing w:after="0" w:line="180" w:lineRule="exact"/>
        <w:rPr>
          <w:sz w:val="20"/>
          <w:szCs w:val="20"/>
          <w:color w:val="auto"/>
        </w:rPr>
      </w:pPr>
    </w:p>
    <w:p>
      <w:pPr>
        <w:ind w:firstLine="982"/>
        <w:spacing w:after="0" w:line="268" w:lineRule="auto"/>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7"/>
          <w:szCs w:val="17"/>
          <w:u w:val="single" w:color="auto"/>
          <w:color w:val="auto"/>
        </w:rPr>
        <w:t>Class Protective Provisions</w:t>
      </w:r>
      <w:r>
        <w:rPr>
          <w:rFonts w:ascii="Times New Roman" w:cs="Times New Roman" w:eastAsia="Times New Roman" w:hAnsi="Times New Roman"/>
          <w:sz w:val="17"/>
          <w:szCs w:val="17"/>
          <w:color w:val="auto"/>
        </w:rPr>
        <w:t>. So long as at least twenty percent (20%) of the shares of Preferred Stock originally issued remain outstanding (as adjusted for any stock splits, stock dividends, combinations, subdivisions, recapitalizations. reorganizations, reclassifications or the like), this corporation shall not (by amendment, merger, consolidation or otherwise) without (in addition to any other vote required by law or the Restated Certificate of Incorporation) first obtaining the approval (by vote or written consent, as provided by law), of the holders of at least fifty-two percent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of the then outstanding shares of Preferred Stock voting together as a single class and on as-converted-to Common Stock basis:</w:t>
      </w:r>
    </w:p>
    <w:p>
      <w:pPr>
        <w:spacing w:after="0" w:line="202" w:lineRule="exact"/>
        <w:rPr>
          <w:sz w:val="20"/>
          <w:szCs w:val="20"/>
          <w:color w:val="auto"/>
        </w:rPr>
      </w:pPr>
    </w:p>
    <w:p>
      <w:pPr>
        <w:ind w:right="200" w:firstLine="1419"/>
        <w:spacing w:after="0" w:line="278" w:lineRule="auto"/>
        <w:rPr>
          <w:sz w:val="20"/>
          <w:szCs w:val="20"/>
          <w:color w:val="auto"/>
        </w:rPr>
      </w:pPr>
      <w:r>
        <w:rPr>
          <w:rFonts w:ascii="Times New Roman" w:cs="Times New Roman" w:eastAsia="Times New Roman" w:hAnsi="Times New Roman"/>
          <w:sz w:val="18"/>
          <w:szCs w:val="18"/>
          <w:color w:val="auto"/>
        </w:rPr>
        <w:t>(a)  consummate a Liquidation Event or effect any other merger or consolidation or consent to or approve any transaction by this corporation or its stockholders regarding a transfer or license of this corporation’s intellectual property outside of the ordinary course of business;</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   amend, alter or repeal any provision of this corporation’s Restated Certificate of Incorporation or Bylaws;</w:t>
      </w:r>
    </w:p>
    <w:p>
      <w:pPr>
        <w:spacing w:after="0" w:line="221" w:lineRule="exact"/>
        <w:rPr>
          <w:sz w:val="20"/>
          <w:szCs w:val="20"/>
          <w:color w:val="auto"/>
        </w:rPr>
      </w:pPr>
    </w:p>
    <w:p>
      <w:pPr>
        <w:ind w:right="440" w:firstLine="1419"/>
        <w:spacing w:after="0" w:line="278" w:lineRule="auto"/>
        <w:rPr>
          <w:sz w:val="20"/>
          <w:szCs w:val="20"/>
          <w:color w:val="auto"/>
        </w:rPr>
      </w:pPr>
      <w:r>
        <w:rPr>
          <w:rFonts w:ascii="Times New Roman" w:cs="Times New Roman" w:eastAsia="Times New Roman" w:hAnsi="Times New Roman"/>
          <w:sz w:val="18"/>
          <w:szCs w:val="18"/>
          <w:color w:val="auto"/>
        </w:rPr>
        <w:t>(c)  increase or decrease (other than by redemption or conversion) the total number of authorized shares of Common Stock or Preferred Stock or designated shares of any series of Preferred Stock;</w:t>
      </w:r>
    </w:p>
    <w:p>
      <w:pPr>
        <w:spacing w:after="0" w:line="162" w:lineRule="exact"/>
        <w:rPr>
          <w:sz w:val="20"/>
          <w:szCs w:val="20"/>
          <w:color w:val="auto"/>
        </w:rPr>
      </w:pPr>
    </w:p>
    <w:p>
      <w:pPr>
        <w:ind w:firstLine="1419"/>
        <w:spacing w:after="0" w:line="308" w:lineRule="auto"/>
        <w:rPr>
          <w:sz w:val="20"/>
          <w:szCs w:val="20"/>
          <w:color w:val="auto"/>
        </w:rPr>
      </w:pPr>
      <w:r>
        <w:rPr>
          <w:rFonts w:ascii="Times New Roman" w:cs="Times New Roman" w:eastAsia="Times New Roman" w:hAnsi="Times New Roman"/>
          <w:sz w:val="17"/>
          <w:szCs w:val="17"/>
          <w:color w:val="auto"/>
        </w:rPr>
        <w:t>(d)  authorize or issue any equity security (including any other security convertible into, or exercisable for any such equity security) having a preference over, or being on a parity with, any series of Preferred Stock outstanding with respect to dividends, liquidation or redemption;</w:t>
      </w:r>
    </w:p>
    <w:p>
      <w:pPr>
        <w:spacing w:after="0" w:line="140" w:lineRule="exact"/>
        <w:rPr>
          <w:sz w:val="20"/>
          <w:szCs w:val="20"/>
          <w:color w:val="auto"/>
        </w:rPr>
      </w:pPr>
    </w:p>
    <w:p>
      <w:pPr>
        <w:ind w:right="20" w:firstLine="1419"/>
        <w:spacing w:after="0" w:line="255" w:lineRule="auto"/>
        <w:rPr>
          <w:sz w:val="20"/>
          <w:szCs w:val="20"/>
          <w:color w:val="auto"/>
        </w:rPr>
      </w:pPr>
      <w:r>
        <w:rPr>
          <w:rFonts w:ascii="Times New Roman" w:cs="Times New Roman" w:eastAsia="Times New Roman" w:hAnsi="Times New Roman"/>
          <w:sz w:val="18"/>
          <w:szCs w:val="18"/>
          <w:color w:val="auto"/>
        </w:rPr>
        <w:t>(e)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8" w:right="519" w:bottom="1440" w:gutter="0" w:footer="0" w:header="0"/>
        </w:sectPr>
      </w:pPr>
    </w:p>
    <w:bookmarkStart w:id="287" w:name="page288"/>
    <w:bookmarkEnd w:id="287"/>
    <w:p>
      <w:pPr>
        <w:ind w:right="360" w:firstLine="1419"/>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  pay or declare any dividend on any shares of capital stock of this corporation other than dividends payable on the Common Stock solely in the form of additional shares of Common Stock;</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   increase or decrease the authorized number of directors of this corporation;</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   create any new stock plan or increase the number of shares reserved for grant under this corporation’s 2011 Stock Plan;</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authorize or incur any indebtedness in excess of $1,000,000 unless such debt is approved by the Board of Directors;</w:t>
      </w:r>
    </w:p>
    <w:p>
      <w:pPr>
        <w:spacing w:after="0" w:line="221" w:lineRule="exact"/>
        <w:rPr>
          <w:sz w:val="20"/>
          <w:szCs w:val="20"/>
          <w:color w:val="auto"/>
        </w:rPr>
      </w:pPr>
    </w:p>
    <w:p>
      <w:pPr>
        <w:ind w:right="360" w:firstLine="1419"/>
        <w:spacing w:after="0" w:line="263" w:lineRule="auto"/>
        <w:rPr>
          <w:sz w:val="20"/>
          <w:szCs w:val="20"/>
          <w:color w:val="auto"/>
        </w:rPr>
      </w:pPr>
      <w:r>
        <w:rPr>
          <w:rFonts w:ascii="Times New Roman" w:cs="Times New Roman" w:eastAsia="Times New Roman" w:hAnsi="Times New Roman"/>
          <w:sz w:val="18"/>
          <w:szCs w:val="18"/>
          <w:color w:val="auto"/>
        </w:rPr>
        <w:t>(j)  authorize any action that (i) results in this corporation holding capital stock in any entity that is not wholly owned by this corporation or (ii) transfers any capital stock of any subsidiary of this corporation, or permits any subsidiary to license or otherwise dispose of all or substantially all of the assets of any such subsidiary, in either case, other than to another direct or indirect wholly-owned subsidiary;</w:t>
      </w:r>
    </w:p>
    <w:p>
      <w:pPr>
        <w:spacing w:after="0" w:line="175" w:lineRule="exact"/>
        <w:rPr>
          <w:sz w:val="20"/>
          <w:szCs w:val="20"/>
          <w:color w:val="auto"/>
        </w:rPr>
      </w:pPr>
    </w:p>
    <w:p>
      <w:pPr>
        <w:jc w:val="both"/>
        <w:ind w:right="400" w:firstLine="1419"/>
        <w:spacing w:after="0" w:line="263" w:lineRule="auto"/>
        <w:rPr>
          <w:sz w:val="20"/>
          <w:szCs w:val="20"/>
          <w:color w:val="auto"/>
        </w:rPr>
      </w:pPr>
      <w:r>
        <w:rPr>
          <w:rFonts w:ascii="Times New Roman" w:cs="Times New Roman" w:eastAsia="Times New Roman" w:hAnsi="Times New Roman"/>
          <w:sz w:val="18"/>
          <w:szCs w:val="18"/>
          <w:color w:val="auto"/>
        </w:rPr>
        <w:t>(k)  authorize any action that results in this corporation issuing equity to acquire all or substantially all of the equity of another entity or all or substantially all of the assets of another entity and this corporation’s equity so issued exceeds ten percent (10%) of the shares of this corporation’s outstanding stock immediately prior to such transaction (calculated on a fully diluted basis); or</w:t>
      </w:r>
    </w:p>
    <w:p>
      <w:pPr>
        <w:spacing w:after="0" w:line="175" w:lineRule="exact"/>
        <w:rPr>
          <w:sz w:val="20"/>
          <w:szCs w:val="20"/>
          <w:color w:val="auto"/>
        </w:rPr>
      </w:pPr>
    </w:p>
    <w:p>
      <w:pPr>
        <w:jc w:val="both"/>
        <w:ind w:right="400" w:firstLine="1419"/>
        <w:spacing w:after="0" w:line="278" w:lineRule="auto"/>
        <w:rPr>
          <w:sz w:val="20"/>
          <w:szCs w:val="20"/>
          <w:color w:val="auto"/>
        </w:rPr>
      </w:pPr>
      <w:r>
        <w:rPr>
          <w:rFonts w:ascii="Times New Roman" w:cs="Times New Roman" w:eastAsia="Times New Roman" w:hAnsi="Times New Roman"/>
          <w:sz w:val="18"/>
          <w:szCs w:val="18"/>
          <w:color w:val="auto"/>
        </w:rPr>
        <w:t>(l)  authorize any transaction in which any of this corporation’s directors is interested, unless such transaction is approved by a majority of the directors who are not interested in such transaction.</w:t>
      </w:r>
    </w:p>
    <w:p>
      <w:pPr>
        <w:spacing w:after="0" w:line="2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Additional Provisions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1419"/>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Series A Protective Provisions</w:t>
      </w:r>
      <w:r>
        <w:rPr>
          <w:rFonts w:ascii="Times New Roman" w:cs="Times New Roman" w:eastAsia="Times New Roman" w:hAnsi="Times New Roman"/>
          <w:sz w:val="18"/>
          <w:szCs w:val="18"/>
          <w:color w:val="auto"/>
        </w:rPr>
        <w:t>. So long as at least twenty percent (20%) of the shares of Series A Preferred Stock originally issued remain outstanding (as adjusted for any stock splits, stock dividends, combinations, subdivisions, recapitalizations. reorganizations, reclassifications or the like), this corporation shall not amend, alter or repeal any provision of this corporation’s Restated Certificate of Incorporation or Bylaws in a manner that would adversely affect the rights, preferences or privileges of the Series A Preferred Stock but shall not so adversely affect the rights, preferences, and privileges of all other series of Preferred Stock in the same manner without (in addition to any other vote required by law or the Restated Certificate of Incorporation) first obtaining the approval (by vote or written consent, as provided by law) of the holders of at least fifty-five percent (55%) of the then outstanding shares of Series A Preferred Stock. For purposes of this section only, an amendment to this corporation’s Restated Certificate of Incorporation to increase the number of authorized shares of Series A Preferred Stock that does not also effect an increase in the number of authorized shares of the other series of Preferred Stock shall be deemed to constitute an adverse effect to the rights, preferences or privileges of the Series A Preferred Stock that does not so adversely affect the rights, preferences, and privileges of the other series of Preferred Stock in the same manner.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68" w:right="499" w:bottom="1440" w:gutter="0" w:footer="0" w:header="0"/>
        </w:sectPr>
      </w:pPr>
    </w:p>
    <w:bookmarkStart w:id="288" w:name="page289"/>
    <w:bookmarkEnd w:id="288"/>
    <w:p>
      <w:pPr>
        <w:ind w:firstLine="141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Series D Protective Provisions</w:t>
      </w:r>
      <w:r>
        <w:rPr>
          <w:rFonts w:ascii="Times New Roman" w:cs="Times New Roman" w:eastAsia="Times New Roman" w:hAnsi="Times New Roman"/>
          <w:sz w:val="18"/>
          <w:szCs w:val="18"/>
          <w:color w:val="auto"/>
        </w:rPr>
        <w:t>. So long as at least twenty percent (20%) of the shares of the Series D Preferred Stock originally issued remain outstanding (as adjusted for any stock splits, stock dividends, combinations, subdivisions, recapitalizations. reorganizations, reclassifications or the like), this corporation shall not (by amendment, merger, consolidation or otherwise) do any of the following without (in addition to any other vote required by law or the Restated Certificate of Incorporation) first obtaining the approval (by vote or written consent, as provided by law) of the holders of a majority of the then outstanding shares of Series D Preferred Stock, voting separately as a single class:</w:t>
      </w:r>
    </w:p>
    <w:p>
      <w:pPr>
        <w:spacing w:after="0" w:line="184" w:lineRule="exact"/>
        <w:rPr>
          <w:sz w:val="20"/>
          <w:szCs w:val="20"/>
          <w:color w:val="auto"/>
        </w:rPr>
      </w:pPr>
    </w:p>
    <w:p>
      <w:pPr>
        <w:ind w:right="40" w:firstLine="1964"/>
        <w:spacing w:after="0" w:line="263" w:lineRule="auto"/>
        <w:rPr>
          <w:sz w:val="20"/>
          <w:szCs w:val="20"/>
          <w:color w:val="auto"/>
        </w:rPr>
      </w:pPr>
      <w:r>
        <w:rPr>
          <w:rFonts w:ascii="Times New Roman" w:cs="Times New Roman" w:eastAsia="Times New Roman" w:hAnsi="Times New Roman"/>
          <w:sz w:val="18"/>
          <w:szCs w:val="18"/>
          <w:color w:val="auto"/>
        </w:rPr>
        <w:t>(i)  amend, alter or repeal any provision of this corporation’s Restated Certificate of Incorporation or Bylaws in a manner that adversely affects the powers, preferences or special rights of the Series D Preferred Stock but shall not also adversely affect the powers, preferences or special rights of all other series of Preferred Stock;</w:t>
      </w:r>
    </w:p>
    <w:p>
      <w:pPr>
        <w:spacing w:after="0" w:line="1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(ii)   increase the total number of authorized shares of, or issue additional shares of, the Series D Preferred Stock;</w:t>
      </w:r>
    </w:p>
    <w:p>
      <w:pPr>
        <w:spacing w:after="0" w:line="221" w:lineRule="exact"/>
        <w:rPr>
          <w:sz w:val="20"/>
          <w:szCs w:val="20"/>
          <w:color w:val="auto"/>
        </w:rPr>
      </w:pPr>
    </w:p>
    <w:p>
      <w:pPr>
        <w:ind w:right="60" w:firstLine="1964"/>
        <w:spacing w:after="0" w:line="255" w:lineRule="auto"/>
        <w:rPr>
          <w:sz w:val="20"/>
          <w:szCs w:val="20"/>
          <w:color w:val="auto"/>
        </w:rPr>
      </w:pPr>
      <w:r>
        <w:rPr>
          <w:rFonts w:ascii="Times New Roman" w:cs="Times New Roman" w:eastAsia="Times New Roman" w:hAnsi="Times New Roman"/>
          <w:sz w:val="18"/>
          <w:szCs w:val="18"/>
          <w:color w:val="auto"/>
        </w:rPr>
        <w:t>(iii)  purchase or redeem or pay any dividend or make any distribution on, any shares of Preferred Stock or Common Stock prior to such purchases, redemptions or dividends to the Series D Preferred Stock; provided, however,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184" w:lineRule="exact"/>
        <w:rPr>
          <w:sz w:val="20"/>
          <w:szCs w:val="20"/>
          <w:color w:val="auto"/>
        </w:rPr>
      </w:pPr>
    </w:p>
    <w:p>
      <w:pPr>
        <w:ind w:right="120" w:firstLine="1964"/>
        <w:spacing w:after="0" w:line="285" w:lineRule="auto"/>
        <w:rPr>
          <w:sz w:val="20"/>
          <w:szCs w:val="20"/>
          <w:color w:val="auto"/>
        </w:rPr>
      </w:pPr>
      <w:r>
        <w:rPr>
          <w:rFonts w:ascii="Times New Roman" w:cs="Times New Roman" w:eastAsia="Times New Roman" w:hAnsi="Times New Roman"/>
          <w:sz w:val="17"/>
          <w:szCs w:val="17"/>
          <w:color w:val="auto"/>
        </w:rPr>
        <w:t>(iv)  reclassify, alter or amend the terms of any existing security of this corporation that is pari passu with the Series D Preferred Stock in respect of the distribution of assets on the liquidation, dissolution or winding up of this corporation or the payment of dividends, if such reclassification, alteration or amendment would render such other security senior to the Series D Preferred Stock with respect to such preferences;</w:t>
      </w:r>
    </w:p>
    <w:p>
      <w:pPr>
        <w:spacing w:after="0" w:line="160" w:lineRule="exact"/>
        <w:rPr>
          <w:sz w:val="20"/>
          <w:szCs w:val="20"/>
          <w:color w:val="auto"/>
        </w:rPr>
      </w:pPr>
    </w:p>
    <w:p>
      <w:pPr>
        <w:ind w:right="80" w:firstLine="1964"/>
        <w:spacing w:after="0" w:line="258" w:lineRule="auto"/>
        <w:rPr>
          <w:sz w:val="20"/>
          <w:szCs w:val="20"/>
          <w:color w:val="auto"/>
        </w:rPr>
      </w:pPr>
      <w:r>
        <w:rPr>
          <w:rFonts w:ascii="Times New Roman" w:cs="Times New Roman" w:eastAsia="Times New Roman" w:hAnsi="Times New Roman"/>
          <w:sz w:val="18"/>
          <w:szCs w:val="18"/>
          <w:color w:val="auto"/>
        </w:rPr>
        <w:t>(v)  reclassify, alter or amend the terms of any existing security of this corporation that is junior to the Series D Preferred Stock in respect of the distribution of assets on the liquidation, dissolution or winding up of this corporation or the payment of dividends, if such reclassification, alteration or amendment would render such other security senior to or pari passu with the Series D Preferred Stock with respect to such preferences; or</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(vi)   amend this Section 7(b).</w:t>
      </w:r>
    </w:p>
    <w:p>
      <w:pPr>
        <w:spacing w:after="0" w:line="221" w:lineRule="exact"/>
        <w:rPr>
          <w:sz w:val="20"/>
          <w:szCs w:val="20"/>
          <w:color w:val="auto"/>
        </w:rPr>
      </w:pPr>
    </w:p>
    <w:p>
      <w:pPr>
        <w:ind w:right="100" w:firstLine="1419"/>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Series D-1 Protective Provisions</w:t>
      </w:r>
      <w:r>
        <w:rPr>
          <w:rFonts w:ascii="Times New Roman" w:cs="Times New Roman" w:eastAsia="Times New Roman" w:hAnsi="Times New Roman"/>
          <w:sz w:val="18"/>
          <w:szCs w:val="18"/>
          <w:color w:val="auto"/>
        </w:rPr>
        <w:t>. So long as at least twenty percent (20%) of the shares of the Series D-1 Preferred Stock originally issued remain outstanding (as adjusted for any stock splits, stock dividends, combinations, subdivisions, recapitalizations. reorganizations, reclassifications or the like), this corporation shall not (by amendment, merger, consolidation or otherwise) do any of the following without (in addition to any other vote required by law or the Restated Certificate of Incorporation) first obtaining the approval (by vote or written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consent, as provided by law) of the holders of a majority of the then outstanding shares of Series D-1 Preferred Stock, voting separately as a single class:</w:t>
      </w:r>
    </w:p>
    <w:p>
      <w:pPr>
        <w:spacing w:after="0" w:line="232" w:lineRule="exact"/>
        <w:rPr>
          <w:sz w:val="20"/>
          <w:szCs w:val="20"/>
          <w:color w:val="auto"/>
        </w:rPr>
      </w:pPr>
    </w:p>
    <w:p>
      <w:pPr>
        <w:ind w:right="200" w:firstLine="1964"/>
        <w:spacing w:after="0" w:line="263" w:lineRule="auto"/>
        <w:rPr>
          <w:sz w:val="20"/>
          <w:szCs w:val="20"/>
          <w:color w:val="auto"/>
        </w:rPr>
      </w:pPr>
      <w:r>
        <w:rPr>
          <w:rFonts w:ascii="Times New Roman" w:cs="Times New Roman" w:eastAsia="Times New Roman" w:hAnsi="Times New Roman"/>
          <w:sz w:val="18"/>
          <w:szCs w:val="18"/>
          <w:color w:val="auto"/>
        </w:rPr>
        <w:t>(i)  amend, alter or repeal any provision of this corporation’s Restated Certificate of Incorporation or Bylaws in a manner that adversely affects the powers, preferences or special rights of the Series D-1 Preferred Stock but shall not also adversely affect the powers, preferences or special rights of all other series of Preferred Stock;</w:t>
      </w:r>
    </w:p>
    <w:p>
      <w:pPr>
        <w:spacing w:after="0" w:line="17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(ii)   increase the total number of authorized shares of, or issue additional shares of, the Series D-1 Preferred Stock;</w:t>
      </w:r>
    </w:p>
    <w:p>
      <w:pPr>
        <w:spacing w:after="0" w:line="221" w:lineRule="exact"/>
        <w:rPr>
          <w:sz w:val="20"/>
          <w:szCs w:val="20"/>
          <w:color w:val="auto"/>
        </w:rPr>
      </w:pPr>
    </w:p>
    <w:p>
      <w:pPr>
        <w:ind w:right="60" w:firstLine="1964"/>
        <w:spacing w:after="0" w:line="255" w:lineRule="auto"/>
        <w:rPr>
          <w:sz w:val="20"/>
          <w:szCs w:val="20"/>
          <w:color w:val="auto"/>
        </w:rPr>
      </w:pPr>
      <w:r>
        <w:rPr>
          <w:rFonts w:ascii="Times New Roman" w:cs="Times New Roman" w:eastAsia="Times New Roman" w:hAnsi="Times New Roman"/>
          <w:sz w:val="18"/>
          <w:szCs w:val="18"/>
          <w:color w:val="auto"/>
        </w:rPr>
        <w:t>(iii)  purchase or redeem or pay any dividend or make any distribution on, any shares of Preferred Stock or Common Stock prior to such purchases, redemptions or dividends to the Series D-1 Preferred Stock; provided, however,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184" w:lineRule="exact"/>
        <w:rPr>
          <w:sz w:val="20"/>
          <w:szCs w:val="20"/>
          <w:color w:val="auto"/>
        </w:rPr>
      </w:pPr>
    </w:p>
    <w:p>
      <w:pPr>
        <w:ind w:right="240" w:firstLine="1964"/>
        <w:spacing w:after="0" w:line="258" w:lineRule="auto"/>
        <w:rPr>
          <w:sz w:val="20"/>
          <w:szCs w:val="20"/>
          <w:color w:val="auto"/>
        </w:rPr>
      </w:pPr>
      <w:r>
        <w:rPr>
          <w:rFonts w:ascii="Times New Roman" w:cs="Times New Roman" w:eastAsia="Times New Roman" w:hAnsi="Times New Roman"/>
          <w:sz w:val="18"/>
          <w:szCs w:val="18"/>
          <w:color w:val="auto"/>
        </w:rPr>
        <w:t>(iv)  reclassify, alter or amend the terms of any existing security of this corporation that is pari passu with the Series D-1 Preferred Stock in respect of the distribution of assets on the liquidation, dissolution or winding up of this corporation or the payment of dividends, if such reclassification, alteration or amendment would render such other security senior to the Series D-1 Preferred Stock with respect to such preferences;</w:t>
      </w:r>
    </w:p>
    <w:p>
      <w:pPr>
        <w:spacing w:after="0" w:line="180" w:lineRule="exact"/>
        <w:rPr>
          <w:sz w:val="20"/>
          <w:szCs w:val="20"/>
          <w:color w:val="auto"/>
        </w:rPr>
      </w:pPr>
    </w:p>
    <w:p>
      <w:pPr>
        <w:ind w:right="80" w:firstLine="1964"/>
        <w:spacing w:after="0" w:line="258" w:lineRule="auto"/>
        <w:rPr>
          <w:sz w:val="20"/>
          <w:szCs w:val="20"/>
          <w:color w:val="auto"/>
        </w:rPr>
      </w:pPr>
      <w:r>
        <w:rPr>
          <w:rFonts w:ascii="Times New Roman" w:cs="Times New Roman" w:eastAsia="Times New Roman" w:hAnsi="Times New Roman"/>
          <w:sz w:val="18"/>
          <w:szCs w:val="18"/>
          <w:color w:val="auto"/>
        </w:rPr>
        <w:t>(v)  reclassify, alter or amend the terms of any existing security of this corporation that is junior to the Series D-1 Preferred Stock in respect of the distribution of assets on the liquidation, dissolution or winding up of this corporation or the payment of dividends, if such reclassification, alteration or amendment would render such other security senior to or pari passu with the Series D-1 Preferred Stock with respect to such preferences; or</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(vi)   amend this Section 7(c).</w:t>
      </w:r>
    </w:p>
    <w:p>
      <w:pPr>
        <w:spacing w:after="0" w:line="221" w:lineRule="exact"/>
        <w:rPr>
          <w:sz w:val="20"/>
          <w:szCs w:val="20"/>
          <w:color w:val="auto"/>
        </w:rPr>
      </w:pPr>
    </w:p>
    <w:p>
      <w:pPr>
        <w:ind w:right="40" w:firstLine="1419"/>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Series E Protective Provisions</w:t>
      </w:r>
      <w:r>
        <w:rPr>
          <w:rFonts w:ascii="Times New Roman" w:cs="Times New Roman" w:eastAsia="Times New Roman" w:hAnsi="Times New Roman"/>
          <w:sz w:val="18"/>
          <w:szCs w:val="18"/>
          <w:color w:val="auto"/>
        </w:rPr>
        <w:t>. So long as at least twenty percent (20%) of the shares of the Series E Preferred Stock originally issued remain outstanding (as adjusted for any stock splits, stock dividends, combinations, subdivisions, recapitalizations. reorganizations, reclassifications or the like), this corporation shall not (by amendment, merger, consolidation or otherwise) do any of the following without (in addition to any other vote required by law or the Restated Certificate of Incorporation) first obtaining the approval (by vote or written consent, as provided by law) of the Series E Majority:</w:t>
      </w:r>
    </w:p>
    <w:p>
      <w:pPr>
        <w:spacing w:after="0" w:line="184" w:lineRule="exact"/>
        <w:rPr>
          <w:sz w:val="20"/>
          <w:szCs w:val="20"/>
          <w:color w:val="auto"/>
        </w:rPr>
      </w:pPr>
    </w:p>
    <w:p>
      <w:pPr>
        <w:jc w:val="both"/>
        <w:ind w:right="280" w:firstLine="1964"/>
        <w:spacing w:after="0" w:line="263" w:lineRule="auto"/>
        <w:rPr>
          <w:sz w:val="20"/>
          <w:szCs w:val="20"/>
          <w:color w:val="auto"/>
        </w:rPr>
      </w:pPr>
      <w:r>
        <w:rPr>
          <w:rFonts w:ascii="Times New Roman" w:cs="Times New Roman" w:eastAsia="Times New Roman" w:hAnsi="Times New Roman"/>
          <w:sz w:val="18"/>
          <w:szCs w:val="18"/>
          <w:color w:val="auto"/>
        </w:rPr>
        <w:t>(i)  amend, alter, repeal or waive any provision of this corporation’s Restated Certificate of Incorporation or Bylaws in a manner that adversely affects the powers, preferences or special rights of the Series E Preferred Stock but shall not also adversely affect the powers, preferences or special rights of all other series of Preferred Stock;</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9" w:right="519" w:bottom="1440" w:gutter="0" w:footer="0" w:header="0"/>
        </w:sectPr>
      </w:pPr>
    </w:p>
    <w:bookmarkStart w:id="290" w:name="page291"/>
    <w:bookmarkEnd w:id="290"/>
    <w:p>
      <w:pPr>
        <w:ind w:firstLine="1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(ii)  purchase or redeem (or pay into or set aside for a sinking fund for such purpose), or pay any dividend or make any distribution on, any share or shares of Preferred Stock or Common Stock; provided, however,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upon the termination of employment or service or pursuant to a right of first refusal;</w:t>
      </w:r>
    </w:p>
    <w:p>
      <w:pPr>
        <w:spacing w:after="0" w:line="184" w:lineRule="exact"/>
        <w:rPr>
          <w:sz w:val="20"/>
          <w:szCs w:val="20"/>
          <w:color w:val="auto"/>
        </w:rPr>
      </w:pPr>
    </w:p>
    <w:p>
      <w:pPr>
        <w:ind w:firstLine="1964"/>
        <w:spacing w:after="0" w:line="263" w:lineRule="auto"/>
        <w:rPr>
          <w:sz w:val="20"/>
          <w:szCs w:val="20"/>
          <w:color w:val="auto"/>
        </w:rPr>
      </w:pPr>
      <w:r>
        <w:rPr>
          <w:rFonts w:ascii="Times New Roman" w:cs="Times New Roman" w:eastAsia="Times New Roman" w:hAnsi="Times New Roman"/>
          <w:sz w:val="18"/>
          <w:szCs w:val="18"/>
          <w:color w:val="auto"/>
        </w:rPr>
        <w:t>(iii)  increase or decrease the total number of authorized shares of, or issue additional shares of, the Series E Preferred Stock (other than issuances pursuant to that certain Series E Preferred Stock Purchase Agreement, dated on or about the Filing Date, among this corporation and the investors listed therein);</w:t>
      </w:r>
    </w:p>
    <w:p>
      <w:pPr>
        <w:spacing w:after="0" w:line="175" w:lineRule="exact"/>
        <w:rPr>
          <w:sz w:val="20"/>
          <w:szCs w:val="20"/>
          <w:color w:val="auto"/>
        </w:rPr>
      </w:pPr>
    </w:p>
    <w:p>
      <w:pPr>
        <w:ind w:right="20" w:firstLine="1964"/>
        <w:spacing w:after="0" w:line="258" w:lineRule="auto"/>
        <w:rPr>
          <w:sz w:val="20"/>
          <w:szCs w:val="20"/>
          <w:color w:val="auto"/>
        </w:rPr>
      </w:pPr>
      <w:r>
        <w:rPr>
          <w:rFonts w:ascii="Times New Roman" w:cs="Times New Roman" w:eastAsia="Times New Roman" w:hAnsi="Times New Roman"/>
          <w:sz w:val="18"/>
          <w:szCs w:val="18"/>
          <w:color w:val="auto"/>
        </w:rPr>
        <w:t>(iv)  consummate a Liquidation Event within twenty four (24) months after the Filing Date unless the per share consideration payable the holders of Series E Preferred Stock with respect to each share of Series E Preferred Stock in connection with such Liquidation Event (inclusive of any future earn-out payments, milestone payments, escrows, holdbacks or other contingent payments) is equal to at least the Original Issue Price for the Series E Preferred Stock;</w:t>
      </w:r>
    </w:p>
    <w:p>
      <w:pPr>
        <w:spacing w:after="0" w:line="180" w:lineRule="exact"/>
        <w:rPr>
          <w:sz w:val="20"/>
          <w:szCs w:val="20"/>
          <w:color w:val="auto"/>
        </w:rPr>
      </w:pPr>
    </w:p>
    <w:p>
      <w:pPr>
        <w:ind w:right="160" w:firstLine="1964"/>
        <w:spacing w:after="0" w:line="285" w:lineRule="auto"/>
        <w:rPr>
          <w:sz w:val="20"/>
          <w:szCs w:val="20"/>
          <w:color w:val="auto"/>
        </w:rPr>
      </w:pPr>
      <w:r>
        <w:rPr>
          <w:rFonts w:ascii="Times New Roman" w:cs="Times New Roman" w:eastAsia="Times New Roman" w:hAnsi="Times New Roman"/>
          <w:sz w:val="17"/>
          <w:szCs w:val="17"/>
          <w:color w:val="auto"/>
        </w:rPr>
        <w:t>(v)  reclassify, alter or amend the terms of any existing security of this corporation that is pari passu with the Series E Preferred Stock in respect of the distribution of assets on the liquidation, dissolution or winding up of this corporation or the payment of dividends, if such reclassification, alteration or amendment would render such other security senior to the Series E Preferred Stock with respect to such preferences;</w:t>
      </w:r>
    </w:p>
    <w:p>
      <w:pPr>
        <w:spacing w:after="0" w:line="160" w:lineRule="exact"/>
        <w:rPr>
          <w:sz w:val="20"/>
          <w:szCs w:val="20"/>
          <w:color w:val="auto"/>
        </w:rPr>
      </w:pPr>
    </w:p>
    <w:p>
      <w:pPr>
        <w:ind w:right="120" w:firstLine="1964"/>
        <w:spacing w:after="0" w:line="258" w:lineRule="auto"/>
        <w:rPr>
          <w:sz w:val="20"/>
          <w:szCs w:val="20"/>
          <w:color w:val="auto"/>
        </w:rPr>
      </w:pPr>
      <w:r>
        <w:rPr>
          <w:rFonts w:ascii="Times New Roman" w:cs="Times New Roman" w:eastAsia="Times New Roman" w:hAnsi="Times New Roman"/>
          <w:sz w:val="18"/>
          <w:szCs w:val="18"/>
          <w:color w:val="auto"/>
        </w:rPr>
        <w:t>(vi)  reclassify, alter or amend the terms of any existing security of this corporation that is junior to the Series E Preferred Stock in respect of the distribution of assets on the liquidation, dissolution or winding up of this corporation or the payment of dividends, if such reclassification, alteration or amendment would render such other security senior to or pari passu with the Series E Preferred Stock with respect to such preferences; or</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(vii)   amend this Section 7(d).</w:t>
      </w:r>
    </w:p>
    <w:p>
      <w:pPr>
        <w:spacing w:after="0" w:line="221" w:lineRule="exact"/>
        <w:rPr>
          <w:sz w:val="20"/>
          <w:szCs w:val="20"/>
          <w:color w:val="auto"/>
        </w:rPr>
      </w:pPr>
    </w:p>
    <w:p>
      <w:pPr>
        <w:ind w:right="280" w:firstLine="982"/>
        <w:spacing w:after="0" w:line="26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Status of Converted Stock</w:t>
      </w:r>
      <w:r>
        <w:rPr>
          <w:rFonts w:ascii="Times New Roman" w:cs="Times New Roman" w:eastAsia="Times New Roman" w:hAnsi="Times New Roman"/>
          <w:sz w:val="18"/>
          <w:szCs w:val="18"/>
          <w:color w:val="auto"/>
        </w:rPr>
        <w:t>. In the event any shares of Preferred Stock shall be converted pursuant to Section 4 hereof, the shares so converted shall be cancelled and shall not be issuable by this corporation. The Restated Certificate of Incorporation of this corporation shall be appropriately amended to effect the corresponding reduction in this corporation’s authorized capital stock.</w:t>
      </w:r>
    </w:p>
    <w:p>
      <w:pPr>
        <w:spacing w:after="0" w:line="175"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by the provisions of this Article IV(B) to be given to the holders of shares of Preferred Stock shall be deemed given (i) if deposited in the United States mail, postage prepaid, and addressed to each holder of record at his, her or its address appearing on the books of this corporation, (ii) if such notice is provided by electronic transmission in a manner permitted by Section 232 of the General Corporation Law, or (iii) if such notice is provided in another manner then permitted by the General Corporation Law.</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291" w:name="page292"/>
    <w:bookmarkEnd w:id="291"/>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rights, preferences, privileges and restrictions granted to and imposed on the Common Stock are as set forth below in this Article IV(C).</w:t>
      </w:r>
    </w:p>
    <w:p>
      <w:pPr>
        <w:spacing w:after="0" w:line="162"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175" w:lineRule="exact"/>
        <w:rPr>
          <w:sz w:val="20"/>
          <w:szCs w:val="20"/>
          <w:color w:val="auto"/>
        </w:rPr>
      </w:pPr>
    </w:p>
    <w:p>
      <w:pPr>
        <w:ind w:right="7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Upon the liquidation, dissolution or winding up of this corporation, the assets of this corporation shall be distributed as provided in Section 2 of Article IV(B)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Common Stock is not redeemable at the option of the holder.</w:t>
      </w:r>
    </w:p>
    <w:p>
      <w:pPr>
        <w:spacing w:after="0" w:line="221" w:lineRule="exact"/>
        <w:rPr>
          <w:sz w:val="20"/>
          <w:szCs w:val="20"/>
          <w:color w:val="auto"/>
        </w:rPr>
      </w:pPr>
    </w:p>
    <w:p>
      <w:pPr>
        <w:ind w:right="80" w:firstLine="982"/>
        <w:spacing w:after="0" w:line="254"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provided, however, that, except as otherwise required by law, holders of Common Stock, as such, shall not be entitled to vote on any amendment to the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Restated Certificate of Incorporation or pursuant to the General Corporation Law.</w:t>
      </w:r>
    </w:p>
    <w:p>
      <w:pPr>
        <w:spacing w:after="0" w:line="184"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The number of authorized shares of Common Stock may be increased or decreased (but not below the number of shares thereof then outstanding plus the number of shares of Common Stock into which Preferred Stock and stock options then outstanding are convertible or exercisable) by the affirmative vote of the holders of a majority of the stock of this corporation entitled to vote, irrespective of the provisions of Section 242(b)(2) of the General Corporation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Except as otherwise provided in this Restated Certificate of Incorporation, in furtherance and not in limitation of the powers conferred by Statute, the Board of Directors is expressly authorized to make, repeal, alter, amend and rescind any or all of the Bylaws of this corporation.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Subject to Article IV of this Restated Certificate of Incorporation, the number of directors of this corporation shall be determined in the manner set forth in the Bylaws of this corporation.</w:t>
      </w:r>
    </w:p>
    <w:p>
      <w:pPr>
        <w:spacing w:after="0" w:line="162"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Except as otherwise provided by this Restated Certificate of Incorporation or the General Corporation Law, the business and affairs of this corporation shall be managed by or under the direction of the Board of Directors. On each question or matter presented to the Board of Directors (or any committee thereof or any subcommittee of any such committee), each director shall be entitled to one vote; provided that, notwithstanding anything to the contrary set forth herein 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292" w:name="page293"/>
    <w:bookmarkEnd w:id="292"/>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otherwise, (i) the Series C-1 Director shall have no vote on any Conflict Matter (as defined in the Amended and Restated Voting Agreement, dated on or about the Filing Date (the “</w:t>
      </w:r>
      <w:r>
        <w:rPr>
          <w:rFonts w:ascii="Times New Roman" w:cs="Times New Roman" w:eastAsia="Times New Roman" w:hAnsi="Times New Roman"/>
          <w:sz w:val="17"/>
          <w:szCs w:val="17"/>
          <w:b w:val="1"/>
          <w:bCs w:val="1"/>
          <w:i w:val="1"/>
          <w:iCs w:val="1"/>
          <w:color w:val="auto"/>
        </w:rPr>
        <w:t>Voting Agreement</w:t>
      </w:r>
      <w:r>
        <w:rPr>
          <w:rFonts w:ascii="Times New Roman" w:cs="Times New Roman" w:eastAsia="Times New Roman" w:hAnsi="Times New Roman"/>
          <w:sz w:val="17"/>
          <w:szCs w:val="17"/>
          <w:color w:val="auto"/>
        </w:rPr>
        <w:t>”), by and among this corporation and the Stockholders (as defined therein) party thereto, as the same may be amended, modified, supplemented and/or restated from time to time, a copy of which is on file with the books and records of this corporation) presented to the Board of Directors (or any committee thereof or any subcommittee of any such committee) and (ii) with respect to any Conflict Matter, every reference in the General Corporation Law, this Certificate of Incorporation, the Bylaws or any other agreement, document or other instrument governing the internal affairs of this corporation (including, without limitation, any resolutions or other instruments adopted by the Board of Directors or any committee thereof establishing or governing any committee of the Board of Directors or any subcommittee of any such committee) to a majority or other proportion of directors shall refer to a majority or other proportion of the votes of the directors, excluding the Series C-1 Director. For so long as the provisions of the Voting Agreement relating to the nomination of the Series C-1 Director remain in effect, in addition to any greater or additional vote required by this Restated Certificate of Incorporation or applicable law, any amendment to or modification of this paragraph, or the adoption of any provision inconsistent herewith, shall require for its approval the affirmative vote of the holders of a majority of the outstanding Common Stock, voting as a single class, which majority must include the holders of Common Stock constituting a Common Majority (as defined in the Voting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this corporation shall so provide.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84"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80" w:top="268" w:right="519" w:bottom="1440" w:gutter="0" w:footer="0" w:header="0"/>
        </w:sectPr>
      </w:pPr>
    </w:p>
    <w:bookmarkStart w:id="293" w:name="page294"/>
    <w:bookmarkEnd w:id="2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X</w:t>
      </w:r>
    </w:p>
    <w:p>
      <w:pPr>
        <w:spacing w:after="0" w:line="225"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This corporation reserves the right to amend, alter, change or repeal any provision contained in this Restated Certificate of Incorporation, in the manner now or hereafter prescribed by statute, and all rights conferred upon stockholders herein are granted subject to this reservation.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 subject only to limits created by applicable General Corporation Law (statutory or non-statutory), with respect to actions for breach of duty to this corporation, its stockholders, and others.</w:t>
      </w:r>
    </w:p>
    <w:p>
      <w:pPr>
        <w:spacing w:after="0" w:line="184"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ind w:right="420" w:firstLine="436"/>
        <w:spacing w:after="0" w:line="270" w:lineRule="auto"/>
        <w:rPr>
          <w:sz w:val="20"/>
          <w:szCs w:val="20"/>
          <w:color w:val="auto"/>
        </w:rPr>
      </w:pPr>
      <w:r>
        <w:rPr>
          <w:rFonts w:ascii="Times New Roman" w:cs="Times New Roman" w:eastAsia="Times New Roman" w:hAnsi="Times New Roman"/>
          <w:sz w:val="17"/>
          <w:szCs w:val="17"/>
          <w:color w:val="auto"/>
        </w:rPr>
        <w:t>This corporation renounces any interest or expectancy of this corporation in, or in being offered an opportunity to participate in, an Excluded Opportunity. An “</w:t>
      </w:r>
      <w:r>
        <w:rPr>
          <w:rFonts w:ascii="Times New Roman" w:cs="Times New Roman" w:eastAsia="Times New Roman" w:hAnsi="Times New Roman"/>
          <w:sz w:val="17"/>
          <w:szCs w:val="17"/>
          <w:b w:val="1"/>
          <w:bCs w:val="1"/>
          <w:i w:val="1"/>
          <w:iCs w:val="1"/>
          <w:color w:val="auto"/>
        </w:rPr>
        <w:t>Excluded Opportunity</w:t>
      </w:r>
      <w:r>
        <w:rPr>
          <w:rFonts w:ascii="Times New Roman" w:cs="Times New Roman" w:eastAsia="Times New Roman" w:hAnsi="Times New Roman"/>
          <w:sz w:val="17"/>
          <w:szCs w:val="17"/>
          <w:color w:val="auto"/>
        </w:rPr>
        <w:t>” is any matter, transaction or interest that is presented to, or acquired, created or developed by, or which otherwise comes into the possession of, (i) any director of this corporation who is not an employee of this corporation or any of its subsidiaries, or</w:t>
      </w:r>
    </w:p>
    <w:p>
      <w:pPr>
        <w:spacing w:after="0" w:line="1" w:lineRule="exact"/>
        <w:rPr>
          <w:sz w:val="20"/>
          <w:szCs w:val="20"/>
          <w:color w:val="auto"/>
        </w:rPr>
      </w:pPr>
    </w:p>
    <w:p>
      <w:pPr>
        <w:jc w:val="both"/>
        <w:ind w:right="120" w:firstLine="7"/>
        <w:spacing w:after="0" w:line="250" w:lineRule="auto"/>
        <w:tabs>
          <w:tab w:leader="none" w:pos="26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Preferred Stock or any partner, member, director, stockholder, employee or agent of any such holder, other than someone who is an employee of this corporation or any of its subsidiaries (collectively,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In connection with repurchases by this corporation of its Common Stock from employees, officers, directors, advisors, consultants or other persons performing services for this corporation or any subsidiary pursuant to agreements under which this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4" w:right="499" w:bottom="1440" w:gutter="0" w:footer="0" w:header="0"/>
        </w:sectPr>
      </w:pPr>
    </w:p>
    <w:bookmarkStart w:id="294" w:name="page295"/>
    <w:bookmarkEnd w:id="2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XIV</w:t>
      </w:r>
    </w:p>
    <w:p>
      <w:pPr>
        <w:spacing w:after="0" w:line="225" w:lineRule="exact"/>
        <w:rPr>
          <w:sz w:val="20"/>
          <w:szCs w:val="20"/>
          <w:color w:val="auto"/>
        </w:rPr>
      </w:pPr>
    </w:p>
    <w:p>
      <w:pPr>
        <w:ind w:right="100" w:firstLine="436"/>
        <w:spacing w:after="0" w:line="267" w:lineRule="auto"/>
        <w:rPr>
          <w:sz w:val="20"/>
          <w:szCs w:val="20"/>
          <w:color w:val="auto"/>
        </w:rPr>
      </w:pPr>
      <w:r>
        <w:rPr>
          <w:rFonts w:ascii="Times New Roman" w:cs="Times New Roman" w:eastAsia="Times New Roman" w:hAnsi="Times New Roman"/>
          <w:sz w:val="17"/>
          <w:szCs w:val="17"/>
          <w:color w:val="auto"/>
        </w:rPr>
        <w:t>Unless this corporation consents in writing to the selection of an alternative forum, the Court of Chancery of the State of Delaware (or, if such court does not have subject matter jurisdiction thereof, the federal district court of the State of Delaware) shall, to the fullest extent permitted by law, be the sole and exclusive forum for: (i) any derivative action or proceeding brought on behalf of this corporation, (ii) any action asserting a claim for or based on a breach of a fiduciary duty owed by any current or former director, officer, other employee, agent or stockholder of this corporation to this corporation or this corporation’s stockholders, including without limitation a claim alleging the aiding and abetting of such a breach of fiduciary duty,</w:t>
      </w:r>
    </w:p>
    <w:p>
      <w:pPr>
        <w:spacing w:after="0" w:line="1" w:lineRule="exact"/>
        <w:rPr>
          <w:sz w:val="20"/>
          <w:szCs w:val="20"/>
          <w:color w:val="auto"/>
        </w:rPr>
      </w:pPr>
    </w:p>
    <w:p>
      <w:pPr>
        <w:ind w:firstLine="7"/>
        <w:spacing w:after="0" w:line="252" w:lineRule="auto"/>
        <w:tabs>
          <w:tab w:leader="none" w:pos="3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General Corporation Law or the Restated Certificate of Incorporation or Bylaws or as to which the General Corporation Law confers jurisdiction on the Court of Chancery of the State of Delaware, or (iv) any action asserting a claim related to or involving this corporation that is governed by the internal affairs doctrine.</w:t>
      </w:r>
    </w:p>
    <w:p>
      <w:pPr>
        <w:spacing w:after="0" w:line="185"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Unless this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and the rules and regulations promulgated thereunder.</w:t>
      </w:r>
    </w:p>
    <w:p>
      <w:pPr>
        <w:spacing w:after="0" w:line="175" w:lineRule="exact"/>
        <w:rPr>
          <w:sz w:val="20"/>
          <w:szCs w:val="20"/>
          <w:color w:val="auto"/>
        </w:rPr>
      </w:pPr>
    </w:p>
    <w:p>
      <w:pPr>
        <w:ind w:right="140" w:firstLine="436"/>
        <w:spacing w:after="0" w:line="263" w:lineRule="auto"/>
        <w:rPr>
          <w:sz w:val="20"/>
          <w:szCs w:val="20"/>
          <w:color w:val="auto"/>
        </w:rPr>
      </w:pPr>
      <w:r>
        <w:rPr>
          <w:rFonts w:ascii="Times New Roman" w:cs="Times New Roman" w:eastAsia="Times New Roman" w:hAnsi="Times New Roman"/>
          <w:sz w:val="18"/>
          <w:szCs w:val="18"/>
          <w:color w:val="auto"/>
        </w:rPr>
        <w:t>Nothing in this Restated Certificate of Incorporation shall preclude stockholders that assert claims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from bringing such claims in federal court to the extent that the Exchange Act confers exclusive federal jurisdiction over such claims, subject to applicable law.</w:t>
      </w:r>
    </w:p>
    <w:p>
      <w:pPr>
        <w:spacing w:after="0" w:line="175"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For the avoidance of doubt, the provisions of this Article XIV are intended to benefit and may be enforced by this corporation, its officers and directors, the underwriters of, or financial advisors in connection with,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180"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shares of capital stock of this corporation shall be deemed to have notice of and consented to the provisions of this Article XIV. *   *   *</w:t>
      </w:r>
    </w:p>
    <w:p>
      <w:pPr>
        <w:spacing w:after="0" w:line="158" w:lineRule="exact"/>
        <w:rPr>
          <w:sz w:val="20"/>
          <w:szCs w:val="20"/>
          <w:color w:val="auto"/>
        </w:rPr>
      </w:pPr>
    </w:p>
    <w:p>
      <w:pPr>
        <w:ind w:right="7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foregoing amendment and restatement was approved by the holders of the requisite number of shares of said corporation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228 of the General Corporation Law.</w:t>
      </w:r>
    </w:p>
    <w:p>
      <w:pPr>
        <w:spacing w:after="0" w:line="156" w:lineRule="exact"/>
        <w:rPr>
          <w:sz w:val="20"/>
          <w:szCs w:val="20"/>
          <w:color w:val="auto"/>
        </w:rPr>
      </w:pPr>
    </w:p>
    <w:p>
      <w:pPr>
        <w:ind w:right="22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FOURTH</w:t>
      </w:r>
      <w:r>
        <w:rPr>
          <w:rFonts w:ascii="Times New Roman" w:cs="Times New Roman" w:eastAsia="Times New Roman" w:hAnsi="Times New Roman"/>
          <w:sz w:val="17"/>
          <w:szCs w:val="17"/>
          <w:color w:val="auto"/>
        </w:rPr>
        <w:t>: That said Restated Certificate of Incorporation, which restates and integrates and further amends the provisions of this corporation’s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Restated Certificate of Incorporation, has been duly adopted in accordance with Sections 242 and 245 of the General Corporation Law.</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480" w:top="264" w:right="499" w:bottom="1440" w:gutter="0" w:footer="0" w:header="0"/>
        </w:sectPr>
      </w:pPr>
    </w:p>
    <w:bookmarkStart w:id="295" w:name="page296"/>
    <w:bookmarkEnd w:id="295"/>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Restated Certificate of Incorporation has been executed by a duly authorized officer of this corporation on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21st day of December, 2021.</w:t>
      </w:r>
    </w:p>
    <w:p>
      <w:pPr>
        <w:spacing w:after="0" w:line="18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Sean Duffy</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740"/>
          </w:cols>
          <w:pgMar w:left="480" w:top="264" w:right="67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RESTATED CERTIFICATE OF INCORPORATION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1"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Omada Health,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 hereby certifies as follows: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Corporation’s original Certificate of Incorporation was filed with the Secretary of State of the State of Delaware on April 25, 2011.</w:t>
      </w:r>
    </w:p>
    <w:p>
      <w:pPr>
        <w:spacing w:after="0" w:line="217" w:lineRule="exact"/>
        <w:rPr>
          <w:sz w:val="20"/>
          <w:szCs w:val="20"/>
          <w:color w:val="auto"/>
        </w:rPr>
      </w:pPr>
    </w:p>
    <w:p>
      <w:pPr>
        <w:ind w:right="420" w:firstLine="436"/>
        <w:spacing w:after="0" w:line="259" w:lineRule="auto"/>
        <w:rPr>
          <w:sz w:val="20"/>
          <w:szCs w:val="20"/>
          <w:color w:val="auto"/>
        </w:rPr>
      </w:pPr>
      <w:r>
        <w:rPr>
          <w:rFonts w:ascii="Times New Roman" w:cs="Times New Roman" w:eastAsia="Times New Roman" w:hAnsi="Times New Roman"/>
          <w:sz w:val="18"/>
          <w:szCs w:val="18"/>
          <w:color w:val="auto"/>
        </w:rPr>
        <w:t>2.  This Certificate of Amendment to the Corporation’s Restated Certificate of Incorporation of the Corporation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herein certified was duly adopted by the Board of Directors of the Corporation in accordance with the applicable provisions of Section 242 of the General Corporation Law and the requisite stockholders of the Corporation have given their written consent in accordance with Section 228 of the General Corporation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Article IV, Section A, of the Restated Certificate shall be amended and restated to read in its entirety as follows:</w:t>
      </w:r>
    </w:p>
    <w:p>
      <w:pPr>
        <w:spacing w:after="0" w:line="114"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Authorization of Stock</w:t>
      </w:r>
      <w:r>
        <w:rPr>
          <w:rFonts w:ascii="Times New Roman" w:cs="Times New Roman" w:eastAsia="Times New Roman" w:hAnsi="Times New Roman"/>
          <w:sz w:val="18"/>
          <w:szCs w:val="18"/>
          <w:color w:val="auto"/>
        </w:rPr>
        <w:t>. This corporation is authorized to issue two classes of stock to be designated, respectively, common stock and preferred stock. The total number of shares that this corporation is authorized to issue is 302,189,139. The total number of shares of common stock authorized to be issued is 181,500,000,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total number of shares of preferred stock authorized to be issued is 120,689,139, par value $0.001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12,027,426 of which shares are designated as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19,724,378 of which shares are designated as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15,385,707 of which shares are designated as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13,357,797 of which shares are designated as “</w:t>
      </w:r>
      <w:r>
        <w:rPr>
          <w:rFonts w:ascii="Times New Roman" w:cs="Times New Roman" w:eastAsia="Times New Roman" w:hAnsi="Times New Roman"/>
          <w:sz w:val="18"/>
          <w:szCs w:val="18"/>
          <w:b w:val="1"/>
          <w:bCs w:val="1"/>
          <w:i w:val="1"/>
          <w:iCs w:val="1"/>
          <w:color w:val="auto"/>
        </w:rPr>
        <w:t>Series C-1 Preferred Stock</w:t>
      </w:r>
      <w:r>
        <w:rPr>
          <w:rFonts w:ascii="Times New Roman" w:cs="Times New Roman" w:eastAsia="Times New Roman" w:hAnsi="Times New Roman"/>
          <w:sz w:val="18"/>
          <w:szCs w:val="18"/>
          <w:color w:val="auto"/>
        </w:rPr>
        <w:t>”, 22,330,212 of which shares are designated as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4,503,601 of which shares are designated as “</w:t>
      </w:r>
      <w:r>
        <w:rPr>
          <w:rFonts w:ascii="Times New Roman" w:cs="Times New Roman" w:eastAsia="Times New Roman" w:hAnsi="Times New Roman"/>
          <w:sz w:val="18"/>
          <w:szCs w:val="18"/>
          <w:b w:val="1"/>
          <w:bCs w:val="1"/>
          <w:i w:val="1"/>
          <w:iCs w:val="1"/>
          <w:color w:val="auto"/>
        </w:rPr>
        <w:t>Series D-1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and 33,360,018 of which shares are designated as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All other provisions of the Restated Certificate shall remain in full force and effect.</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20"/>
          </w:cols>
          <w:pgMar w:left="480" w:top="117" w:right="499" w:bottom="1440" w:gutter="0" w:footer="0" w:header="0"/>
        </w:sectPr>
      </w:pPr>
    </w:p>
    <w:bookmarkStart w:id="297" w:name="page298"/>
    <w:bookmarkEnd w:id="297"/>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caused this Certificate of Amendment to the Restated Certificate to be duly executed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13th day of June, 2023.</w:t>
      </w:r>
    </w:p>
    <w:p>
      <w:pPr>
        <w:spacing w:after="0" w:line="186" w:lineRule="exact"/>
        <w:rPr>
          <w:sz w:val="20"/>
          <w:szCs w:val="20"/>
          <w:color w:val="auto"/>
        </w:rPr>
      </w:pPr>
    </w:p>
    <w:p>
      <w:pPr>
        <w:ind w:left="6560"/>
        <w:spacing w:after="0"/>
        <w:tabs>
          <w:tab w:leader="none" w:pos="7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Sean Duffy</w:t>
      </w:r>
    </w:p>
    <w:p>
      <w:pPr>
        <w:spacing w:after="0" w:line="26" w:lineRule="exact"/>
        <w:rPr>
          <w:sz w:val="20"/>
          <w:szCs w:val="20"/>
          <w:color w:val="auto"/>
        </w:rPr>
      </w:pPr>
    </w:p>
    <w:p>
      <w:pPr>
        <w:ind w:left="656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720"/>
          </w:cols>
          <w:pgMar w:left="480" w:top="264" w:right="69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9960"/>
          </w:cols>
          <w:pgMar w:left="1440" w:top="117" w:right="49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p>
        </w:tc>
        <w:tc>
          <w:tcPr>
            <w:tcW w:w="786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80" w:type="dxa"/>
            <w:vAlign w:val="bottom"/>
          </w:tcPr>
          <w:p>
            <w:pPr>
              <w:spacing w:after="0"/>
              <w:rPr>
                <w:sz w:val="20"/>
                <w:szCs w:val="20"/>
                <w:color w:val="auto"/>
              </w:rPr>
            </w:pPr>
          </w:p>
        </w:tc>
      </w:tr>
      <w:tr>
        <w:trPr>
          <w:trHeight w:val="369"/>
        </w:trPr>
        <w:tc>
          <w:tcPr>
            <w:tcW w:w="8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OFFICES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Registered Office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MEETINGS OF STOCKHOLDERS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Meeting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Records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 Meetings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Meeting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Transacted at Special Meeting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 Meeting Adjournment; Presence by Remote Means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Thresholds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Votes Per Share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Action by Written Consent of Stockholders; Electronic Consent; Notice of Action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Vacancies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Authority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Location of Meetings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Meeting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Regular Meetings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 Meetings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Action Without a Meeting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Telephonic Meetings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Minutes of Meetings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Removal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OFFICERS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Required and Permitted Officers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Required Officers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Permitted Officers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 Compensation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of Office; Vacancies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Presides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Chairman</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of President</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President’s Signature Authority</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President</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Secretary</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Assistant Secretary</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Treasurer</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Disbursements and Financial Reports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5.15</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Treasurer’s Bond</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Assistant Treasurer</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CERTIFICATE OF STOCK</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Certificates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Facsimile Signatures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Lost Certificates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Stock</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Fixing a Record Date</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Registered Stockholders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GENERAL PROVISIONS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 for Dividends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Checks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Seal</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3"/>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Conflicts with Certificate of Incorporation</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AMENDMENTS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LOANS TO OFFICERS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RECORDS AND REPORTS</w:t>
            </w:r>
          </w:p>
        </w:tc>
        <w:tc>
          <w:tcPr>
            <w:tcW w:w="6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61"/>
        </w:trPr>
        <w:tc>
          <w:tcPr>
            <w:tcW w:w="8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160" w:type="dxa"/>
            <w:vAlign w:val="bottom"/>
          </w:tcPr>
          <w:p>
            <w:pPr>
              <w:jc w:val="right"/>
              <w:ind w:right="5251"/>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251"/>
        <w:spacing w:after="0"/>
        <w:rPr>
          <w:sz w:val="20"/>
          <w:szCs w:val="20"/>
          <w:color w:val="auto"/>
        </w:rPr>
        <w:sectPr>
          <w:pgSz w:w="11900" w:h="16838" w:orient="portrait"/>
          <w:cols w:equalWidth="0" w:num="1">
            <w:col w:w="10860"/>
          </w:cols>
          <w:pgMar w:left="480" w:top="269"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01" w:name="page302"/>
    <w:bookmarkEnd w:id="3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BYLAWS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Registered Office.</w:t>
      </w:r>
      <w:r>
        <w:rPr>
          <w:rFonts w:ascii="Times New Roman" w:cs="Times New Roman" w:eastAsia="Times New Roman" w:hAnsi="Times New Roman"/>
          <w:sz w:val="18"/>
          <w:szCs w:val="18"/>
          <w:color w:val="auto"/>
        </w:rPr>
        <w:t xml:space="preserve"> The registered office shall be in the City of Dover, County of Kent, State of Delaware.</w:t>
      </w:r>
    </w:p>
    <w:p>
      <w:pPr>
        <w:spacing w:after="0" w:line="221"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Offices.</w:t>
      </w:r>
      <w:r>
        <w:rPr>
          <w:rFonts w:ascii="Times New Roman" w:cs="Times New Roman" w:eastAsia="Times New Roman" w:hAnsi="Times New Roman"/>
          <w:sz w:val="18"/>
          <w:szCs w:val="18"/>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198"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xml:space="preserve"> All meetings of the stockholders for the election of directors shall be held in the City of Oakland, State of California,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184" w:lineRule="exact"/>
        <w:rPr>
          <w:sz w:val="20"/>
          <w:szCs w:val="20"/>
          <w:color w:val="auto"/>
        </w:rPr>
      </w:pPr>
    </w:p>
    <w:p>
      <w:pPr>
        <w:ind w:right="1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18"/>
          <w:szCs w:val="18"/>
          <w:color w:val="auto"/>
        </w:rPr>
        <w:t xml:space="preserve"> Annual meetings of stockholders, commencing with the year 2011,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70"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Notice of Meeting.</w:t>
      </w:r>
      <w:r>
        <w:rPr>
          <w:rFonts w:ascii="Times New Roman" w:cs="Times New Roman" w:eastAsia="Times New Roman" w:hAnsi="Times New Roman"/>
          <w:sz w:val="18"/>
          <w:szCs w:val="18"/>
          <w:color w:val="auto"/>
        </w:rPr>
        <w:t xml:space="preserve">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170"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Stockholders’ Records.</w:t>
      </w:r>
      <w:r>
        <w:rPr>
          <w:rFonts w:ascii="Times New Roman" w:cs="Times New Roman" w:eastAsia="Times New Roman" w:hAnsi="Times New Roman"/>
          <w:sz w:val="18"/>
          <w:szCs w:val="18"/>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w:t>
      </w:r>
    </w:p>
    <w:p>
      <w:pPr>
        <w:sectPr>
          <w:pgSz w:w="11900" w:h="16838" w:orient="portrait"/>
          <w:cols w:equalWidth="0" w:num="1">
            <w:col w:w="10900"/>
          </w:cols>
          <w:pgMar w:left="480" w:top="265" w:right="519" w:bottom="1440" w:gutter="0" w:footer="0" w:header="0"/>
        </w:sectPr>
      </w:pPr>
    </w:p>
    <w:bookmarkStart w:id="302" w:name="page303"/>
    <w:bookmarkEnd w:id="302"/>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3" w:lineRule="exact"/>
        <w:rPr>
          <w:sz w:val="20"/>
          <w:szCs w:val="20"/>
          <w:color w:val="auto"/>
        </w:rPr>
      </w:pPr>
    </w:p>
    <w:p>
      <w:pPr>
        <w:ind w:right="120" w:firstLine="436"/>
        <w:spacing w:after="0" w:line="259"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xml:space="preserve">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twenty percent (20%) in amount of the entire capital stock of the corporation issued and outstanding and entitled to vote. Such request shall state the purpose or purposes of the proposed meeting.</w:t>
      </w:r>
    </w:p>
    <w:p>
      <w:pPr>
        <w:spacing w:after="0" w:line="17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Notice of Meeting.</w:t>
      </w:r>
      <w:r>
        <w:rPr>
          <w:rFonts w:ascii="Times New Roman" w:cs="Times New Roman" w:eastAsia="Times New Roman" w:hAnsi="Times New Roman"/>
          <w:sz w:val="18"/>
          <w:szCs w:val="18"/>
          <w:color w:val="auto"/>
        </w:rPr>
        <w:t xml:space="preserve">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176" w:lineRule="exact"/>
        <w:rPr>
          <w:sz w:val="20"/>
          <w:szCs w:val="20"/>
          <w:color w:val="auto"/>
        </w:rPr>
      </w:pPr>
    </w:p>
    <w:p>
      <w:pPr>
        <w:ind w:right="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Business Transacted at Special Meeting.</w:t>
      </w:r>
      <w:r>
        <w:rPr>
          <w:rFonts w:ascii="Times New Roman" w:cs="Times New Roman" w:eastAsia="Times New Roman" w:hAnsi="Times New Roman"/>
          <w:sz w:val="18"/>
          <w:szCs w:val="18"/>
          <w:color w:val="auto"/>
        </w:rPr>
        <w:t xml:space="preserve"> Business transacted at any special meeting of stockholders shall be limited to the purposes stated in the notice.</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Quorum; Meeting Adjournment; Presence by Remote Means.</w:t>
      </w:r>
    </w:p>
    <w:p>
      <w:pPr>
        <w:spacing w:after="0" w:line="116"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Quorum; Meeting Adjournment.</w:t>
      </w:r>
      <w:r>
        <w:rPr>
          <w:rFonts w:ascii="Times New Roman" w:cs="Times New Roman" w:eastAsia="Times New Roman" w:hAnsi="Times New Roman"/>
          <w:sz w:val="18"/>
          <w:szCs w:val="18"/>
          <w:color w:val="auto"/>
        </w:rPr>
        <w:t xml:space="preserve">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9" w:right="539" w:bottom="1440" w:gutter="0" w:footer="0" w:header="0"/>
        </w:sectPr>
      </w:pPr>
    </w:p>
    <w:bookmarkStart w:id="303" w:name="page304"/>
    <w:bookmarkEnd w:id="303"/>
    <w:p>
      <w:pPr>
        <w:ind w:right="240" w:firstLine="982"/>
        <w:spacing w:after="0" w:line="26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Presence by Remote Means.</w:t>
      </w:r>
      <w:r>
        <w:rPr>
          <w:rFonts w:ascii="Times New Roman" w:cs="Times New Roman" w:eastAsia="Times New Roman" w:hAnsi="Times New Roman"/>
          <w:sz w:val="18"/>
          <w:szCs w:val="18"/>
          <w:color w:val="auto"/>
        </w:rPr>
        <w:t xml:space="preserve"> 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1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participate in a meeting of stockholders; and</w:t>
      </w:r>
    </w:p>
    <w:p>
      <w:pPr>
        <w:spacing w:after="0" w:line="221" w:lineRule="exact"/>
        <w:rPr>
          <w:sz w:val="20"/>
          <w:szCs w:val="20"/>
          <w:color w:val="auto"/>
        </w:rPr>
      </w:pPr>
    </w:p>
    <w:p>
      <w:pPr>
        <w:ind w:right="60" w:firstLine="1419"/>
        <w:spacing w:after="0" w:line="253" w:lineRule="auto"/>
        <w:rPr>
          <w:sz w:val="20"/>
          <w:szCs w:val="20"/>
          <w:color w:val="auto"/>
        </w:rPr>
      </w:pPr>
      <w:r>
        <w:rPr>
          <w:rFonts w:ascii="Times New Roman" w:cs="Times New Roman" w:eastAsia="Times New Roman" w:hAnsi="Times New Roman"/>
          <w:sz w:val="18"/>
          <w:szCs w:val="18"/>
          <w:color w:val="auto"/>
        </w:rPr>
        <w:t>(2)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0"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Voting Thresholds.</w:t>
      </w:r>
      <w:r>
        <w:rPr>
          <w:rFonts w:ascii="Times New Roman" w:cs="Times New Roman" w:eastAsia="Times New Roman" w:hAnsi="Times New Roman"/>
          <w:sz w:val="18"/>
          <w:szCs w:val="18"/>
          <w:color w:val="auto"/>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76" w:lineRule="exact"/>
        <w:rPr>
          <w:sz w:val="20"/>
          <w:szCs w:val="20"/>
          <w:color w:val="auto"/>
        </w:rPr>
      </w:pPr>
    </w:p>
    <w:p>
      <w:pPr>
        <w:jc w:val="both"/>
        <w:ind w:right="1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Number of Votes Per Share.</w:t>
      </w:r>
      <w:r>
        <w:rPr>
          <w:rFonts w:ascii="Times New Roman" w:cs="Times New Roman" w:eastAsia="Times New Roman" w:hAnsi="Times New Roman"/>
          <w:sz w:val="18"/>
          <w:szCs w:val="18"/>
          <w:color w:val="auto"/>
        </w:rPr>
        <w:t xml:space="preserve">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Action by Written Consent of Stockholders; Electronic Consent; Notice of Action.</w:t>
      </w:r>
    </w:p>
    <w:p>
      <w:pPr>
        <w:spacing w:after="0" w:line="116"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Action by Written Consent of Stockholders.</w:t>
      </w:r>
      <w:r>
        <w:rPr>
          <w:rFonts w:ascii="Times New Roman" w:cs="Times New Roman" w:eastAsia="Times New Roman" w:hAnsi="Times New Roman"/>
          <w:sz w:val="18"/>
          <w:szCs w:val="18"/>
          <w:color w:val="auto"/>
        </w:rPr>
        <w:t xml:space="preserve"> Unless otherwise provided by the certificate of incorporation, any action required or 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6" w:right="519" w:bottom="1440" w:gutter="0" w:footer="0" w:header="0"/>
        </w:sectPr>
      </w:pPr>
    </w:p>
    <w:bookmarkStart w:id="304" w:name="page305"/>
    <w:bookmarkEnd w:id="304"/>
    <w:p>
      <w:pPr>
        <w:ind w:firstLine="982"/>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Electronic Consent.</w:t>
      </w:r>
      <w:r>
        <w:rPr>
          <w:rFonts w:ascii="Times New Roman" w:cs="Times New Roman" w:eastAsia="Times New Roman" w:hAnsi="Times New Roman"/>
          <w:sz w:val="18"/>
          <w:szCs w:val="18"/>
          <w:color w:val="auto"/>
        </w:rPr>
        <w:t xml:space="preserve"> A telegram, cablegram or other electronic transmission consenting to an action to be taken and transmitted 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91" w:lineRule="exact"/>
        <w:rPr>
          <w:sz w:val="20"/>
          <w:szCs w:val="20"/>
          <w:color w:val="auto"/>
        </w:rPr>
      </w:pPr>
    </w:p>
    <w:p>
      <w:pPr>
        <w:ind w:right="140" w:firstLine="982"/>
        <w:spacing w:after="0" w:line="28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Notice of Action.</w:t>
      </w:r>
      <w:r>
        <w:rPr>
          <w:rFonts w:ascii="Times New Roman" w:cs="Times New Roman" w:eastAsia="Times New Roman" w:hAnsi="Times New Roman"/>
          <w:sz w:val="18"/>
          <w:szCs w:val="18"/>
          <w:color w:val="auto"/>
        </w:rPr>
        <w:t xml:space="preserve"> Prompt notice of any action taken pursuant to this Section 2.11 shall be provided to the stockholders in accordance with Section 228(e) of the DGCL.</w:t>
      </w:r>
    </w:p>
    <w:p>
      <w:pPr>
        <w:spacing w:after="0" w:line="37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98" w:lineRule="exact"/>
        <w:rPr>
          <w:sz w:val="20"/>
          <w:szCs w:val="20"/>
          <w:color w:val="auto"/>
        </w:rPr>
      </w:pPr>
    </w:p>
    <w:p>
      <w:pPr>
        <w:jc w:val="both"/>
        <w:ind w:right="180" w:firstLine="436"/>
        <w:spacing w:after="0" w:line="26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Authorized Directors.</w:t>
      </w:r>
      <w:r>
        <w:rPr>
          <w:rFonts w:ascii="Times New Roman" w:cs="Times New Roman" w:eastAsia="Times New Roman" w:hAnsi="Times New Roman"/>
          <w:sz w:val="18"/>
          <w:szCs w:val="18"/>
          <w:color w:val="auto"/>
        </w:rPr>
        <w:t xml:space="preserve">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successor is elected and qualified. Directors need not be stockholders.</w:t>
      </w:r>
    </w:p>
    <w:p>
      <w:pPr>
        <w:spacing w:after="0" w:line="170" w:lineRule="exact"/>
        <w:rPr>
          <w:sz w:val="20"/>
          <w:szCs w:val="20"/>
          <w:color w:val="auto"/>
        </w:rPr>
      </w:pPr>
    </w:p>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xml:space="preserve">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305" w:name="page306"/>
    <w:bookmarkEnd w:id="30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whole Board of Directors (as constituted immediately prior to any such increase), the Court of Chancery may, upon application of any stockholder or stockholders holding at least twenty percent (20%)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76" w:lineRule="exact"/>
        <w:rPr>
          <w:sz w:val="20"/>
          <w:szCs w:val="20"/>
          <w:color w:val="auto"/>
        </w:rPr>
      </w:pPr>
    </w:p>
    <w:p>
      <w:pPr>
        <w:ind w:right="100" w:firstLine="436"/>
        <w:spacing w:after="0" w:line="26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Board Authority.</w:t>
      </w:r>
      <w:r>
        <w:rPr>
          <w:rFonts w:ascii="Times New Roman" w:cs="Times New Roman" w:eastAsia="Times New Roman" w:hAnsi="Times New Roman"/>
          <w:sz w:val="18"/>
          <w:szCs w:val="18"/>
          <w:color w:val="auto"/>
        </w:rPr>
        <w:t xml:space="preserve">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0" w:lineRule="exact"/>
        <w:rPr>
          <w:sz w:val="20"/>
          <w:szCs w:val="20"/>
          <w:color w:val="auto"/>
        </w:rPr>
      </w:pPr>
    </w:p>
    <w:p>
      <w:pPr>
        <w:ind w:right="16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Location of Meetings.</w:t>
      </w:r>
      <w:r>
        <w:rPr>
          <w:rFonts w:ascii="Times New Roman" w:cs="Times New Roman" w:eastAsia="Times New Roman" w:hAnsi="Times New Roman"/>
          <w:sz w:val="18"/>
          <w:szCs w:val="18"/>
          <w:color w:val="auto"/>
        </w:rPr>
        <w:t xml:space="preserve"> The Board of Directors of the corporation may hold meetings, both regular and special, either within or without the State of Delaware.</w:t>
      </w:r>
    </w:p>
    <w:p>
      <w:pPr>
        <w:spacing w:after="0" w:line="15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First Meeting.</w:t>
      </w:r>
      <w:r>
        <w:rPr>
          <w:rFonts w:ascii="Times New Roman" w:cs="Times New Roman" w:eastAsia="Times New Roman" w:hAnsi="Times New Roman"/>
          <w:sz w:val="18"/>
          <w:szCs w:val="18"/>
          <w:color w:val="auto"/>
        </w:rPr>
        <w:t xml:space="preserve">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78"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Regular Meetings.</w:t>
      </w:r>
      <w:r>
        <w:rPr>
          <w:rFonts w:ascii="Times New Roman" w:cs="Times New Roman" w:eastAsia="Times New Roman" w:hAnsi="Times New Roman"/>
          <w:sz w:val="18"/>
          <w:szCs w:val="18"/>
          <w:color w:val="auto"/>
        </w:rPr>
        <w:t xml:space="preserve"> Regular meetings of the Board of Directors may be held without notice at such time and at such place as shall from time to time be determined by the Board of Directors.</w:t>
      </w:r>
    </w:p>
    <w:p>
      <w:pPr>
        <w:spacing w:after="0" w:line="156"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xml:space="preserve">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 -four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8.1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306" w:name="page307"/>
    <w:bookmarkEnd w:id="306"/>
    <w:p>
      <w:pPr>
        <w:ind w:right="26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VIII hereof. A meeting may be held at any time without notice if all the directors are present (except as otherwise provided by law) or if those not present waive notice of the meeting in writing, either before or after such meeting.</w:t>
      </w:r>
    </w:p>
    <w:p>
      <w:pPr>
        <w:spacing w:after="0" w:line="158" w:lineRule="exact"/>
        <w:rPr>
          <w:sz w:val="20"/>
          <w:szCs w:val="20"/>
          <w:color w:val="auto"/>
        </w:rPr>
      </w:pPr>
    </w:p>
    <w:p>
      <w:pPr>
        <w:ind w:right="140" w:firstLine="436"/>
        <w:spacing w:after="0" w:line="25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xml:space="preserve">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80"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Action Without a Meeting.</w:t>
      </w:r>
      <w:r>
        <w:rPr>
          <w:rFonts w:ascii="Times New Roman" w:cs="Times New Roman" w:eastAsia="Times New Roman" w:hAnsi="Times New Roman"/>
          <w:sz w:val="18"/>
          <w:szCs w:val="18"/>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76"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color w:val="auto"/>
        </w:rPr>
        <w:t>Telephonic Meetings.</w:t>
      </w:r>
      <w:r>
        <w:rPr>
          <w:rFonts w:ascii="Times New Roman" w:cs="Times New Roman" w:eastAsia="Times New Roman" w:hAnsi="Times New Roman"/>
          <w:sz w:val="18"/>
          <w:szCs w:val="18"/>
          <w:color w:val="auto"/>
        </w:rPr>
        <w:t xml:space="preserve">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76"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xml:space="preserve">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74" w:lineRule="exact"/>
        <w:rPr>
          <w:sz w:val="20"/>
          <w:szCs w:val="20"/>
          <w:color w:val="auto"/>
        </w:rPr>
      </w:pPr>
    </w:p>
    <w:p>
      <w:pPr>
        <w:jc w:val="both"/>
        <w:ind w:right="1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In the absence or disqualification of a member of a committee, the member or members thereof present at any meeting and not disqualified from voting, whether or not </w:t>
      </w:r>
      <w:r>
        <w:rPr>
          <w:rFonts w:ascii="Times New Roman" w:cs="Times New Roman" w:eastAsia="Times New Roman" w:hAnsi="Times New Roman"/>
          <w:sz w:val="18"/>
          <w:szCs w:val="18"/>
          <w:b w:val="1"/>
          <w:bCs w:val="1"/>
          <w:color w:val="auto"/>
        </w:rPr>
        <w:t>he or she</w:t>
      </w:r>
      <w:r>
        <w:rPr>
          <w:rFonts w:ascii="Times New Roman" w:cs="Times New Roman" w:eastAsia="Times New Roman" w:hAnsi="Times New Roman"/>
          <w:sz w:val="18"/>
          <w:szCs w:val="18"/>
          <w:color w:val="auto"/>
        </w:rPr>
        <w:t xml:space="preserve"> or they constitute a quorum, may unanimously appoint another member of the Board of Directors to act at the meeting in the place of any such absent or disqualified member.</w:t>
      </w:r>
    </w:p>
    <w:p>
      <w:pPr>
        <w:spacing w:after="0" w:line="175"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80" w:lineRule="exact"/>
        <w:rPr>
          <w:sz w:val="20"/>
          <w:szCs w:val="20"/>
          <w:color w:val="auto"/>
        </w:rPr>
      </w:pPr>
    </w:p>
    <w:p>
      <w:pPr>
        <w:ind w:right="48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b w:val="1"/>
          <w:bCs w:val="1"/>
          <w:color w:val="auto"/>
        </w:rPr>
        <w:t>Minutes of Meetings.</w:t>
      </w:r>
      <w:r>
        <w:rPr>
          <w:rFonts w:ascii="Times New Roman" w:cs="Times New Roman" w:eastAsia="Times New Roman" w:hAnsi="Times New Roman"/>
          <w:sz w:val="18"/>
          <w:szCs w:val="18"/>
          <w:color w:val="auto"/>
        </w:rPr>
        <w:t xml:space="preserve"> Each committee shall keep regular minutes of its meetings and report the same to the Board of Directors when required.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307" w:name="page308"/>
    <w:bookmarkEnd w:id="307"/>
    <w:p>
      <w:pPr>
        <w:ind w:right="180" w:firstLine="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3.13  </w:t>
      </w:r>
      <w:r>
        <w:rPr>
          <w:rFonts w:ascii="Times New Roman" w:cs="Times New Roman" w:eastAsia="Times New Roman" w:hAnsi="Times New Roman"/>
          <w:sz w:val="18"/>
          <w:szCs w:val="18"/>
          <w:b w:val="1"/>
          <w:bCs w:val="1"/>
          <w:color w:val="auto"/>
        </w:rPr>
        <w:t>Compensation of Directors.</w:t>
      </w:r>
      <w:r>
        <w:rPr>
          <w:rFonts w:ascii="Times New Roman" w:cs="Times New Roman" w:eastAsia="Times New Roman" w:hAnsi="Times New Roman"/>
          <w:sz w:val="18"/>
          <w:szCs w:val="18"/>
          <w:color w:val="auto"/>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0"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xml:space="preserve">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98"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80"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Waiver of Notice.</w:t>
      </w:r>
      <w:r>
        <w:rPr>
          <w:rFonts w:ascii="Times New Roman" w:cs="Times New Roman" w:eastAsia="Times New Roman" w:hAnsi="Times New Roman"/>
          <w:sz w:val="18"/>
          <w:szCs w:val="18"/>
          <w:color w:val="auto"/>
        </w:rPr>
        <w:t xml:space="preserve">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Electronic Notice.</w:t>
      </w:r>
    </w:p>
    <w:p>
      <w:pPr>
        <w:spacing w:after="0" w:line="116" w:lineRule="exact"/>
        <w:rPr>
          <w:sz w:val="20"/>
          <w:szCs w:val="20"/>
          <w:color w:val="auto"/>
        </w:rPr>
      </w:pPr>
    </w:p>
    <w:p>
      <w:pPr>
        <w:ind w:right="40" w:firstLine="982"/>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Electronic Transmission.</w:t>
      </w:r>
      <w:r>
        <w:rPr>
          <w:rFonts w:ascii="Times New Roman" w:cs="Times New Roman" w:eastAsia="Times New Roman" w:hAnsi="Times New Roman"/>
          <w:sz w:val="18"/>
          <w:szCs w:val="18"/>
          <w:color w:val="auto"/>
        </w:rPr>
        <w:t xml:space="preserve"> Without limiting the manner by which notice otherwise may be given effectively to stockholders and 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_corporation is unable to deliver by electronic transmission two consecutive notices given by the corporation in accordance with such consent and</w:t>
      </w:r>
    </w:p>
    <w:p>
      <w:pPr>
        <w:spacing w:after="0" w:line="4" w:lineRule="exact"/>
        <w:rPr>
          <w:sz w:val="20"/>
          <w:szCs w:val="20"/>
          <w:color w:val="auto"/>
        </w:rPr>
      </w:pPr>
    </w:p>
    <w:p>
      <w:pPr>
        <w:ind w:right="80" w:firstLine="7"/>
        <w:spacing w:after="0" w:line="256" w:lineRule="auto"/>
        <w:tabs>
          <w:tab w:leader="none" w:pos="25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80" w:lineRule="exact"/>
        <w:rPr>
          <w:sz w:val="20"/>
          <w:szCs w:val="20"/>
          <w:color w:val="auto"/>
        </w:rPr>
      </w:pPr>
    </w:p>
    <w:p>
      <w:pPr>
        <w:ind w:right="880" w:firstLine="982"/>
        <w:spacing w:after="0" w:line="28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Effective Date of Notice.</w:t>
      </w:r>
      <w:r>
        <w:rPr>
          <w:rFonts w:ascii="Times New Roman" w:cs="Times New Roman" w:eastAsia="Times New Roman" w:hAnsi="Times New Roman"/>
          <w:sz w:val="18"/>
          <w:szCs w:val="18"/>
          <w:color w:val="auto"/>
        </w:rPr>
        <w:t xml:space="preserve"> Notice given pursuant to subsection (a) of this section shall be deemed given: (1) if by facsimile telecommunication, when directed to a</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4" w:right="519" w:bottom="1440" w:gutter="0" w:footer="0" w:header="0"/>
        </w:sectPr>
      </w:pPr>
    </w:p>
    <w:bookmarkStart w:id="308" w:name="page309"/>
    <w:bookmarkEnd w:id="30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fade evidence of the facts stated therein.</w:t>
      </w:r>
    </w:p>
    <w:p>
      <w:pPr>
        <w:spacing w:after="0" w:line="182" w:lineRule="exact"/>
        <w:rPr>
          <w:sz w:val="20"/>
          <w:szCs w:val="20"/>
          <w:color w:val="auto"/>
        </w:rPr>
      </w:pPr>
    </w:p>
    <w:p>
      <w:pPr>
        <w:ind w:right="140" w:firstLine="982"/>
        <w:spacing w:after="0" w:line="26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Form of Electronic Transmission.</w:t>
      </w:r>
      <w:r>
        <w:rPr>
          <w:rFonts w:ascii="Times New Roman" w:cs="Times New Roman" w:eastAsia="Times New Roman" w:hAnsi="Times New Roman"/>
          <w:sz w:val="18"/>
          <w:szCs w:val="18"/>
          <w:color w:val="auto"/>
        </w:rPr>
        <w:t xml:space="preserve">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98"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Required and Permitted Officers.</w:t>
      </w:r>
      <w:r>
        <w:rPr>
          <w:rFonts w:ascii="Times New Roman" w:cs="Times New Roman" w:eastAsia="Times New Roman" w:hAnsi="Times New Roman"/>
          <w:sz w:val="18"/>
          <w:szCs w:val="18"/>
          <w:color w:val="auto"/>
        </w:rPr>
        <w:t xml:space="preserve"> The officers of the corporation shall be chosen by the Board of Directors and shall be a president,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176" w:lineRule="exact"/>
        <w:rPr>
          <w:sz w:val="20"/>
          <w:szCs w:val="20"/>
          <w:color w:val="auto"/>
        </w:rPr>
      </w:pPr>
    </w:p>
    <w:p>
      <w:pPr>
        <w:ind w:right="300" w:firstLine="436"/>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Appointment of Required Officers.</w:t>
      </w:r>
      <w:r>
        <w:rPr>
          <w:rFonts w:ascii="Times New Roman" w:cs="Times New Roman" w:eastAsia="Times New Roman" w:hAnsi="Times New Roman"/>
          <w:sz w:val="18"/>
          <w:szCs w:val="18"/>
          <w:color w:val="auto"/>
        </w:rPr>
        <w:t xml:space="preserve"> The Board of Directors at its first meeting after each annual meeting of stockholders shall choose a president, a treasurer, and a secretary and may choose vice-presidents.</w:t>
      </w:r>
    </w:p>
    <w:p>
      <w:pPr>
        <w:spacing w:after="0" w:line="156"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Appointment of Permitted Officers.</w:t>
      </w:r>
      <w:r>
        <w:rPr>
          <w:rFonts w:ascii="Times New Roman" w:cs="Times New Roman" w:eastAsia="Times New Roman" w:hAnsi="Times New Roman"/>
          <w:sz w:val="18"/>
          <w:szCs w:val="18"/>
          <w:color w:val="auto"/>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Officer Compensation.</w:t>
      </w:r>
      <w:r>
        <w:rPr>
          <w:rFonts w:ascii="Times New Roman" w:cs="Times New Roman" w:eastAsia="Times New Roman" w:hAnsi="Times New Roman"/>
          <w:sz w:val="18"/>
          <w:szCs w:val="18"/>
          <w:color w:val="auto"/>
        </w:rPr>
        <w:t xml:space="preserve"> The salaries of all officers and agents of the corporation shall be fixed by the Board of Directors.</w:t>
      </w:r>
    </w:p>
    <w:p>
      <w:pPr>
        <w:spacing w:after="0" w:line="22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Term of Office; Vacancies.</w:t>
      </w:r>
      <w:r>
        <w:rPr>
          <w:rFonts w:ascii="Times New Roman" w:cs="Times New Roman" w:eastAsia="Times New Roman" w:hAnsi="Times New Roman"/>
          <w:sz w:val="18"/>
          <w:szCs w:val="18"/>
          <w:color w:val="auto"/>
        </w:rPr>
        <w:t xml:space="preserve">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CHAIRMAN OF THE BOARD</w:t>
      </w:r>
    </w:p>
    <w:p>
      <w:pPr>
        <w:spacing w:after="0" w:line="221"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Chairman Presides.</w:t>
      </w:r>
      <w:r>
        <w:rPr>
          <w:rFonts w:ascii="Times New Roman" w:cs="Times New Roman" w:eastAsia="Times New Roman" w:hAnsi="Times New Roman"/>
          <w:sz w:val="18"/>
          <w:szCs w:val="18"/>
          <w:color w:val="auto"/>
        </w:rPr>
        <w:t xml:space="preserve"> The Chairman of the Board, if any, shall preside at all meetings of the Board of Directors and of the stockholders at which he or she shall be present. </w:t>
      </w:r>
      <w:r>
        <w:rPr>
          <w:rFonts w:ascii="Times New Roman" w:cs="Times New Roman" w:eastAsia="Times New Roman" w:hAnsi="Times New Roman"/>
          <w:sz w:val="18"/>
          <w:szCs w:val="18"/>
          <w:b w:val="1"/>
          <w:bCs w:val="1"/>
          <w:color w:val="auto"/>
        </w:rPr>
        <w:t>he or she</w:t>
      </w:r>
      <w:r>
        <w:rPr>
          <w:rFonts w:ascii="Times New Roman" w:cs="Times New Roman" w:eastAsia="Times New Roman" w:hAnsi="Times New Roman"/>
          <w:sz w:val="18"/>
          <w:szCs w:val="18"/>
          <w:color w:val="auto"/>
        </w:rPr>
        <w:t xml:space="preserve"> shall have and may exercise such powers as are, from time to time, assigned to him by the Board of Directors and as may be provided by law.</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309" w:name="page310"/>
    <w:bookmarkEnd w:id="309"/>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5.7  </w:t>
      </w:r>
      <w:r>
        <w:rPr>
          <w:rFonts w:ascii="Times New Roman" w:cs="Times New Roman" w:eastAsia="Times New Roman" w:hAnsi="Times New Roman"/>
          <w:sz w:val="18"/>
          <w:szCs w:val="18"/>
          <w:b w:val="1"/>
          <w:bCs w:val="1"/>
          <w:color w:val="auto"/>
        </w:rPr>
        <w:t>Absence of Chairman.</w:t>
      </w:r>
      <w:r>
        <w:rPr>
          <w:rFonts w:ascii="Times New Roman" w:cs="Times New Roman" w:eastAsia="Times New Roman" w:hAnsi="Times New Roman"/>
          <w:sz w:val="18"/>
          <w:szCs w:val="18"/>
          <w:color w:val="auto"/>
        </w:rPr>
        <w:t xml:space="preserve">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THE PRESIDENT AND VICE-PRESIDENTS</w:t>
      </w:r>
    </w:p>
    <w:p>
      <w:pPr>
        <w:spacing w:after="0" w:line="221"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Powers of President.</w:t>
      </w:r>
      <w:r>
        <w:rPr>
          <w:rFonts w:ascii="Times New Roman" w:cs="Times New Roman" w:eastAsia="Times New Roman" w:hAnsi="Times New Roman"/>
          <w:sz w:val="18"/>
          <w:szCs w:val="18"/>
          <w:color w:val="auto"/>
        </w:rPr>
        <w:t xml:space="preserve"> Unless the Board of Directors appoints a chief executive officer, the president shall be the chief executive officer of the corporation; in the absence of the Chairman and Vice-Chairman of the Board he or she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176"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President’s Signature Authority.</w:t>
      </w:r>
      <w:r>
        <w:rPr>
          <w:rFonts w:ascii="Times New Roman" w:cs="Times New Roman" w:eastAsia="Times New Roman" w:hAnsi="Times New Roman"/>
          <w:sz w:val="18"/>
          <w:szCs w:val="18"/>
          <w:color w:val="auto"/>
        </w:rPr>
        <w:t xml:space="preserve">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Absence of President.</w:t>
      </w:r>
      <w:r>
        <w:rPr>
          <w:rFonts w:ascii="Times New Roman" w:cs="Times New Roman" w:eastAsia="Times New Roman" w:hAnsi="Times New Roman"/>
          <w:sz w:val="18"/>
          <w:szCs w:val="18"/>
          <w:color w:val="auto"/>
        </w:rPr>
        <w:t xml:space="preserve">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THE SECRETARY AND ASSISTANT SECRETARY</w:t>
      </w:r>
    </w:p>
    <w:p>
      <w:pPr>
        <w:spacing w:after="0" w:line="221"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Duties of Secretary.</w:t>
      </w:r>
      <w:r>
        <w:rPr>
          <w:rFonts w:ascii="Times New Roman" w:cs="Times New Roman" w:eastAsia="Times New Roman" w:hAnsi="Times New Roman"/>
          <w:sz w:val="18"/>
          <w:szCs w:val="18"/>
          <w:color w:val="auto"/>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4" w:right="539" w:bottom="1440" w:gutter="0" w:footer="0" w:header="0"/>
        </w:sectPr>
      </w:pPr>
    </w:p>
    <w:bookmarkStart w:id="310" w:name="page311"/>
    <w:bookmarkEnd w:id="310"/>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5.12  </w:t>
      </w:r>
      <w:r>
        <w:rPr>
          <w:rFonts w:ascii="Times New Roman" w:cs="Times New Roman" w:eastAsia="Times New Roman" w:hAnsi="Times New Roman"/>
          <w:sz w:val="18"/>
          <w:szCs w:val="18"/>
          <w:b w:val="1"/>
          <w:bCs w:val="1"/>
          <w:color w:val="auto"/>
        </w:rPr>
        <w:t>Duties of Assistant Secretary.</w:t>
      </w:r>
      <w:r>
        <w:rPr>
          <w:rFonts w:ascii="Times New Roman" w:cs="Times New Roman" w:eastAsia="Times New Roman" w:hAnsi="Times New Roman"/>
          <w:sz w:val="18"/>
          <w:szCs w:val="18"/>
          <w:color w:val="auto"/>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TREASURER AND ASSISTANT TREASURERS</w:t>
      </w:r>
    </w:p>
    <w:p>
      <w:pPr>
        <w:spacing w:after="0" w:line="221"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Duties of Treasurer.</w:t>
      </w:r>
      <w:r>
        <w:rPr>
          <w:rFonts w:ascii="Times New Roman" w:cs="Times New Roman" w:eastAsia="Times New Roman" w:hAnsi="Times New Roman"/>
          <w:sz w:val="18"/>
          <w:szCs w:val="18"/>
          <w:color w:val="auto"/>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0"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color w:val="auto"/>
        </w:rPr>
        <w:t>Disbursements and Financial Reports.</w:t>
      </w:r>
      <w:r>
        <w:rPr>
          <w:rFonts w:ascii="Times New Roman" w:cs="Times New Roman" w:eastAsia="Times New Roman" w:hAnsi="Times New Roman"/>
          <w:sz w:val="18"/>
          <w:szCs w:val="18"/>
          <w:color w:val="auto"/>
        </w:rPr>
        <w:t xml:space="preserve">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70"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color w:val="auto"/>
        </w:rPr>
        <w:t>Treasurer’s Bond.</w:t>
      </w:r>
      <w:r>
        <w:rPr>
          <w:rFonts w:ascii="Times New Roman" w:cs="Times New Roman" w:eastAsia="Times New Roman" w:hAnsi="Times New Roman"/>
          <w:sz w:val="18"/>
          <w:szCs w:val="18"/>
          <w:color w:val="auto"/>
        </w:rPr>
        <w:t xml:space="preserve">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7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color w:val="auto"/>
        </w:rPr>
        <w:t>Duties of Assistant Treasurer.</w:t>
      </w:r>
      <w:r>
        <w:rPr>
          <w:rFonts w:ascii="Times New Roman" w:cs="Times New Roman" w:eastAsia="Times New Roman" w:hAnsi="Times New Roman"/>
          <w:sz w:val="18"/>
          <w:szCs w:val="18"/>
          <w:color w:val="auto"/>
        </w:rPr>
        <w:t xml:space="preserve">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STOCK</w:t>
      </w:r>
    </w:p>
    <w:p>
      <w:pPr>
        <w:spacing w:after="0" w:line="198"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Stock Certificates.</w:t>
      </w:r>
      <w:r>
        <w:rPr>
          <w:rFonts w:ascii="Times New Roman" w:cs="Times New Roman" w:eastAsia="Times New Roman" w:hAnsi="Times New Roman"/>
          <w:sz w:val="18"/>
          <w:szCs w:val="18"/>
          <w:color w:val="auto"/>
        </w:rPr>
        <w:t xml:space="preserve">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74"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4" w:right="539" w:bottom="1440" w:gutter="0" w:footer="0" w:header="0"/>
        </w:sectPr>
      </w:pPr>
    </w:p>
    <w:bookmarkStart w:id="311" w:name="page312"/>
    <w:bookmarkEnd w:id="311"/>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3"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Facsimile Signatures.</w:t>
      </w:r>
      <w:r>
        <w:rPr>
          <w:rFonts w:ascii="Times New Roman" w:cs="Times New Roman" w:eastAsia="Times New Roman" w:hAnsi="Times New Roman"/>
          <w:sz w:val="18"/>
          <w:szCs w:val="18"/>
          <w:color w:val="auto"/>
        </w:rPr>
        <w:t xml:space="preserve">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176" w:lineRule="exact"/>
        <w:rPr>
          <w:sz w:val="20"/>
          <w:szCs w:val="20"/>
          <w:color w:val="auto"/>
        </w:rPr>
      </w:pPr>
    </w:p>
    <w:p>
      <w:pPr>
        <w:ind w:right="220" w:firstLine="436"/>
        <w:spacing w:after="0" w:line="272"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Lost Certificates.</w:t>
      </w:r>
      <w:r>
        <w:rPr>
          <w:rFonts w:ascii="Times New Roman" w:cs="Times New Roman" w:eastAsia="Times New Roman" w:hAnsi="Times New Roman"/>
          <w:sz w:val="17"/>
          <w:szCs w:val="17"/>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9"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Transfer of Stock.</w:t>
      </w:r>
      <w:r>
        <w:rPr>
          <w:rFonts w:ascii="Times New Roman" w:cs="Times New Roman" w:eastAsia="Times New Roman" w:hAnsi="Times New Roman"/>
          <w:sz w:val="18"/>
          <w:szCs w:val="18"/>
          <w:color w:val="auto"/>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0" w:lineRule="exact"/>
        <w:rPr>
          <w:sz w:val="20"/>
          <w:szCs w:val="20"/>
          <w:color w:val="auto"/>
        </w:rPr>
      </w:pPr>
    </w:p>
    <w:p>
      <w:pPr>
        <w:ind w:right="200" w:firstLine="436"/>
        <w:spacing w:after="0" w:line="269"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b w:val="1"/>
          <w:bCs w:val="1"/>
          <w:color w:val="auto"/>
        </w:rPr>
        <w:t>Fixing a Record Date.</w:t>
      </w:r>
      <w:r>
        <w:rPr>
          <w:rFonts w:ascii="Times New Roman" w:cs="Times New Roman" w:eastAsia="Times New Roman" w:hAnsi="Times New Roman"/>
          <w:sz w:val="17"/>
          <w:szCs w:val="17"/>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w:t>
      </w:r>
    </w:p>
    <w:p>
      <w:pPr>
        <w:spacing w:after="0" w:line="2" w:lineRule="exact"/>
        <w:rPr>
          <w:sz w:val="20"/>
          <w:szCs w:val="20"/>
          <w:color w:val="auto"/>
        </w:rPr>
      </w:pPr>
    </w:p>
    <w:p>
      <w:pPr>
        <w:ind w:right="20" w:firstLine="7"/>
        <w:spacing w:after="0" w:line="252" w:lineRule="auto"/>
        <w:tabs>
          <w:tab w:leader="none" w:pos="34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312" w:name="page313"/>
    <w:bookmarkEnd w:id="312"/>
    <w:p>
      <w:pPr>
        <w:jc w:val="both"/>
        <w:ind w:right="60" w:firstLine="43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6.6  </w:t>
      </w:r>
      <w:r>
        <w:rPr>
          <w:rFonts w:ascii="Times New Roman" w:cs="Times New Roman" w:eastAsia="Times New Roman" w:hAnsi="Times New Roman"/>
          <w:sz w:val="18"/>
          <w:szCs w:val="18"/>
          <w:b w:val="1"/>
          <w:bCs w:val="1"/>
          <w:color w:val="auto"/>
        </w:rPr>
        <w:t>Registered Stockholders.</w:t>
      </w:r>
      <w:r>
        <w:rPr>
          <w:rFonts w:ascii="Times New Roman" w:cs="Times New Roman" w:eastAsia="Times New Roman" w:hAnsi="Times New Roman"/>
          <w:sz w:val="18"/>
          <w:szCs w:val="18"/>
          <w:color w:val="auto"/>
        </w:rPr>
        <w:t xml:space="preserve">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ind w:right="2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xml:space="preserve">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170"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Reserve for Dividends.</w:t>
      </w:r>
      <w:r>
        <w:rPr>
          <w:rFonts w:ascii="Times New Roman" w:cs="Times New Roman" w:eastAsia="Times New Roman" w:hAnsi="Times New Roman"/>
          <w:sz w:val="18"/>
          <w:szCs w:val="18"/>
          <w:color w:val="auto"/>
        </w:rPr>
        <w:t xml:space="preserve">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76" w:lineRule="exact"/>
        <w:rPr>
          <w:sz w:val="20"/>
          <w:szCs w:val="20"/>
          <w:color w:val="auto"/>
        </w:rPr>
      </w:pPr>
    </w:p>
    <w:p>
      <w:pPr>
        <w:ind w:right="300" w:firstLine="436"/>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Checks.</w:t>
      </w:r>
      <w:r>
        <w:rPr>
          <w:rFonts w:ascii="Times New Roman" w:cs="Times New Roman" w:eastAsia="Times New Roman" w:hAnsi="Times New Roman"/>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xml:space="preserve"> The fiscal year of the corporation shall be fixed by resolution of the Board of Directors.</w:t>
      </w:r>
    </w:p>
    <w:p>
      <w:pPr>
        <w:spacing w:after="0" w:line="221" w:lineRule="exact"/>
        <w:rPr>
          <w:sz w:val="20"/>
          <w:szCs w:val="20"/>
          <w:color w:val="auto"/>
        </w:rPr>
      </w:pPr>
    </w:p>
    <w:p>
      <w:pPr>
        <w:ind w:right="3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Corporate Seal.</w:t>
      </w:r>
      <w:r>
        <w:rPr>
          <w:rFonts w:ascii="Times New Roman" w:cs="Times New Roman" w:eastAsia="Times New Roman" w:hAnsi="Times New Roman"/>
          <w:sz w:val="18"/>
          <w:szCs w:val="18"/>
          <w:color w:val="auto"/>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7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4" w:right="499" w:bottom="1440" w:gutter="0" w:footer="0" w:header="0"/>
        </w:sectPr>
      </w:pPr>
    </w:p>
    <w:bookmarkStart w:id="313" w:name="page314"/>
    <w:bookmarkEnd w:id="31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84"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87"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0" w:lineRule="exact"/>
        <w:rPr>
          <w:sz w:val="20"/>
          <w:szCs w:val="20"/>
          <w:color w:val="auto"/>
        </w:rPr>
      </w:pPr>
    </w:p>
    <w:p>
      <w:pPr>
        <w:ind w:right="160" w:firstLine="436"/>
        <w:spacing w:after="0" w:line="308" w:lineRule="auto"/>
        <w:rPr>
          <w:sz w:val="20"/>
          <w:szCs w:val="20"/>
          <w:color w:val="auto"/>
        </w:rPr>
      </w:pPr>
      <w:r>
        <w:rPr>
          <w:rFonts w:ascii="Times New Roman" w:cs="Times New Roman" w:eastAsia="Times New Roman" w:hAnsi="Times New Roman"/>
          <w:sz w:val="17"/>
          <w:szCs w:val="17"/>
          <w:color w:val="auto"/>
        </w:rPr>
        <w:t>The Board of Directors in its sole discretion shall have power on behalf of the corporation to indemnify any person, other than a director, made a party to any action, suit or proceeding by reason of the fact that he or she, his testator or intestate, is or was an officer or employee of the corporation.</w:t>
      </w:r>
    </w:p>
    <w:p>
      <w:pPr>
        <w:spacing w:after="0" w:line="140"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314" w:name="page315"/>
    <w:bookmarkEnd w:id="31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CERTIFICATE OF INCORPORATION GOVERNS</w:t>
      </w:r>
    </w:p>
    <w:p>
      <w:pPr>
        <w:spacing w:after="0" w:line="221" w:lineRule="exact"/>
        <w:rPr>
          <w:sz w:val="20"/>
          <w:szCs w:val="20"/>
          <w:color w:val="auto"/>
        </w:rPr>
      </w:pPr>
    </w:p>
    <w:p>
      <w:pPr>
        <w:ind w:right="7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Conflicts with Certificate of Incorporation.</w:t>
      </w:r>
      <w:r>
        <w:rPr>
          <w:rFonts w:ascii="Times New Roman" w:cs="Times New Roman" w:eastAsia="Times New Roman" w:hAnsi="Times New Roman"/>
          <w:sz w:val="18"/>
          <w:szCs w:val="18"/>
          <w:color w:val="auto"/>
        </w:rPr>
        <w:t xml:space="preserve"> In the event of any conflict between the provisions of the corporation’s certificate of incorporation and these bylaws, the provisions of the certificate of incorporation shall govern.</w:t>
      </w:r>
    </w:p>
    <w:p>
      <w:pPr>
        <w:spacing w:after="0" w:line="3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02"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9.1 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ARTICLEX</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RECORDS AND REPORTS</w:t>
      </w:r>
    </w:p>
    <w:p>
      <w:pPr>
        <w:spacing w:after="0" w:line="202" w:lineRule="exact"/>
        <w:rPr>
          <w:sz w:val="20"/>
          <w:szCs w:val="20"/>
          <w:color w:val="auto"/>
        </w:rPr>
      </w:pPr>
    </w:p>
    <w:p>
      <w:pPr>
        <w:ind w:right="300" w:firstLine="436"/>
        <w:spacing w:after="0" w:line="278" w:lineRule="auto"/>
        <w:rPr>
          <w:sz w:val="20"/>
          <w:szCs w:val="20"/>
          <w:color w:val="auto"/>
        </w:rPr>
      </w:pPr>
      <w:r>
        <w:rPr>
          <w:rFonts w:ascii="Times New Roman" w:cs="Times New Roman" w:eastAsia="Times New Roman" w:hAnsi="Times New Roman"/>
          <w:sz w:val="18"/>
          <w:szCs w:val="18"/>
          <w:color w:val="auto"/>
        </w:rPr>
        <w:t>10.1  The application and requirements of Section 1501 of the California General Corporation Law are hereby expressly waived to the fullest extent permitted thereunder.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315" w:name="page316"/>
    <w:bookmarkEnd w:id="31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CERTIFICATE OF SECRETARY</w:t>
      </w: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OF OMADA HEALTH, INC.</w:t>
      </w:r>
    </w:p>
    <w:p>
      <w:pPr>
        <w:spacing w:after="0" w:line="221"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The undersigned, Andrew DiMichele, hereby certifies that he is the duly elected and acting Secretary of </w:t>
      </w:r>
      <w:r>
        <w:rPr>
          <w:rFonts w:ascii="Times New Roman" w:cs="Times New Roman" w:eastAsia="Times New Roman" w:hAnsi="Times New Roman"/>
          <w:sz w:val="18"/>
          <w:szCs w:val="18"/>
          <w:b w:val="1"/>
          <w:bCs w:val="1"/>
          <w:color w:val="auto"/>
        </w:rPr>
        <w:t>Omada Health, Inc.,</w:t>
      </w:r>
      <w:r>
        <w:rPr>
          <w:rFonts w:ascii="Times New Roman" w:cs="Times New Roman" w:eastAsia="Times New Roman" w:hAnsi="Times New Roman"/>
          <w:sz w:val="18"/>
          <w:szCs w:val="18"/>
          <w:color w:val="auto"/>
        </w:rPr>
        <w:t xml:space="preserve"> a Delaware corporation (the “Corporation”), and that the Bylaws attached hereto constitute the Bylaws of said Corporation as duly adopted by Action by Written Consent in Lieu of Organizational Meeting by the Directors on May 20, 2011.</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has hereunto subscribed his name this 20th day of May, 2011.</w:t>
      </w:r>
    </w:p>
    <w:p>
      <w:pPr>
        <w:spacing w:after="0" w:line="2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Andrew DiMichele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Andrew DiMichele, Secretary</w:t>
      </w:r>
    </w:p>
    <w:p>
      <w:pPr>
        <w:sectPr>
          <w:pgSz w:w="11900" w:h="16838" w:orient="portrait"/>
          <w:cols w:equalWidth="0" w:num="1">
            <w:col w:w="10640"/>
          </w:cols>
          <w:pgMar w:left="480" w:top="264" w:right="77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AMENDED AND RESTATED INVESTORS’ RIGHTS AGREEMENT</w:t>
      </w:r>
    </w:p>
    <w:p>
      <w:pPr>
        <w:spacing w:after="0" w:line="2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22, 2021</w:t>
      </w:r>
    </w:p>
    <w:p>
      <w:pPr>
        <w:sectPr>
          <w:pgSz w:w="11900" w:h="16838" w:orient="portrait"/>
          <w:cols w:equalWidth="0" w:num="1">
            <w:col w:w="9960"/>
          </w:cols>
          <w:pgMar w:left="1440" w:top="117" w:right="49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r>
      <w:tr>
        <w:trPr>
          <w:trHeight w:val="369"/>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1. </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2. </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Registration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2"/>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Request for Registration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Registration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S-3 Registration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from Holder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of Registration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Delay of Registration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 Under the 1934 Act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2.10</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 of Registration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 on Subsequent Registration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Stand-Off”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3"/>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Registration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Covenants of the Company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2"/>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Delivery of Financial Statements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Information and Inspection Covenants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First Offer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Proprietary Information and Inventions Agreements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Agreements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3.9</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for Costs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3.10</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Committees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and Officer 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IDEO Redemption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Matters Requiring Preferred Director Approval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to Conduct Activities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Corrupt Practices Act Enforcement Actions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3"/>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Certain Covenants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76"/>
              </w:rPr>
              <w:t>4. </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2"/>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Facsimile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4"/>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Titles and Subtitles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3"/>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14"/>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4"/>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4"/>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4"/>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4"/>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Aggregation of Stock</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3"/>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A</w:t>
            </w:r>
          </w:p>
        </w:tc>
        <w:tc>
          <w:tcPr>
            <w:tcW w:w="318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of Investors</w:t>
            </w:r>
          </w:p>
        </w:tc>
      </w:tr>
      <w:tr>
        <w:trPr>
          <w:trHeight w:val="361"/>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540" w:type="dxa"/>
            <w:vAlign w:val="bottom"/>
          </w:tcPr>
          <w:p>
            <w:pPr>
              <w:jc w:val="right"/>
              <w:ind w:right="5251"/>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251"/>
        <w:spacing w:after="0"/>
        <w:rPr>
          <w:sz w:val="20"/>
          <w:szCs w:val="20"/>
          <w:color w:val="auto"/>
        </w:rPr>
        <w:sectPr>
          <w:pgSz w:w="11900" w:h="16838" w:orient="portrait"/>
          <w:cols w:equalWidth="0" w:num="1">
            <w:col w:w="10860"/>
          </w:cols>
          <w:pgMar w:left="480" w:top="268"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19" w:name="page320"/>
    <w:bookmarkEnd w:id="319"/>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OMADA HEALTH, INC.</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221" w:lineRule="exact"/>
        <w:rPr>
          <w:sz w:val="20"/>
          <w:szCs w:val="20"/>
          <w:color w:val="auto"/>
        </w:rPr>
      </w:pPr>
    </w:p>
    <w:p>
      <w:pPr>
        <w:jc w:val="both"/>
        <w:ind w:right="4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as of December 22, 2021, by and among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herein referred to as an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1"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(the “</w:t>
      </w:r>
      <w:r>
        <w:rPr>
          <w:rFonts w:ascii="Times New Roman" w:cs="Times New Roman" w:eastAsia="Times New Roman" w:hAnsi="Times New Roman"/>
          <w:sz w:val="18"/>
          <w:szCs w:val="18"/>
          <w:b w:val="1"/>
          <w:bCs w:val="1"/>
          <w:i w:val="1"/>
          <w:iCs w:val="1"/>
          <w:color w:val="auto"/>
        </w:rPr>
        <w:t>Prior Investors</w:t>
      </w:r>
      <w:r>
        <w:rPr>
          <w:rFonts w:ascii="Times New Roman" w:cs="Times New Roman" w:eastAsia="Times New Roman" w:hAnsi="Times New Roman"/>
          <w:sz w:val="18"/>
          <w:szCs w:val="18"/>
          <w:color w:val="auto"/>
        </w:rPr>
        <w:t>”) are holders of outstanding shares of the Company’s Series A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 value $0.001 per share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outstanding shares of the Company’s Series B Preferred Stock, par value $0.001 per share (the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outstanding shares of the Company’s Series C Preferred Stock, par value $0.001 per share (the “</w:t>
      </w:r>
      <w:r>
        <w:rPr>
          <w:rFonts w:ascii="Times New Roman" w:cs="Times New Roman" w:eastAsia="Times New Roman" w:hAnsi="Times New Roman"/>
          <w:sz w:val="18"/>
          <w:szCs w:val="18"/>
          <w:b w:val="1"/>
          <w:bCs w:val="1"/>
          <w:i w:val="1"/>
          <w:iCs w:val="1"/>
          <w:color w:val="auto"/>
        </w:rPr>
        <w:t>Series C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outstanding shares of the Company’s Series C-1 Preferred Stock, par value $0.001 per share (the “</w:t>
      </w:r>
      <w:r>
        <w:rPr>
          <w:rFonts w:ascii="Times New Roman" w:cs="Times New Roman" w:eastAsia="Times New Roman" w:hAnsi="Times New Roman"/>
          <w:sz w:val="18"/>
          <w:szCs w:val="18"/>
          <w:b w:val="1"/>
          <w:bCs w:val="1"/>
          <w:i w:val="1"/>
          <w:iCs w:val="1"/>
          <w:color w:val="auto"/>
        </w:rPr>
        <w:t>Series C-1 Preferred Stock</w:t>
      </w:r>
      <w:r>
        <w:rPr>
          <w:rFonts w:ascii="Times New Roman" w:cs="Times New Roman" w:eastAsia="Times New Roman" w:hAnsi="Times New Roman"/>
          <w:sz w:val="18"/>
          <w:szCs w:val="18"/>
          <w:color w:val="auto"/>
        </w:rPr>
        <w:t>”),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the Company’s Series D Preferred Stock, par value $0.001 per share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and outstanding shares of the Company’s Series D-1 Preferred Stock, par value $0.001 per share (the “</w:t>
      </w:r>
      <w:r>
        <w:rPr>
          <w:rFonts w:ascii="Times New Roman" w:cs="Times New Roman" w:eastAsia="Times New Roman" w:hAnsi="Times New Roman"/>
          <w:sz w:val="18"/>
          <w:szCs w:val="18"/>
          <w:b w:val="1"/>
          <w:bCs w:val="1"/>
          <w:i w:val="1"/>
          <w:iCs w:val="1"/>
          <w:color w:val="auto"/>
        </w:rPr>
        <w:t>Series D-1 Preferred Stock</w:t>
      </w:r>
      <w:r>
        <w:rPr>
          <w:rFonts w:ascii="Times New Roman" w:cs="Times New Roman" w:eastAsia="Times New Roman" w:hAnsi="Times New Roman"/>
          <w:sz w:val="18"/>
          <w:szCs w:val="18"/>
          <w:color w:val="auto"/>
        </w:rPr>
        <w:t>”), and the Prior Investors have also been granted certain information and registration rights and rights of first refusal pursuant to that certain Amended and Restated Investors’ Rights Agreement by and among the Company and the Prior Investors dated March 16, 2021 (the “</w:t>
      </w:r>
      <w:r>
        <w:rPr>
          <w:rFonts w:ascii="Times New Roman" w:cs="Times New Roman" w:eastAsia="Times New Roman" w:hAnsi="Times New Roman"/>
          <w:sz w:val="18"/>
          <w:szCs w:val="18"/>
          <w:b w:val="1"/>
          <w:bCs w:val="1"/>
          <w:i w:val="1"/>
          <w:iCs w:val="1"/>
          <w:color w:val="auto"/>
        </w:rPr>
        <w:t>Prior Rights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Investors (the “</w:t>
      </w:r>
      <w:r>
        <w:rPr>
          <w:rFonts w:ascii="Times New Roman" w:cs="Times New Roman" w:eastAsia="Times New Roman" w:hAnsi="Times New Roman"/>
          <w:sz w:val="18"/>
          <w:szCs w:val="18"/>
          <w:b w:val="1"/>
          <w:bCs w:val="1"/>
          <w:i w:val="1"/>
          <w:iCs w:val="1"/>
          <w:color w:val="auto"/>
        </w:rPr>
        <w:t>Series E Investors</w:t>
      </w:r>
      <w:r>
        <w:rPr>
          <w:rFonts w:ascii="Times New Roman" w:cs="Times New Roman" w:eastAsia="Times New Roman" w:hAnsi="Times New Roman"/>
          <w:sz w:val="18"/>
          <w:szCs w:val="18"/>
          <w:color w:val="auto"/>
        </w:rPr>
        <w:t>”) have agreed to purchase shares of the Company’s Series E Preferred Stock,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$0.001 per share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and, together with the Series A Preferred Stock, the Series B Preferred Stock, the Series C Preferred Stock, the Series C-1 Preferred Stock, the Series D Preferred Stock, and the Series D-1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pursuant to that certain Series E Preferred Stock Purchase Agreement dated of even date herewith by and among the Company and certain of the Investors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undersigned Prior Investors and the Series E Investors desire to enter into this Agreement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restate and replace, with respect to the Prior Investors, and establish, with respect to the Series E Investors, their rights and obligations under the Prior Rights Agreements with the rights and obligations set forth in this Agreement.</w:t>
      </w:r>
    </w:p>
    <w:p>
      <w:pPr>
        <w:spacing w:after="0" w:line="170"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4.8 of the Prior Rights Agreement provides that the Prior Rights Agreement may be amended by the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holders of at least 66% of the “Registrable Securities” (as defined in the Prior Rights Agreement) and the undersigned parties to this Agreement hold at least 66% of such Registrable Securities.</w:t>
      </w:r>
    </w:p>
    <w:p>
      <w:pPr>
        <w:sectPr>
          <w:pgSz w:w="11900" w:h="16838" w:orient="portrait"/>
          <w:cols w:equalWidth="0" w:num="1">
            <w:col w:w="10880"/>
          </w:cols>
          <w:pgMar w:left="480" w:top="264" w:right="539" w:bottom="1440" w:gutter="0" w:footer="0" w:header="0"/>
        </w:sectPr>
      </w:pPr>
    </w:p>
    <w:bookmarkStart w:id="320" w:name="page321"/>
    <w:bookmarkEnd w:id="320"/>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NOW, THEREFORE</w:t>
      </w:r>
      <w:r>
        <w:rPr>
          <w:rFonts w:ascii="Times New Roman" w:cs="Times New Roman" w:eastAsia="Times New Roman" w:hAnsi="Times New Roman"/>
          <w:sz w:val="18"/>
          <w:szCs w:val="18"/>
          <w:color w:val="auto"/>
        </w:rPr>
        <w:t>, THE PARTIES HEREBY AGREE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The term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Securities Act of 1933, as amended.</w:t>
      </w:r>
    </w:p>
    <w:p>
      <w:pPr>
        <w:spacing w:after="0" w:line="221" w:lineRule="exact"/>
        <w:rPr>
          <w:sz w:val="20"/>
          <w:szCs w:val="20"/>
          <w:color w:val="auto"/>
        </w:rPr>
      </w:pPr>
    </w:p>
    <w:p>
      <w:pPr>
        <w:ind w:firstLine="1419"/>
        <w:spacing w:after="0" w:line="253" w:lineRule="auto"/>
        <w:rPr>
          <w:sz w:val="20"/>
          <w:szCs w:val="20"/>
          <w:color w:val="auto"/>
        </w:rPr>
      </w:pPr>
      <w:r>
        <w:rPr>
          <w:rFonts w:ascii="Times New Roman" w:cs="Times New Roman" w:eastAsia="Times New Roman" w:hAnsi="Times New Roman"/>
          <w:sz w:val="18"/>
          <w:szCs w:val="18"/>
          <w:color w:val="auto"/>
        </w:rPr>
        <w:t>(b)  The term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who or which, directly or indirectly, controls, is controlled by, or is under common control with such specified Person, including, without limitation, any general partner, officer, director or manager of such Person and any venture capital or other investment fund now or hereafter existing that is controlled by one or more general partners or managing members of, or is under common investment management or shares the same investment adviser with, such Person. Notwithstanding anything to the contrary herein, Kaiser Permanente Ventures LLC – Series A, Kaiser Permanente Ventures LLC – Series B and The Permanente federation LLC – Series J (collectively, “</w:t>
      </w:r>
      <w:r>
        <w:rPr>
          <w:rFonts w:ascii="Times New Roman" w:cs="Times New Roman" w:eastAsia="Times New Roman" w:hAnsi="Times New Roman"/>
          <w:sz w:val="18"/>
          <w:szCs w:val="18"/>
          <w:b w:val="1"/>
          <w:bCs w:val="1"/>
          <w:i w:val="1"/>
          <w:iCs w:val="1"/>
          <w:color w:val="auto"/>
        </w:rPr>
        <w:t>Kaiser</w:t>
      </w:r>
      <w:r>
        <w:rPr>
          <w:rFonts w:ascii="Times New Roman" w:cs="Times New Roman" w:eastAsia="Times New Roman" w:hAnsi="Times New Roman"/>
          <w:sz w:val="18"/>
          <w:szCs w:val="18"/>
          <w:color w:val="auto"/>
        </w:rPr>
        <w:t>”) shall be deemed to be Affiliates of each other for purposes of this Agreement and all Ancillary Agreement (as such term is defined in the Purchase Agreement).</w:t>
      </w:r>
    </w:p>
    <w:p>
      <w:pPr>
        <w:spacing w:after="0" w:line="1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   The term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Company’s Board of Directors, as constituted from time to time.</w:t>
      </w:r>
    </w:p>
    <w:p>
      <w:pPr>
        <w:spacing w:after="0" w:line="221" w:lineRule="exact"/>
        <w:rPr>
          <w:sz w:val="20"/>
          <w:szCs w:val="20"/>
          <w:color w:val="auto"/>
        </w:rPr>
      </w:pPr>
    </w:p>
    <w:p>
      <w:pPr>
        <w:ind w:right="340" w:firstLine="1419"/>
        <w:spacing w:after="0" w:line="265" w:lineRule="auto"/>
        <w:rPr>
          <w:sz w:val="20"/>
          <w:szCs w:val="20"/>
          <w:color w:val="auto"/>
        </w:rPr>
      </w:pPr>
      <w:r>
        <w:rPr>
          <w:rFonts w:ascii="Times New Roman" w:cs="Times New Roman" w:eastAsia="Times New Roman" w:hAnsi="Times New Roman"/>
          <w:sz w:val="18"/>
          <w:szCs w:val="18"/>
          <w:color w:val="auto"/>
        </w:rPr>
        <w:t>(d)  The term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   The term “</w:t>
      </w:r>
      <w:r>
        <w:rPr>
          <w:rFonts w:ascii="Times New Roman" w:cs="Times New Roman" w:eastAsia="Times New Roman" w:hAnsi="Times New Roman"/>
          <w:sz w:val="18"/>
          <w:szCs w:val="18"/>
          <w:b w:val="1"/>
          <w:bCs w:val="1"/>
          <w:i w:val="1"/>
          <w:iCs w:val="1"/>
          <w:color w:val="auto"/>
        </w:rPr>
        <w:t>Free Writing Prospectus</w:t>
      </w:r>
      <w:r>
        <w:rPr>
          <w:rFonts w:ascii="Times New Roman" w:cs="Times New Roman" w:eastAsia="Times New Roman" w:hAnsi="Times New Roman"/>
          <w:sz w:val="18"/>
          <w:szCs w:val="18"/>
          <w:color w:val="auto"/>
        </w:rPr>
        <w:t>” means a free-writing prospectus, as defined in Rule 405.</w:t>
      </w:r>
    </w:p>
    <w:p>
      <w:pPr>
        <w:spacing w:after="0" w:line="221" w:lineRule="exact"/>
        <w:rPr>
          <w:sz w:val="20"/>
          <w:szCs w:val="20"/>
          <w:color w:val="auto"/>
        </w:rPr>
      </w:pPr>
    </w:p>
    <w:p>
      <w:pPr>
        <w:ind w:right="240" w:firstLine="1419"/>
        <w:spacing w:after="0" w:line="282" w:lineRule="auto"/>
        <w:rPr>
          <w:sz w:val="20"/>
          <w:szCs w:val="20"/>
          <w:color w:val="auto"/>
        </w:rPr>
      </w:pPr>
      <w:r>
        <w:rPr>
          <w:rFonts w:ascii="Times New Roman" w:cs="Times New Roman" w:eastAsia="Times New Roman" w:hAnsi="Times New Roman"/>
          <w:sz w:val="18"/>
          <w:szCs w:val="18"/>
          <w:color w:val="auto"/>
        </w:rPr>
        <w:t>(f)  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any Person owning or having the right to acquire Registrable Securities or any assignee thereof in accordance with Section 2.10 of this Agreement.</w:t>
      </w:r>
    </w:p>
    <w:p>
      <w:pPr>
        <w:spacing w:after="0" w:line="1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   The term “</w:t>
      </w:r>
      <w:r>
        <w:rPr>
          <w:rFonts w:ascii="Times New Roman" w:cs="Times New Roman" w:eastAsia="Times New Roman" w:hAnsi="Times New Roman"/>
          <w:sz w:val="18"/>
          <w:szCs w:val="18"/>
          <w:b w:val="1"/>
          <w:bCs w:val="1"/>
          <w:i w:val="1"/>
          <w:iCs w:val="1"/>
          <w:color w:val="auto"/>
        </w:rPr>
        <w:t>Initial Offering</w:t>
      </w:r>
      <w:r>
        <w:rPr>
          <w:rFonts w:ascii="Times New Roman" w:cs="Times New Roman" w:eastAsia="Times New Roman" w:hAnsi="Times New Roman"/>
          <w:sz w:val="18"/>
          <w:szCs w:val="18"/>
          <w:color w:val="auto"/>
        </w:rPr>
        <w:t>” means the Company’s first firm commitment underwritten public offering of its Common Stock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Act.</w:t>
      </w:r>
    </w:p>
    <w:p>
      <w:pPr>
        <w:spacing w:after="0" w:line="198" w:lineRule="exact"/>
        <w:rPr>
          <w:sz w:val="20"/>
          <w:szCs w:val="20"/>
          <w:color w:val="auto"/>
        </w:rPr>
      </w:pPr>
    </w:p>
    <w:p>
      <w:pPr>
        <w:ind w:firstLine="1419"/>
        <w:spacing w:after="0" w:line="255" w:lineRule="auto"/>
        <w:rPr>
          <w:sz w:val="20"/>
          <w:szCs w:val="20"/>
          <w:color w:val="auto"/>
        </w:rPr>
      </w:pPr>
      <w:r>
        <w:rPr>
          <w:rFonts w:ascii="Times New Roman" w:cs="Times New Roman" w:eastAsia="Times New Roman" w:hAnsi="Times New Roman"/>
          <w:sz w:val="18"/>
          <w:szCs w:val="18"/>
          <w:color w:val="auto"/>
        </w:rPr>
        <w:t>(h)  The term “</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means an Investor that, individually or together with its Affiliates, holds at least 1,000,000 shares of Registrable Securities (appropriately adjusted for any stock split, dividend, combination or other recapitalization). Notwithstanding anything to the contrary, so long as Kaiser collectively owns least 1,000,000 shares of Registrable Securities (appropriately adjusted for any stock split, dividend, combination or other recapitalization), Kaiser shall be deemed to be a Major Investor, and so long as Wellington Management Company LLP and its Affiliates (collectively, “</w:t>
      </w:r>
      <w:r>
        <w:rPr>
          <w:rFonts w:ascii="Times New Roman" w:cs="Times New Roman" w:eastAsia="Times New Roman" w:hAnsi="Times New Roman"/>
          <w:sz w:val="18"/>
          <w:szCs w:val="18"/>
          <w:b w:val="1"/>
          <w:bCs w:val="1"/>
          <w:i w:val="1"/>
          <w:iCs w:val="1"/>
          <w:color w:val="auto"/>
        </w:rPr>
        <w:t>Wellington</w:t>
      </w:r>
      <w:r>
        <w:rPr>
          <w:rFonts w:ascii="Times New Roman" w:cs="Times New Roman" w:eastAsia="Times New Roman" w:hAnsi="Times New Roman"/>
          <w:sz w:val="18"/>
          <w:szCs w:val="18"/>
          <w:color w:val="auto"/>
        </w:rPr>
        <w:t>”, and each is a “</w:t>
      </w:r>
      <w:r>
        <w:rPr>
          <w:rFonts w:ascii="Times New Roman" w:cs="Times New Roman" w:eastAsia="Times New Roman" w:hAnsi="Times New Roman"/>
          <w:sz w:val="18"/>
          <w:szCs w:val="18"/>
          <w:b w:val="1"/>
          <w:bCs w:val="1"/>
          <w:i w:val="1"/>
          <w:iCs w:val="1"/>
          <w:color w:val="auto"/>
        </w:rPr>
        <w:t>Wellington Investor</w:t>
      </w:r>
      <w:r>
        <w:rPr>
          <w:rFonts w:ascii="Times New Roman" w:cs="Times New Roman" w:eastAsia="Times New Roman" w:hAnsi="Times New Roman"/>
          <w:sz w:val="18"/>
          <w:szCs w:val="18"/>
          <w:color w:val="auto"/>
        </w:rPr>
        <w:t>”) collectively own 1,000,000 shares of Registrable Securities, Wellington shall be deemed to be a Major Investor.</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The term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   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corporation, partnership, trust, limited liability company, association or other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321" w:name="page322"/>
    <w:bookmarkEnd w:id="321"/>
    <w:p>
      <w:pPr>
        <w:ind w:right="140" w:firstLine="1419"/>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(k)  The terms “</w:t>
      </w:r>
      <w:r>
        <w:rPr>
          <w:rFonts w:ascii="Times New Roman" w:cs="Times New Roman" w:eastAsia="Times New Roman" w:hAnsi="Times New Roman"/>
          <w:sz w:val="17"/>
          <w:szCs w:val="17"/>
          <w:b w:val="1"/>
          <w:bCs w:val="1"/>
          <w:i w:val="1"/>
          <w:i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registration</w:t>
      </w:r>
      <w:r>
        <w:rPr>
          <w:rFonts w:ascii="Times New Roman" w:cs="Times New Roman" w:eastAsia="Times New Roman" w:hAnsi="Times New Roman"/>
          <w:sz w:val="17"/>
          <w:szCs w:val="17"/>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32" w:lineRule="exact"/>
        <w:rPr>
          <w:sz w:val="20"/>
          <w:szCs w:val="20"/>
          <w:color w:val="auto"/>
        </w:rPr>
      </w:pPr>
    </w:p>
    <w:p>
      <w:pPr>
        <w:ind w:firstLine="1419"/>
        <w:spacing w:after="0" w:line="255" w:lineRule="auto"/>
        <w:rPr>
          <w:sz w:val="20"/>
          <w:szCs w:val="20"/>
          <w:color w:val="auto"/>
        </w:rPr>
      </w:pPr>
      <w:r>
        <w:rPr>
          <w:rFonts w:ascii="Times New Roman" w:cs="Times New Roman" w:eastAsia="Times New Roman" w:hAnsi="Times New Roman"/>
          <w:sz w:val="18"/>
          <w:szCs w:val="18"/>
          <w:color w:val="auto"/>
        </w:rPr>
        <w:t>(l)  The term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means (i) the Common Stock issuable or issued upon conversion of the Preferred Stock, and (ii) any Common Stock of the Company issued as (or issuable upon the conversion 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Section 2 of this Agreement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   The term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shall mean the Company’s Restated Certificate of Incorporation, as amended and/or restated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w:t>
      </w:r>
    </w:p>
    <w:p>
      <w:pPr>
        <w:spacing w:after="0" w:line="1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   The term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shall mean Rule 144 under the Act.</w:t>
      </w:r>
    </w:p>
    <w:p>
      <w:pPr>
        <w:spacing w:after="0" w:line="221" w:lineRule="exact"/>
        <w:rPr>
          <w:sz w:val="20"/>
          <w:szCs w:val="20"/>
          <w:color w:val="auto"/>
        </w:rPr>
      </w:pPr>
    </w:p>
    <w:p>
      <w:pPr>
        <w:ind w:right="80" w:firstLine="1419"/>
        <w:spacing w:after="0" w:line="282" w:lineRule="auto"/>
        <w:rPr>
          <w:sz w:val="20"/>
          <w:szCs w:val="20"/>
          <w:color w:val="auto"/>
        </w:rPr>
      </w:pPr>
      <w:r>
        <w:rPr>
          <w:rFonts w:ascii="Times New Roman" w:cs="Times New Roman" w:eastAsia="Times New Roman" w:hAnsi="Times New Roman"/>
          <w:sz w:val="18"/>
          <w:szCs w:val="18"/>
          <w:color w:val="auto"/>
        </w:rPr>
        <w:t>(o)  The term “</w:t>
      </w:r>
      <w:r>
        <w:rPr>
          <w:rFonts w:ascii="Times New Roman" w:cs="Times New Roman" w:eastAsia="Times New Roman" w:hAnsi="Times New Roman"/>
          <w:sz w:val="18"/>
          <w:szCs w:val="18"/>
          <w:b w:val="1"/>
          <w:bCs w:val="1"/>
          <w:i w:val="1"/>
          <w:iCs w:val="1"/>
          <w:color w:val="auto"/>
        </w:rPr>
        <w:t>Rule 144(b)(1)(i)</w:t>
      </w:r>
      <w:r>
        <w:rPr>
          <w:rFonts w:ascii="Times New Roman" w:cs="Times New Roman" w:eastAsia="Times New Roman" w:hAnsi="Times New Roman"/>
          <w:sz w:val="18"/>
          <w:szCs w:val="18"/>
          <w:color w:val="auto"/>
        </w:rPr>
        <w:t>” shall mean subsection (b)(1)(i) of Rule 144 under the Act as it applies to Persons who have held shares for more than one (1) year.</w:t>
      </w:r>
    </w:p>
    <w:p>
      <w:pPr>
        <w:spacing w:after="0" w:line="1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   The term “</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shall mean Rule 405 under the Act.</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(q)   The term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covenants and agrees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1419"/>
        <w:spacing w:after="0" w:line="251" w:lineRule="auto"/>
        <w:rPr>
          <w:sz w:val="20"/>
          <w:szCs w:val="20"/>
          <w:color w:val="auto"/>
        </w:rPr>
      </w:pPr>
      <w:r>
        <w:rPr>
          <w:rFonts w:ascii="Times New Roman" w:cs="Times New Roman" w:eastAsia="Times New Roman" w:hAnsi="Times New Roman"/>
          <w:sz w:val="18"/>
          <w:szCs w:val="18"/>
          <w:color w:val="auto"/>
        </w:rPr>
        <w:t>(a)  Subject to the conditions of this Section 2.1, if the Company shall receive at any time after the earlier of (i) three (3) years after the date of this Agreement or (ii) six (6) months after the effective date of the Initial Offering, a written request from the Holders of at least thirty percent (30%) of the Registrable Securities then outstanding (for purposes of this Section 2.1, the “</w:t>
      </w:r>
      <w:r>
        <w:rPr>
          <w:rFonts w:ascii="Times New Roman" w:cs="Times New Roman" w:eastAsia="Times New Roman" w:hAnsi="Times New Roman"/>
          <w:sz w:val="18"/>
          <w:szCs w:val="18"/>
          <w:b w:val="1"/>
          <w:bCs w:val="1"/>
          <w:i w:val="1"/>
          <w:iCs w:val="1"/>
          <w:color w:val="auto"/>
        </w:rPr>
        <w:t>Initiating Holders</w:t>
      </w:r>
      <w:r>
        <w:rPr>
          <w:rFonts w:ascii="Times New Roman" w:cs="Times New Roman" w:eastAsia="Times New Roman" w:hAnsi="Times New Roman"/>
          <w:sz w:val="18"/>
          <w:szCs w:val="18"/>
          <w:color w:val="auto"/>
        </w:rPr>
        <w:t>”) that the Company file a registration statement under the Act covering the registration of (i) if the Initial Offering, at least twenty percent (20%) of the Registrable Securities held by the Initiating Holders, provided that the anticipated aggregate proceeds of such offering, net of underwriting discounts and commissions, would exceed $20,000,000 or (ii) if after the Initial Offering, Registrable Securities with an anticipated aggregate offering price of at least $5,000,000, then the Company shall, within twenty (20) days of the receipt thereof, give written notice of such request to all Holders, and subject to the limitations of this Section 2.1, use its commercially reasonable efforts to effect, as soon as practicable, the registration under the Act of all Registrable Securities or Common Stock that the Holders request to be registered in a written request received by the Company within ninety (90) days of receipt of the request by the Initiating Holders pursuant to this Section 2.1(a).</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4" w:right="539" w:bottom="1440" w:gutter="0" w:footer="0" w:header="0"/>
        </w:sectPr>
      </w:pPr>
    </w:p>
    <w:bookmarkStart w:id="322" w:name="page323"/>
    <w:bookmarkEnd w:id="322"/>
    <w:p>
      <w:pPr>
        <w:ind w:right="100" w:firstLine="1419"/>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  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at least fifty-two percent (52%)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those Initiating Holders holding at least fifty-two percent (52%) of the Registrable Securities then held by all Initiating Holders (which underwriter or underwriters shall be reasonably acceptable to the Company). Notwithstanding any other provision of this Section 2.1,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1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   Notwithstanding the foregoing, the Company shall not be required to effect a registration pursuant to this Section 2.1:</w:t>
      </w:r>
    </w:p>
    <w:p>
      <w:pPr>
        <w:spacing w:after="0" w:line="221" w:lineRule="exact"/>
        <w:rPr>
          <w:sz w:val="20"/>
          <w:szCs w:val="20"/>
          <w:color w:val="auto"/>
        </w:rPr>
      </w:pPr>
    </w:p>
    <w:p>
      <w:pPr>
        <w:ind w:firstLine="1964"/>
        <w:spacing w:after="0" w:line="278" w:lineRule="auto"/>
        <w:rPr>
          <w:sz w:val="20"/>
          <w:szCs w:val="20"/>
          <w:color w:val="auto"/>
        </w:rPr>
      </w:pPr>
      <w:r>
        <w:rPr>
          <w:rFonts w:ascii="Times New Roman" w:cs="Times New Roman" w:eastAsia="Times New Roman" w:hAnsi="Times New Roman"/>
          <w:sz w:val="18"/>
          <w:szCs w:val="18"/>
          <w:color w:val="auto"/>
        </w:rPr>
        <w:t>(i)  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62" w:lineRule="exact"/>
        <w:rPr>
          <w:sz w:val="20"/>
          <w:szCs w:val="20"/>
          <w:color w:val="auto"/>
        </w:rPr>
      </w:pPr>
    </w:p>
    <w:p>
      <w:pPr>
        <w:ind w:right="420" w:firstLine="1964"/>
        <w:spacing w:after="0" w:line="278" w:lineRule="auto"/>
        <w:rPr>
          <w:sz w:val="20"/>
          <w:szCs w:val="20"/>
          <w:color w:val="auto"/>
        </w:rPr>
      </w:pPr>
      <w:r>
        <w:rPr>
          <w:rFonts w:ascii="Times New Roman" w:cs="Times New Roman" w:eastAsia="Times New Roman" w:hAnsi="Times New Roman"/>
          <w:sz w:val="18"/>
          <w:szCs w:val="18"/>
          <w:color w:val="auto"/>
        </w:rPr>
        <w:t>(ii)  after the Company has effected two (2) registrations pursuant to this Section 2.1, and such registrations have been declared or ordered effective; or</w:t>
      </w:r>
    </w:p>
    <w:p>
      <w:pPr>
        <w:spacing w:after="0" w:line="162" w:lineRule="exact"/>
        <w:rPr>
          <w:sz w:val="20"/>
          <w:szCs w:val="20"/>
          <w:color w:val="auto"/>
        </w:rPr>
      </w:pPr>
    </w:p>
    <w:p>
      <w:pPr>
        <w:ind w:right="80" w:firstLine="1964"/>
        <w:spacing w:after="0" w:line="258" w:lineRule="auto"/>
        <w:rPr>
          <w:sz w:val="20"/>
          <w:szCs w:val="20"/>
          <w:color w:val="auto"/>
        </w:rPr>
      </w:pPr>
      <w:r>
        <w:rPr>
          <w:rFonts w:ascii="Times New Roman" w:cs="Times New Roman" w:eastAsia="Times New Roman" w:hAnsi="Times New Roman"/>
          <w:sz w:val="18"/>
          <w:szCs w:val="18"/>
          <w:color w:val="auto"/>
        </w:rPr>
        <w:t xml:space="preserve">(iii)  during the period starting with the date one hundred (100) days prior to the Company’s good faith estimate of the date of the filing of and ending on a date one hundred eighty (180) days following the effective date of a Company-initiated registration subject to Section 2.2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its commercially reasonable efforts to cause such registration statement to become effective; or</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(iv)   if the Initiating Holders propose to dispose of Registrable Securities that may be registered on Form S-3 pursuant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 hereof; or</w:t>
      </w:r>
    </w:p>
    <w:p>
      <w:pPr>
        <w:spacing w:after="0" w:line="202" w:lineRule="exact"/>
        <w:rPr>
          <w:sz w:val="20"/>
          <w:szCs w:val="20"/>
          <w:color w:val="auto"/>
        </w:rPr>
      </w:pPr>
    </w:p>
    <w:p>
      <w:pPr>
        <w:ind w:right="140" w:firstLine="1964"/>
        <w:spacing w:after="0" w:line="258" w:lineRule="auto"/>
        <w:rPr>
          <w:sz w:val="20"/>
          <w:szCs w:val="20"/>
          <w:color w:val="auto"/>
        </w:rPr>
      </w:pPr>
      <w:r>
        <w:rPr>
          <w:rFonts w:ascii="Times New Roman" w:cs="Times New Roman" w:eastAsia="Times New Roman" w:hAnsi="Times New Roman"/>
          <w:sz w:val="18"/>
          <w:szCs w:val="18"/>
          <w:color w:val="auto"/>
        </w:rPr>
        <w:t>(v)  if the Company shall furnish to Holders requesting a registration statement pursuant to this Section 2.1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323" w:name="page324"/>
    <w:bookmarkEnd w:id="32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such filing for a period of not more than ninety (90) days after receipt of the request of the Initiating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 shall be exercised by the Company not more than once in any twelve (12) month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2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1419"/>
        <w:spacing w:after="0" w:line="251" w:lineRule="auto"/>
        <w:rPr>
          <w:sz w:val="20"/>
          <w:szCs w:val="20"/>
          <w:color w:val="auto"/>
        </w:rPr>
      </w:pPr>
      <w:r>
        <w:rPr>
          <w:rFonts w:ascii="Times New Roman" w:cs="Times New Roman" w:eastAsia="Times New Roman" w:hAnsi="Times New Roman"/>
          <w:sz w:val="18"/>
          <w:szCs w:val="18"/>
          <w:color w:val="auto"/>
        </w:rPr>
        <w:t>(a)  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2.1 of this Agreement or (ii)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Upon the written request of each Holder given within twenty (20) days after mailing of such notice by the Company in accordance with Section 4.5 of this Agreement, the Company shall, subject to the provisions of Section 2.2(c) of this Agreement, use its commercially reasonable efforts to cause to be registered under the Act all of the Registrable Securities that each such Holder requests to be registered.</w:t>
      </w:r>
    </w:p>
    <w:p>
      <w:pPr>
        <w:spacing w:after="0" w:line="189" w:lineRule="exact"/>
        <w:rPr>
          <w:sz w:val="20"/>
          <w:szCs w:val="20"/>
          <w:color w:val="auto"/>
        </w:rPr>
      </w:pPr>
    </w:p>
    <w:p>
      <w:pPr>
        <w:ind w:right="180" w:firstLine="1419"/>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Right to Terminate Registration</w:t>
      </w:r>
      <w:r>
        <w:rPr>
          <w:rFonts w:ascii="Times New Roman" w:cs="Times New Roman" w:eastAsia="Times New Roman" w:hAnsi="Times New Roman"/>
          <w:sz w:val="18"/>
          <w:szCs w:val="18"/>
          <w:color w:val="auto"/>
        </w:rPr>
        <w:t>. The Company shall have the right to terminate or withdraw any registration initiated by it under this Section 2.2 prior to the effectiveness of such registration whether or not any Holder has elected to include securities in such registration and shall promptly notify any Holder that has elected to include securities in such registration of such termination or withdrawal. The expenses of such withdrawn registration shall be borne by the Company in accordance with Section 2.6 hereof.</w:t>
      </w:r>
    </w:p>
    <w:p>
      <w:pPr>
        <w:spacing w:after="0" w:line="180" w:lineRule="exact"/>
        <w:rPr>
          <w:sz w:val="20"/>
          <w:szCs w:val="20"/>
          <w:color w:val="auto"/>
        </w:rPr>
      </w:pPr>
    </w:p>
    <w:p>
      <w:pPr>
        <w:ind w:right="40" w:firstLine="1419"/>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 In connection with any offering involving an underwriting of shares of the Company’s capital stock, the Company shall not be required under this Section 2.2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324" w:name="page325"/>
    <w:bookmarkEnd w:id="324"/>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 the success of the offering, then the Company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(i) any Registrable Securities be excluded from such offering unless all other stockholders’ securities have been first excluded from the offering, and (ii) the amount of securities of the selling Holders included in the offering be reduced below twenty-five percent (25%)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For purposes of the preceding sentence concerning apportionment, for any selling stockholder that is a Holder of Registrable Securities and that is a venture capital fund, partnership or corporation, the affiliated venture capital funds, partners, members, retired partners and stockholders of such Holder, or the estates and family members of any such partners, members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Form S-3 Registration</w:t>
      </w:r>
      <w:r>
        <w:rPr>
          <w:rFonts w:ascii="Times New Roman" w:cs="Times New Roman" w:eastAsia="Times New Roman" w:hAnsi="Times New Roman"/>
          <w:sz w:val="18"/>
          <w:szCs w:val="18"/>
          <w:color w:val="auto"/>
        </w:rPr>
        <w:t>. In case the Company shall receive from the Holders of Registrable Securities (for purposes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2.3, the “</w:t>
      </w:r>
      <w:r>
        <w:rPr>
          <w:rFonts w:ascii="Times New Roman" w:cs="Times New Roman" w:eastAsia="Times New Roman" w:hAnsi="Times New Roman"/>
          <w:sz w:val="17"/>
          <w:szCs w:val="17"/>
          <w:b w:val="1"/>
          <w:bCs w:val="1"/>
          <w:i w:val="1"/>
          <w:iCs w:val="1"/>
          <w:color w:val="auto"/>
        </w:rPr>
        <w:t>S-3 Initiating Holders</w:t>
      </w:r>
      <w:r>
        <w:rPr>
          <w:rFonts w:ascii="Times New Roman" w:cs="Times New Roman" w:eastAsia="Times New Roman" w:hAnsi="Times New Roman"/>
          <w:sz w:val="17"/>
          <w:szCs w:val="17"/>
          <w:color w:val="auto"/>
        </w:rPr>
        <w:t>”) a written request or requests that the Company effect a registration on Form S-3 and any related qualification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compliance with respect to all or a part of the Registrable Securities owned by such Holder or Holders, the Company shall:</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   promptly give written notice of the proposed registration, and any related qualification or compliance, to all other Holders; and</w:t>
      </w:r>
    </w:p>
    <w:p>
      <w:pPr>
        <w:spacing w:after="0" w:line="232" w:lineRule="exact"/>
        <w:rPr>
          <w:sz w:val="20"/>
          <w:szCs w:val="20"/>
          <w:color w:val="auto"/>
        </w:rPr>
      </w:pPr>
    </w:p>
    <w:p>
      <w:pPr>
        <w:ind w:right="100" w:firstLine="1419"/>
        <w:spacing w:after="0" w:line="255" w:lineRule="auto"/>
        <w:rPr>
          <w:sz w:val="20"/>
          <w:szCs w:val="20"/>
          <w:color w:val="auto"/>
        </w:rPr>
      </w:pPr>
      <w:r>
        <w:rPr>
          <w:rFonts w:ascii="Times New Roman" w:cs="Times New Roman" w:eastAsia="Times New Roman" w:hAnsi="Times New Roman"/>
          <w:sz w:val="18"/>
          <w:szCs w:val="18"/>
          <w:color w:val="auto"/>
        </w:rPr>
        <w:t xml:space="preserve">(b)  use its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effect any such registration, qualification or compliance, pursuant to this Section 2.3:</w:t>
      </w:r>
    </w:p>
    <w:p>
      <w:pPr>
        <w:spacing w:after="0" w:line="1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   if Form S-3 is not available for such offering by the Holders;</w:t>
      </w:r>
    </w:p>
    <w:p>
      <w:pPr>
        <w:spacing w:after="0" w:line="221" w:lineRule="exact"/>
        <w:rPr>
          <w:sz w:val="20"/>
          <w:szCs w:val="20"/>
          <w:color w:val="auto"/>
        </w:rPr>
      </w:pPr>
    </w:p>
    <w:p>
      <w:pPr>
        <w:ind w:right="700" w:firstLine="1964"/>
        <w:spacing w:after="0" w:line="263" w:lineRule="auto"/>
        <w:rPr>
          <w:sz w:val="20"/>
          <w:szCs w:val="20"/>
          <w:color w:val="auto"/>
        </w:rPr>
      </w:pPr>
      <w:r>
        <w:rPr>
          <w:rFonts w:ascii="Times New Roman" w:cs="Times New Roman" w:eastAsia="Times New Roman" w:hAnsi="Times New Roman"/>
          <w:sz w:val="18"/>
          <w:szCs w:val="18"/>
          <w:color w:val="auto"/>
        </w:rPr>
        <w:t>(ii)  if the Holders, together with the holders of any other securities of the Company entitled to inclusion in such registration, propose to sell Registrable Securities and such other securities (if any) with aggregate proceeds, net of underwriting discounts and commissions, of less than $3,000,000;</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8" w:right="539" w:bottom="1440" w:gutter="0" w:footer="0" w:header="0"/>
        </w:sectPr>
      </w:pPr>
    </w:p>
    <w:bookmarkStart w:id="325" w:name="page326"/>
    <w:bookmarkEnd w:id="325"/>
    <w:p>
      <w:pPr>
        <w:ind w:firstLine="196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(iii)  if the Company shall furnish to all Holders requesting a registration statement pursuant to this Section 2.3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 shall be exercised by the Company not more than once in any twelve (12) month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89" w:lineRule="exact"/>
        <w:rPr>
          <w:sz w:val="20"/>
          <w:szCs w:val="20"/>
          <w:color w:val="auto"/>
        </w:rPr>
      </w:pPr>
    </w:p>
    <w:p>
      <w:pPr>
        <w:ind w:right="220" w:firstLine="1964"/>
        <w:spacing w:after="0" w:line="278" w:lineRule="auto"/>
        <w:rPr>
          <w:sz w:val="20"/>
          <w:szCs w:val="20"/>
          <w:color w:val="auto"/>
        </w:rPr>
      </w:pPr>
      <w:r>
        <w:rPr>
          <w:rFonts w:ascii="Times New Roman" w:cs="Times New Roman" w:eastAsia="Times New Roman" w:hAnsi="Times New Roman"/>
          <w:sz w:val="18"/>
          <w:szCs w:val="18"/>
          <w:color w:val="auto"/>
        </w:rPr>
        <w:t>(iv)  if the Company has already effected two (2) registrations on Form S-3 pursuant to this Section 2.3 within the twelve (12) month period preceding the date of such request;</w:t>
      </w:r>
    </w:p>
    <w:p>
      <w:pPr>
        <w:spacing w:after="0" w:line="162" w:lineRule="exact"/>
        <w:rPr>
          <w:sz w:val="20"/>
          <w:szCs w:val="20"/>
          <w:color w:val="auto"/>
        </w:rPr>
      </w:pPr>
    </w:p>
    <w:p>
      <w:pPr>
        <w:ind w:right="80" w:firstLine="1964"/>
        <w:spacing w:after="0" w:line="278" w:lineRule="auto"/>
        <w:rPr>
          <w:sz w:val="20"/>
          <w:szCs w:val="20"/>
          <w:color w:val="auto"/>
        </w:rPr>
      </w:pPr>
      <w:r>
        <w:rPr>
          <w:rFonts w:ascii="Times New Roman" w:cs="Times New Roman" w:eastAsia="Times New Roman" w:hAnsi="Times New Roman"/>
          <w:sz w:val="18"/>
          <w:szCs w:val="18"/>
          <w:color w:val="auto"/>
        </w:rPr>
        <w:t>(v)  in any particular jurisdiction in which the Company would be required to qualify to do business or to execute a general consent to service of process in effecting such registration, qualification or compliance; or</w:t>
      </w:r>
    </w:p>
    <w:p>
      <w:pPr>
        <w:spacing w:after="0" w:line="162" w:lineRule="exact"/>
        <w:rPr>
          <w:sz w:val="20"/>
          <w:szCs w:val="20"/>
          <w:color w:val="auto"/>
        </w:rPr>
      </w:pPr>
    </w:p>
    <w:p>
      <w:pPr>
        <w:ind w:right="100" w:firstLine="1964"/>
        <w:spacing w:after="0" w:line="258" w:lineRule="auto"/>
        <w:rPr>
          <w:sz w:val="20"/>
          <w:szCs w:val="20"/>
          <w:color w:val="auto"/>
        </w:rPr>
      </w:pPr>
      <w:r>
        <w:rPr>
          <w:rFonts w:ascii="Times New Roman" w:cs="Times New Roman" w:eastAsia="Times New Roman" w:hAnsi="Times New Roman"/>
          <w:sz w:val="18"/>
          <w:szCs w:val="18"/>
          <w:color w:val="auto"/>
        </w:rPr>
        <w:t xml:space="preserve">(vi)  during the period starting with the date thirty (30) days prior to the Company’s good faith estimate of the date of the filing of and ending on a date ninety (90) days following the effective date of a Company-initiated registration subject to Section 2.2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its commercially reasonable efforts to cause such registration statement to become effective.</w:t>
      </w:r>
    </w:p>
    <w:p>
      <w:pPr>
        <w:spacing w:after="0" w:line="180" w:lineRule="exact"/>
        <w:rPr>
          <w:sz w:val="20"/>
          <w:szCs w:val="20"/>
          <w:color w:val="auto"/>
        </w:rPr>
      </w:pPr>
    </w:p>
    <w:p>
      <w:pPr>
        <w:ind w:right="360" w:firstLine="1419"/>
        <w:spacing w:after="0" w:line="258" w:lineRule="auto"/>
        <w:rPr>
          <w:sz w:val="20"/>
          <w:szCs w:val="20"/>
          <w:color w:val="auto"/>
        </w:rPr>
      </w:pPr>
      <w:r>
        <w:rPr>
          <w:rFonts w:ascii="Times New Roman" w:cs="Times New Roman" w:eastAsia="Times New Roman" w:hAnsi="Times New Roman"/>
          <w:sz w:val="18"/>
          <w:szCs w:val="18"/>
          <w:color w:val="auto"/>
        </w:rPr>
        <w:t>(c)  If the S-3 Initiating Holders intend to distribute the Registrable Securities covered by their request by means of an underwriting, they shall so advise the Company as a part of their request made pursuant to this Section 2.3 and the Company shall include such information in the written notice referred to in Section 2.3(a). The provisions of Section 2.1(b) of this Agreement shall be applicable to such request (with the substitution of Section 2.3 for references to Section 2.1).</w:t>
      </w:r>
    </w:p>
    <w:p>
      <w:pPr>
        <w:spacing w:after="0" w:line="180" w:lineRule="exact"/>
        <w:rPr>
          <w:sz w:val="20"/>
          <w:szCs w:val="20"/>
          <w:color w:val="auto"/>
        </w:rPr>
      </w:pPr>
    </w:p>
    <w:p>
      <w:pPr>
        <w:jc w:val="both"/>
        <w:ind w:firstLine="1419"/>
        <w:spacing w:after="0" w:line="263" w:lineRule="auto"/>
        <w:rPr>
          <w:sz w:val="20"/>
          <w:szCs w:val="20"/>
          <w:color w:val="auto"/>
        </w:rPr>
      </w:pPr>
      <w:r>
        <w:rPr>
          <w:rFonts w:ascii="Times New Roman" w:cs="Times New Roman" w:eastAsia="Times New Roman" w:hAnsi="Times New Roman"/>
          <w:sz w:val="18"/>
          <w:szCs w:val="18"/>
          <w:color w:val="auto"/>
        </w:rPr>
        <w:t>(d)  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Section 2.3 shall not be counted as requests for registration effected pursuant to Section 2.1 of this Agreement.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326" w:name="page327"/>
    <w:bookmarkEnd w:id="3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Whenever required under this Section 2 to effect the registration of any Registrable Securities,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202" w:lineRule="exact"/>
        <w:rPr>
          <w:sz w:val="20"/>
          <w:szCs w:val="20"/>
          <w:color w:val="auto"/>
        </w:rPr>
      </w:pPr>
    </w:p>
    <w:p>
      <w:pPr>
        <w:ind w:firstLine="1419"/>
        <w:spacing w:after="0" w:line="258" w:lineRule="auto"/>
        <w:rPr>
          <w:sz w:val="20"/>
          <w:szCs w:val="20"/>
          <w:color w:val="auto"/>
        </w:rPr>
      </w:pPr>
      <w:r>
        <w:rPr>
          <w:rFonts w:ascii="Times New Roman" w:cs="Times New Roman" w:eastAsia="Times New Roman" w:hAnsi="Times New Roman"/>
          <w:sz w:val="18"/>
          <w:szCs w:val="18"/>
          <w:color w:val="auto"/>
        </w:rPr>
        <w:t>(a)  prepare and file with the SEC a registration statement with respect to such Registrable Securities and use its commercially reasonable efforts to cause such registration statement to become effective, and, upon the request of the Holders of at least fifty-two percent (52%) of the Registrable Securities registered thereunder, keep such registration statement effective for a period of up to one hundred twenty (120) days or, if earlier, until the distribution contemplated in the Registration Statement has been completed;</w:t>
      </w:r>
    </w:p>
    <w:p>
      <w:pPr>
        <w:spacing w:after="0" w:line="180" w:lineRule="exact"/>
        <w:rPr>
          <w:sz w:val="20"/>
          <w:szCs w:val="20"/>
          <w:color w:val="auto"/>
        </w:rPr>
      </w:pPr>
    </w:p>
    <w:p>
      <w:pPr>
        <w:ind w:right="60" w:firstLine="1419"/>
        <w:spacing w:after="0" w:line="263" w:lineRule="auto"/>
        <w:rPr>
          <w:sz w:val="20"/>
          <w:szCs w:val="20"/>
          <w:color w:val="auto"/>
        </w:rPr>
      </w:pPr>
      <w:r>
        <w:rPr>
          <w:rFonts w:ascii="Times New Roman" w:cs="Times New Roman" w:eastAsia="Times New Roman" w:hAnsi="Times New Roman"/>
          <w:sz w:val="18"/>
          <w:szCs w:val="18"/>
          <w:color w:val="auto"/>
        </w:rPr>
        <w:t>(b)  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75" w:lineRule="exact"/>
        <w:rPr>
          <w:sz w:val="20"/>
          <w:szCs w:val="20"/>
          <w:color w:val="auto"/>
        </w:rPr>
      </w:pPr>
    </w:p>
    <w:p>
      <w:pPr>
        <w:ind w:right="640" w:firstLine="1419"/>
        <w:spacing w:after="0" w:line="263" w:lineRule="auto"/>
        <w:rPr>
          <w:sz w:val="20"/>
          <w:szCs w:val="20"/>
          <w:color w:val="auto"/>
        </w:rPr>
      </w:pPr>
      <w:r>
        <w:rPr>
          <w:rFonts w:ascii="Times New Roman" w:cs="Times New Roman" w:eastAsia="Times New Roman" w:hAnsi="Times New Roman"/>
          <w:sz w:val="18"/>
          <w:szCs w:val="18"/>
          <w:color w:val="auto"/>
        </w:rPr>
        <w:t>(c)  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75" w:lineRule="exact"/>
        <w:rPr>
          <w:sz w:val="20"/>
          <w:szCs w:val="20"/>
          <w:color w:val="auto"/>
        </w:rPr>
      </w:pPr>
    </w:p>
    <w:p>
      <w:pPr>
        <w:ind w:right="80" w:firstLine="1419"/>
        <w:spacing w:after="0" w:line="258" w:lineRule="auto"/>
        <w:rPr>
          <w:sz w:val="20"/>
          <w:szCs w:val="20"/>
          <w:color w:val="auto"/>
        </w:rPr>
      </w:pPr>
      <w:r>
        <w:rPr>
          <w:rFonts w:ascii="Times New Roman" w:cs="Times New Roman" w:eastAsia="Times New Roman" w:hAnsi="Times New Roman"/>
          <w:sz w:val="18"/>
          <w:szCs w:val="18"/>
          <w:color w:val="auto"/>
        </w:rPr>
        <w:t xml:space="preserve">(d)  use its commercially reasonable efforts to register and qualify the securities covered by such registration statement under such other securities or Blue Sky laws of such jurisdictions as shall be reasonably requested by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80" w:lineRule="exact"/>
        <w:rPr>
          <w:sz w:val="20"/>
          <w:szCs w:val="20"/>
          <w:color w:val="auto"/>
        </w:rPr>
      </w:pPr>
    </w:p>
    <w:p>
      <w:pPr>
        <w:ind w:right="320" w:firstLine="1419"/>
        <w:spacing w:after="0" w:line="278" w:lineRule="auto"/>
        <w:rPr>
          <w:sz w:val="20"/>
          <w:szCs w:val="20"/>
          <w:color w:val="auto"/>
        </w:rPr>
      </w:pPr>
      <w:r>
        <w:rPr>
          <w:rFonts w:ascii="Times New Roman" w:cs="Times New Roman" w:eastAsia="Times New Roman" w:hAnsi="Times New Roman"/>
          <w:sz w:val="18"/>
          <w:szCs w:val="18"/>
          <w:color w:val="auto"/>
        </w:rPr>
        <w:t>(e)  in the event of any underwritten public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ind w:firstLine="1419"/>
        <w:spacing w:after="0" w:line="252" w:lineRule="auto"/>
        <w:rPr>
          <w:sz w:val="20"/>
          <w:szCs w:val="20"/>
          <w:color w:val="auto"/>
        </w:rPr>
      </w:pPr>
      <w:r>
        <w:rPr>
          <w:rFonts w:ascii="Times New Roman" w:cs="Times New Roman" w:eastAsia="Times New Roman" w:hAnsi="Times New Roman"/>
          <w:sz w:val="18"/>
          <w:szCs w:val="18"/>
          <w:color w:val="auto"/>
        </w:rPr>
        <w:t>(f)  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87" w:lineRule="exact"/>
        <w:rPr>
          <w:sz w:val="20"/>
          <w:szCs w:val="20"/>
          <w:color w:val="auto"/>
        </w:rPr>
      </w:pPr>
    </w:p>
    <w:p>
      <w:pPr>
        <w:ind w:right="100" w:firstLine="1419"/>
        <w:spacing w:after="0" w:line="278" w:lineRule="auto"/>
        <w:rPr>
          <w:sz w:val="20"/>
          <w:szCs w:val="20"/>
          <w:color w:val="auto"/>
        </w:rPr>
      </w:pPr>
      <w:r>
        <w:rPr>
          <w:rFonts w:ascii="Times New Roman" w:cs="Times New Roman" w:eastAsia="Times New Roman" w:hAnsi="Times New Roman"/>
          <w:sz w:val="18"/>
          <w:szCs w:val="18"/>
          <w:color w:val="auto"/>
        </w:rPr>
        <w:t>(g)  cause all such Registrable Securities registered pursuant to this Section 2 to be listed on a national exchange or trading system and on each securities exchange and trading system on which similar securities issued by the Company are then listed;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327" w:name="page328"/>
    <w:bookmarkEnd w:id="327"/>
    <w:p>
      <w:pPr>
        <w:ind w:right="80" w:firstLine="1419"/>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(h)  provide a transfer agent and registrar for all Registrable Securities registered pursuant to this Agreement and a CUSIP number for all such Registrable Securities, in each case not later than the effective date of such registration.</w:t>
      </w:r>
    </w:p>
    <w:p>
      <w:pPr>
        <w:spacing w:after="0" w:line="162" w:lineRule="exact"/>
        <w:rPr>
          <w:sz w:val="20"/>
          <w:szCs w:val="20"/>
          <w:color w:val="auto"/>
        </w:rPr>
      </w:pPr>
    </w:p>
    <w:p>
      <w:pPr>
        <w:ind w:right="40" w:firstLine="1419"/>
        <w:spacing w:after="0" w:line="254" w:lineRule="auto"/>
        <w:rPr>
          <w:sz w:val="20"/>
          <w:szCs w:val="20"/>
          <w:color w:val="auto"/>
        </w:rPr>
      </w:pPr>
      <w:r>
        <w:rPr>
          <w:rFonts w:ascii="Times New Roman" w:cs="Times New Roman" w:eastAsia="Times New Roman" w:hAnsi="Times New Roman"/>
          <w:sz w:val="18"/>
          <w:szCs w:val="18"/>
          <w:color w:val="auto"/>
        </w:rPr>
        <w:t>(i)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4" w:lineRule="exact"/>
        <w:rPr>
          <w:sz w:val="20"/>
          <w:szCs w:val="20"/>
          <w:color w:val="auto"/>
        </w:rPr>
      </w:pPr>
    </w:p>
    <w:p>
      <w:pPr>
        <w:ind w:right="260" w:firstLine="1419"/>
        <w:spacing w:after="0" w:line="278" w:lineRule="auto"/>
        <w:rPr>
          <w:sz w:val="20"/>
          <w:szCs w:val="20"/>
          <w:color w:val="auto"/>
        </w:rPr>
      </w:pPr>
      <w:r>
        <w:rPr>
          <w:rFonts w:ascii="Times New Roman" w:cs="Times New Roman" w:eastAsia="Times New Roman" w:hAnsi="Times New Roman"/>
          <w:sz w:val="18"/>
          <w:szCs w:val="18"/>
          <w:color w:val="auto"/>
        </w:rPr>
        <w:t>(j)  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62" w:lineRule="exact"/>
        <w:rPr>
          <w:sz w:val="20"/>
          <w:szCs w:val="20"/>
          <w:color w:val="auto"/>
        </w:rPr>
      </w:pPr>
    </w:p>
    <w:p>
      <w:pPr>
        <w:ind w:right="300" w:firstLine="1419"/>
        <w:spacing w:after="0" w:line="278" w:lineRule="auto"/>
        <w:rPr>
          <w:sz w:val="20"/>
          <w:szCs w:val="20"/>
          <w:color w:val="auto"/>
        </w:rPr>
      </w:pPr>
      <w:r>
        <w:rPr>
          <w:rFonts w:ascii="Times New Roman" w:cs="Times New Roman" w:eastAsia="Times New Roman" w:hAnsi="Times New Roman"/>
          <w:sz w:val="18"/>
          <w:szCs w:val="18"/>
          <w:color w:val="auto"/>
        </w:rPr>
        <w:t>(k)  after such registration statement becomes effective, notify each selling Holder of any request by the SEC that the Company amend or supplement such registration statement or prospectus.</w:t>
      </w:r>
    </w:p>
    <w:p>
      <w:pPr>
        <w:spacing w:after="0" w:line="162"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Notwithstanding the provisions of this Section 2, the Company shall be entitled to postpone or suspend, for a reasonable period of time not to exceed ninety (90) days, the filing, effectiveness or use of, or trading under, any registration statement if the Company shall determine that any such filing or the sale of any securities pursuant to such registration statement would in the good faith judgment of the Board:</w:t>
      </w:r>
    </w:p>
    <w:p>
      <w:pPr>
        <w:spacing w:after="0" w:line="175" w:lineRule="exact"/>
        <w:rPr>
          <w:sz w:val="20"/>
          <w:szCs w:val="20"/>
          <w:color w:val="auto"/>
        </w:rPr>
      </w:pPr>
    </w:p>
    <w:p>
      <w:pPr>
        <w:ind w:right="820" w:firstLine="1964"/>
        <w:spacing w:after="0" w:line="278" w:lineRule="auto"/>
        <w:rPr>
          <w:sz w:val="20"/>
          <w:szCs w:val="20"/>
          <w:color w:val="auto"/>
        </w:rPr>
      </w:pPr>
      <w:r>
        <w:rPr>
          <w:rFonts w:ascii="Times New Roman" w:cs="Times New Roman" w:eastAsia="Times New Roman" w:hAnsi="Times New Roman"/>
          <w:sz w:val="18"/>
          <w:szCs w:val="18"/>
          <w:color w:val="auto"/>
        </w:rPr>
        <w:t>(i)  materially impede, delay or interfere with any material pending or proposed financing, acquisition, corporate reorganization or other similar transaction involving the Company for which the Board has authorized negotiations;</w:t>
      </w:r>
    </w:p>
    <w:p>
      <w:pPr>
        <w:spacing w:after="0" w:line="162" w:lineRule="exact"/>
        <w:rPr>
          <w:sz w:val="20"/>
          <w:szCs w:val="20"/>
          <w:color w:val="auto"/>
        </w:rPr>
      </w:pPr>
    </w:p>
    <w:p>
      <w:pPr>
        <w:ind w:right="80" w:firstLine="1964"/>
        <w:spacing w:after="0" w:line="278" w:lineRule="auto"/>
        <w:rPr>
          <w:sz w:val="20"/>
          <w:szCs w:val="20"/>
          <w:color w:val="auto"/>
        </w:rPr>
      </w:pPr>
      <w:r>
        <w:rPr>
          <w:rFonts w:ascii="Times New Roman" w:cs="Times New Roman" w:eastAsia="Times New Roman" w:hAnsi="Times New Roman"/>
          <w:sz w:val="18"/>
          <w:szCs w:val="18"/>
          <w:color w:val="auto"/>
        </w:rPr>
        <w:t>(ii)  materially and adversely impair the consummation of any pending or proposed material offering or sale of any class of securities by the Company; or</w:t>
      </w:r>
    </w:p>
    <w:p>
      <w:pPr>
        <w:spacing w:after="0" w:line="162" w:lineRule="exact"/>
        <w:rPr>
          <w:sz w:val="20"/>
          <w:szCs w:val="20"/>
          <w:color w:val="auto"/>
        </w:rPr>
      </w:pPr>
    </w:p>
    <w:p>
      <w:pPr>
        <w:ind w:right="60" w:firstLine="1964"/>
        <w:spacing w:after="0" w:line="263" w:lineRule="auto"/>
        <w:rPr>
          <w:sz w:val="20"/>
          <w:szCs w:val="20"/>
          <w:color w:val="auto"/>
        </w:rPr>
      </w:pPr>
      <w:r>
        <w:rPr>
          <w:rFonts w:ascii="Times New Roman" w:cs="Times New Roman" w:eastAsia="Times New Roman" w:hAnsi="Times New Roman"/>
          <w:sz w:val="18"/>
          <w:szCs w:val="18"/>
          <w:color w:val="auto"/>
        </w:rPr>
        <w:t xml:space="preserve">(iii)  require disclosure of material nonpublic information that, if disclosed at such time, would be materially harmful to the interests of the Company and its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during any such period all executive officers and directors of the Company are also prohibited from selling securities of the Company (or any security of any of the Company’s subsidiaries or affiliates).</w:t>
      </w:r>
    </w:p>
    <w:p>
      <w:pPr>
        <w:spacing w:after="0" w:line="175" w:lineRule="exact"/>
        <w:rPr>
          <w:sz w:val="20"/>
          <w:szCs w:val="20"/>
          <w:color w:val="auto"/>
        </w:rPr>
      </w:pPr>
    </w:p>
    <w:p>
      <w:pPr>
        <w:jc w:val="both"/>
        <w:ind w:right="100" w:firstLine="982"/>
        <w:spacing w:after="0" w:line="263" w:lineRule="auto"/>
        <w:rPr>
          <w:sz w:val="20"/>
          <w:szCs w:val="20"/>
          <w:color w:val="auto"/>
        </w:rPr>
      </w:pPr>
      <w:r>
        <w:rPr>
          <w:rFonts w:ascii="Times New Roman" w:cs="Times New Roman" w:eastAsia="Times New Roman" w:hAnsi="Times New Roman"/>
          <w:sz w:val="18"/>
          <w:szCs w:val="18"/>
          <w:color w:val="auto"/>
        </w:rPr>
        <w:t>In the event of the suspension of effectiveness of any registration statement pursuant to this Section 2.4, the applicable time period during which such registration statement is to remain effective shall be extended by that number of days equal to the number of days the effectiveness of such registration statement was suspended.</w:t>
      </w:r>
    </w:p>
    <w:p>
      <w:pPr>
        <w:spacing w:after="0" w:line="175" w:lineRule="exact"/>
        <w:rPr>
          <w:sz w:val="20"/>
          <w:szCs w:val="20"/>
          <w:color w:val="auto"/>
        </w:rPr>
      </w:pPr>
    </w:p>
    <w:p>
      <w:pPr>
        <w:ind w:right="440" w:firstLine="982"/>
        <w:spacing w:after="0" w:line="27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Information from Holder</w:t>
      </w:r>
      <w:r>
        <w:rPr>
          <w:rFonts w:ascii="Times New Roman" w:cs="Times New Roman" w:eastAsia="Times New Roman" w:hAnsi="Times New Roman"/>
          <w:sz w:val="18"/>
          <w:szCs w:val="18"/>
          <w:color w:val="auto"/>
        </w:rPr>
        <w:t>. It shall be a condition precedent to the obligations of the Company to take any action pursuant to this Section 2 with respect to the Registrable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328" w:name="page329"/>
    <w:bookmarkEnd w:id="328"/>
    <w:p>
      <w:pPr>
        <w:ind w:right="2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75"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All expenses other than underwriting discounts and commissions incurred in connection with registrations, filings or qualifications pursuant to Sections 2.1, 2.2 and 2.3 of this Agreement, including, without limitation, all registration, filing and qualification fees, printers’ and accounting fees, fees and disbursements of counsel for the Company and the reasonable fees and disbursements of one counsel for the selling Holders (not to exceed $35,000) shall be borne by the Company. Notwithstanding the foregoing, the Company shall not be required to pay for any expenses of any registration proceeding begun pursuant to Section 2.1 or Section 2.3 of this Agreement if the registration request is subsequently withdrawn at the request of the Holders of at least fifty-two percent (52%)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2.1 or 2.3, respectively, the Holders of a at least fifty-two percent (52%) of the Registrable Securities to be registered agree to forfeit their right to one registration pursuant to Section 2.1 or 2.3, respectively;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Sections 2.1 and 2.3 of this Agreement.</w:t>
      </w:r>
    </w:p>
    <w:p>
      <w:pPr>
        <w:spacing w:after="0" w:line="193" w:lineRule="exact"/>
        <w:rPr>
          <w:sz w:val="20"/>
          <w:szCs w:val="20"/>
          <w:color w:val="auto"/>
        </w:rPr>
      </w:pPr>
    </w:p>
    <w:p>
      <w:pPr>
        <w:ind w:right="4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any Registrable Securities are included in a registration statement under this Section 2:</w:t>
      </w:r>
    </w:p>
    <w:p>
      <w:pPr>
        <w:spacing w:after="0" w:line="221" w:lineRule="exact"/>
        <w:rPr>
          <w:sz w:val="20"/>
          <w:szCs w:val="20"/>
          <w:color w:val="auto"/>
        </w:rPr>
      </w:pPr>
    </w:p>
    <w:p>
      <w:pPr>
        <w:ind w:right="220" w:firstLine="1419"/>
        <w:spacing w:after="0" w:line="251" w:lineRule="auto"/>
        <w:rPr>
          <w:sz w:val="20"/>
          <w:szCs w:val="20"/>
          <w:color w:val="auto"/>
        </w:rPr>
      </w:pPr>
      <w:r>
        <w:rPr>
          <w:rFonts w:ascii="Times New Roman" w:cs="Times New Roman" w:eastAsia="Times New Roman" w:hAnsi="Times New Roman"/>
          <w:sz w:val="18"/>
          <w:szCs w:val="18"/>
          <w:color w:val="auto"/>
        </w:rPr>
        <w:t>(a)  To the extent permitted by law, the Company will indemnify and hold harmless each Holder, the partners, members, officers, directors and stockholders of each Holder, legal counsel, accountants and investment advisers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of the following statements, omissions or violations (collectively, a “</w:t>
      </w:r>
      <w:r>
        <w:rPr>
          <w:rFonts w:ascii="Times New Roman" w:cs="Times New Roman" w:eastAsia="Times New Roman" w:hAnsi="Times New Roman"/>
          <w:sz w:val="18"/>
          <w:szCs w:val="18"/>
          <w:b w:val="1"/>
          <w:bCs w:val="1"/>
          <w:i w:val="1"/>
          <w:iCs w:val="1"/>
          <w:color w:val="auto"/>
        </w:rPr>
        <w:t>Violation</w:t>
      </w:r>
      <w:r>
        <w:rPr>
          <w:rFonts w:ascii="Times New Roman" w:cs="Times New Roman" w:eastAsia="Times New Roman" w:hAnsi="Times New Roman"/>
          <w:sz w:val="18"/>
          <w:szCs w:val="18"/>
          <w:color w:val="auto"/>
        </w:rPr>
        <w:t>”): (i) any untrue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329" w:name="page330"/>
    <w:bookmarkEnd w:id="329"/>
    <w:p>
      <w:pPr>
        <w:ind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Company, (ii) the omission or alleged omission of a material fact required to be stated in such registration statement,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action or proceeding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indemnity agreement contained in this Section 2.8(a) shall not apply to amounts paid in settlement of any such loss, claim, damage, liability, action or proceeding if such settlement is effected without the consent of the Company (which consent shall not be unreasonably withheld), nor shall the Company be liable in any such case for any such loss, claim, damage, liability, action or proceeding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89" w:lineRule="exact"/>
        <w:rPr>
          <w:sz w:val="20"/>
          <w:szCs w:val="20"/>
          <w:color w:val="auto"/>
        </w:rPr>
      </w:pPr>
    </w:p>
    <w:p>
      <w:pPr>
        <w:ind w:firstLine="1419"/>
        <w:spacing w:after="0" w:line="266" w:lineRule="auto"/>
        <w:rPr>
          <w:sz w:val="20"/>
          <w:szCs w:val="20"/>
          <w:color w:val="auto"/>
        </w:rPr>
      </w:pPr>
      <w:r>
        <w:rPr>
          <w:rFonts w:ascii="Times New Roman" w:cs="Times New Roman" w:eastAsia="Times New Roman" w:hAnsi="Times New Roman"/>
          <w:sz w:val="17"/>
          <w:szCs w:val="17"/>
          <w:color w:val="auto"/>
        </w:rPr>
        <w:t xml:space="preserve">(b)  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Section 2.8(b) for any legal or other expenses reasonably incurred by such Person in connection with investigating or defending any such loss, claim, damage, liability, action or proceeding as such expenses are incurred;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indemnity agreement contained in this Section 2.8(b) shall not apply to amounts paid in settlement of any such loss, claim, damage, liability, action or proceeding if such settlement is effected without the consent of the Holder (which consent shall not be unreasonably withheld),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indemnity under this Section 2.8(b) exceed the net proceeds from the offering received by such Holder.</w:t>
      </w:r>
    </w:p>
    <w:p>
      <w:pPr>
        <w:spacing w:after="0" w:line="179" w:lineRule="exact"/>
        <w:rPr>
          <w:sz w:val="20"/>
          <w:szCs w:val="20"/>
          <w:color w:val="auto"/>
        </w:rPr>
      </w:pPr>
    </w:p>
    <w:p>
      <w:pPr>
        <w:ind w:right="60" w:firstLine="1419"/>
        <w:spacing w:after="0" w:line="254"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party under this Section 2.8 of notice of the commencement of any action or proceeding (including any governmental action or proceeding) for which a party may be entitled to indemnification,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party (together with all other indemnified parties that may be represented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330" w:name="page331"/>
    <w:bookmarkEnd w:id="33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or proceeding, if prejudicial to its ability to defend such action or proceeding, shall relieve such indemnifying party of any liability to the indemnified party under this Section 2.8 to the extent of such prejudice, but the omission to so deliver written notice to the indemnifying party will not relieve such indemnifying party of any liability that it may have to any indemnified party otherwise than under this Section 2.8.</w:t>
      </w:r>
    </w:p>
    <w:p>
      <w:pPr>
        <w:spacing w:after="0" w:line="184" w:lineRule="exact"/>
        <w:rPr>
          <w:sz w:val="20"/>
          <w:szCs w:val="20"/>
          <w:color w:val="auto"/>
        </w:rPr>
      </w:pPr>
    </w:p>
    <w:p>
      <w:pPr>
        <w:ind w:firstLine="1419"/>
        <w:spacing w:after="0" w:line="250" w:lineRule="auto"/>
        <w:rPr>
          <w:sz w:val="20"/>
          <w:szCs w:val="20"/>
          <w:color w:val="auto"/>
        </w:rPr>
      </w:pPr>
      <w:r>
        <w:rPr>
          <w:rFonts w:ascii="Times New Roman" w:cs="Times New Roman" w:eastAsia="Times New Roman" w:hAnsi="Times New Roman"/>
          <w:sz w:val="18"/>
          <w:szCs w:val="18"/>
          <w:color w:val="auto"/>
        </w:rPr>
        <w:t xml:space="preserve">(d)  If the indemnification provided for in this Section 2.8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contribution by any Holder, when combined with any amounts paid or payable by such Holder pursuant to Section 2.8(b), shall exceed the net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 Holder’s liability pursuant to this Section 2.8(d), when combined with the amounts paid or payable by such Holder pursuant to Section 2.8(b),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91" w:lineRule="exact"/>
        <w:rPr>
          <w:sz w:val="20"/>
          <w:szCs w:val="20"/>
          <w:color w:val="auto"/>
        </w:rPr>
      </w:pPr>
    </w:p>
    <w:p>
      <w:pPr>
        <w:ind w:right="100" w:firstLine="1419"/>
        <w:spacing w:after="0" w:line="263" w:lineRule="auto"/>
        <w:rPr>
          <w:sz w:val="20"/>
          <w:szCs w:val="20"/>
          <w:color w:val="auto"/>
        </w:rPr>
      </w:pPr>
      <w:r>
        <w:rPr>
          <w:rFonts w:ascii="Times New Roman" w:cs="Times New Roman" w:eastAsia="Times New Roman" w:hAnsi="Times New Roman"/>
          <w:sz w:val="18"/>
          <w:szCs w:val="18"/>
          <w:color w:val="auto"/>
        </w:rPr>
        <w:t>(e)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5" w:lineRule="exact"/>
        <w:rPr>
          <w:sz w:val="20"/>
          <w:szCs w:val="20"/>
          <w:color w:val="auto"/>
        </w:rPr>
      </w:pPr>
    </w:p>
    <w:p>
      <w:pPr>
        <w:ind w:right="40" w:firstLine="1419"/>
        <w:spacing w:after="0" w:line="278" w:lineRule="auto"/>
        <w:rPr>
          <w:sz w:val="20"/>
          <w:szCs w:val="20"/>
          <w:color w:val="auto"/>
        </w:rPr>
      </w:pPr>
      <w:r>
        <w:rPr>
          <w:rFonts w:ascii="Times New Roman" w:cs="Times New Roman" w:eastAsia="Times New Roman" w:hAnsi="Times New Roman"/>
          <w:sz w:val="18"/>
          <w:szCs w:val="18"/>
          <w:color w:val="auto"/>
        </w:rPr>
        <w:t>(f)  The obligations of the Company and Holders under this Section 2.8 shall survive the completion of any offering of Registrable Securities in a registration statement under this Section 2 and otherwise.</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480" w:top="268" w:right="559" w:bottom="1440" w:gutter="0" w:footer="0" w:header="0"/>
        </w:sectPr>
      </w:pPr>
    </w:p>
    <w:bookmarkStart w:id="331" w:name="page332"/>
    <w:bookmarkEnd w:id="331"/>
    <w:p>
      <w:pPr>
        <w:jc w:val="both"/>
        <w:ind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Reports Under the 1934 Act</w:t>
      </w:r>
      <w:r>
        <w:rPr>
          <w:rFonts w:ascii="Times New Roman" w:cs="Times New Roman" w:eastAsia="Times New Roman" w:hAnsi="Times New Roman"/>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75" w:lineRule="exact"/>
        <w:rPr>
          <w:sz w:val="20"/>
          <w:szCs w:val="20"/>
          <w:color w:val="auto"/>
        </w:rPr>
      </w:pPr>
    </w:p>
    <w:p>
      <w:pPr>
        <w:ind w:right="360" w:firstLine="1419"/>
        <w:spacing w:after="0" w:line="278" w:lineRule="auto"/>
        <w:rPr>
          <w:sz w:val="20"/>
          <w:szCs w:val="20"/>
          <w:color w:val="auto"/>
        </w:rPr>
      </w:pPr>
      <w:r>
        <w:rPr>
          <w:rFonts w:ascii="Times New Roman" w:cs="Times New Roman" w:eastAsia="Times New Roman" w:hAnsi="Times New Roman"/>
          <w:sz w:val="18"/>
          <w:szCs w:val="18"/>
          <w:color w:val="auto"/>
        </w:rPr>
        <w:t>(a)  make and keep adequate current public information available, as those terms are understood and defined in Rule 144, at all times after the effective date of the Initial Offering;</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(b)   file with the SEC in a timely manner all reports and other documents required of the Company under the Act and the 1934 Act;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2" w:lineRule="exact"/>
        <w:rPr>
          <w:sz w:val="20"/>
          <w:szCs w:val="20"/>
          <w:color w:val="auto"/>
        </w:rPr>
      </w:pPr>
    </w:p>
    <w:p>
      <w:pPr>
        <w:ind w:right="20" w:firstLine="1419"/>
        <w:spacing w:after="0" w:line="253" w:lineRule="auto"/>
        <w:rPr>
          <w:sz w:val="20"/>
          <w:szCs w:val="20"/>
          <w:color w:val="auto"/>
        </w:rPr>
      </w:pPr>
      <w:r>
        <w:rPr>
          <w:rFonts w:ascii="Times New Roman" w:cs="Times New Roman" w:eastAsia="Times New Roman" w:hAnsi="Times New Roman"/>
          <w:sz w:val="18"/>
          <w:szCs w:val="18"/>
          <w:color w:val="auto"/>
        </w:rPr>
        <w:t>(c)  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184"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Assignment of Registration Rights</w:t>
      </w:r>
      <w:r>
        <w:rPr>
          <w:rFonts w:ascii="Times New Roman" w:cs="Times New Roman" w:eastAsia="Times New Roman" w:hAnsi="Times New Roman"/>
          <w:sz w:val="18"/>
          <w:szCs w:val="18"/>
          <w:color w:val="auto"/>
        </w:rPr>
        <w:t>. The rights to cause the Company to register Registrable Securities pursuant to this Section 2 may be assigned (but only with all related obligations) by a Holder to a transferee or assignee of such securities that (a) is an Affiliate, subsidiary, parent, partner, limited partner, retired partner, member, retired member, or stockholder of a Holder, (b) is a Holder’s family member or trust for the benefit of an individual Holder, or (c) after such assignment or transfer, holds at least twenty percent (20%) of the transferring Holder’s shares as of the date of such transfer or assignment provided: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2.12 of this Agreement; and (iii) such assignment shall be effective only if immediately following such transfer the further disposition of such securities by the transferee or assignee is restricted under the Act.</w:t>
      </w:r>
    </w:p>
    <w:p>
      <w:pPr>
        <w:spacing w:after="0" w:line="192" w:lineRule="exact"/>
        <w:rPr>
          <w:sz w:val="20"/>
          <w:szCs w:val="20"/>
          <w:color w:val="auto"/>
        </w:rPr>
      </w:pPr>
    </w:p>
    <w:p>
      <w:pPr>
        <w:ind w:right="80" w:firstLine="982"/>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From and after the date of this Agreement, the Company shall not, without the prior written consent of the Holders holding at least fifty-two percent (52%) of the Registrable Securities then held by all Holders, enter into any agreement with any holder or prospective holder of any securities of the Company that would allow such holder or prospective holder (a) to include any of such securities in any registration filed under Section 2.1, Section 2.2 or Section 2.3 of this Agreement,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332" w:name="page333"/>
    <w:bookmarkEnd w:id="33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1419"/>
        <w:spacing w:after="0" w:line="250" w:lineRule="auto"/>
        <w:rPr>
          <w:sz w:val="20"/>
          <w:szCs w:val="20"/>
          <w:color w:val="auto"/>
        </w:rPr>
      </w:pPr>
      <w:r>
        <w:rPr>
          <w:rFonts w:ascii="Times New Roman" w:cs="Times New Roman" w:eastAsia="Times New Roman" w:hAnsi="Times New Roman"/>
          <w:sz w:val="18"/>
          <w:szCs w:val="18"/>
          <w:color w:val="auto"/>
        </w:rPr>
        <w:t>(a)  Each Holder hereby agrees that it will not, without the prior written consent of the managing underwriter, during the period commencing on the date of the final prospectus relating to the Initial Offering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2.12 shall apply only to the Initial Offering, shall not apply to the sale of any shares to an underwriter pursuant to an underwriting agreement, and shall only be applicable to the Holders if all officers, directors and greater than one percent (1%) stockholders of the Company enter into similar agreements. The underwriters in connection with the Initial Offering are intended third-party beneficiaries of this Section 2.12 and shall have the right, power and authority to enforce the provisions hereof as though they were a party hereto. Each Holder further agrees to execute such agreements as may be reasonably requested by the underwriters in the Initial Offering that are consistent with this Section 2.12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190" w:lineRule="exact"/>
        <w:rPr>
          <w:sz w:val="20"/>
          <w:szCs w:val="20"/>
          <w:color w:val="auto"/>
        </w:rPr>
      </w:pPr>
    </w:p>
    <w:p>
      <w:pPr>
        <w:ind w:right="160" w:firstLine="982"/>
        <w:spacing w:after="0" w:line="278" w:lineRule="auto"/>
        <w:rPr>
          <w:sz w:val="20"/>
          <w:szCs w:val="20"/>
          <w:color w:val="auto"/>
        </w:rPr>
      </w:pPr>
      <w:r>
        <w:rPr>
          <w:rFonts w:ascii="Times New Roman" w:cs="Times New Roman" w:eastAsia="Times New Roman" w:hAnsi="Times New Roman"/>
          <w:sz w:val="18"/>
          <w:szCs w:val="18"/>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162" w:lineRule="exact"/>
        <w:rPr>
          <w:sz w:val="20"/>
          <w:szCs w:val="20"/>
          <w:color w:val="auto"/>
        </w:rPr>
      </w:pPr>
    </w:p>
    <w:p>
      <w:pPr>
        <w:ind w:right="60" w:firstLine="1419"/>
        <w:spacing w:after="0" w:line="278" w:lineRule="auto"/>
        <w:rPr>
          <w:sz w:val="20"/>
          <w:szCs w:val="20"/>
          <w:color w:val="auto"/>
        </w:rPr>
      </w:pPr>
      <w:r>
        <w:rPr>
          <w:rFonts w:ascii="Times New Roman" w:cs="Times New Roman" w:eastAsia="Times New Roman" w:hAnsi="Times New Roman"/>
          <w:sz w:val="18"/>
          <w:szCs w:val="18"/>
          <w:color w:val="auto"/>
        </w:rPr>
        <w:t>(b)  Each Holder agrees that a legend reading substantially as follows shall be placed on all certificates representing all Registrable Securities of each Holder (and the shares or securities of every other Person subject to the restriction contained in this Section 2.12):</w:t>
      </w:r>
    </w:p>
    <w:p>
      <w:pPr>
        <w:spacing w:after="0" w:line="55" w:lineRule="exact"/>
        <w:rPr>
          <w:sz w:val="20"/>
          <w:szCs w:val="20"/>
          <w:color w:val="auto"/>
        </w:rPr>
      </w:pPr>
    </w:p>
    <w:p>
      <w:pPr>
        <w:ind w:left="440" w:right="240"/>
        <w:spacing w:after="0" w:line="277" w:lineRule="auto"/>
        <w:rPr>
          <w:sz w:val="20"/>
          <w:szCs w:val="20"/>
          <w:color w:val="auto"/>
        </w:rPr>
      </w:pPr>
      <w:r>
        <w:rPr>
          <w:rFonts w:ascii="Times New Roman" w:cs="Times New Roman" w:eastAsia="Times New Roman" w:hAnsi="Times New Roman"/>
          <w:sz w:val="17"/>
          <w:szCs w:val="17"/>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67" w:lineRule="exact"/>
        <w:rPr>
          <w:sz w:val="20"/>
          <w:szCs w:val="20"/>
          <w:color w:val="auto"/>
        </w:rPr>
      </w:pPr>
    </w:p>
    <w:p>
      <w:pPr>
        <w:jc w:val="both"/>
        <w:ind w:firstLine="982"/>
        <w:spacing w:after="0" w:line="258"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No Holder shall be entitled to exercise any right provided for in this Section 2: (a) after five (5) years following the consummation of the Initial Offering, or (b) as to any Holder, such earlier time after the Initial Offering at which such Holder (i) can sell all shares held by it in compliance with Rule 144(b)(1)(i) or (ii) holds one percent (1%) or less of the Company’s outstanding Common Stock and all Registrable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8" w:right="519" w:bottom="1440" w:gutter="0" w:footer="0" w:header="0"/>
        </w:sectPr>
      </w:pPr>
    </w:p>
    <w:bookmarkStart w:id="333" w:name="page334"/>
    <w:bookmarkEnd w:id="333"/>
    <w:p>
      <w:pPr>
        <w:ind w:right="46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held by such Holder (together with any Affiliate of the Holder with whom such Holder must aggregate its sales under Rule 144) can be sold in any three (3) month period without registration in compliance with Rule 144.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The Company shall deliver to each Major Investor:</w:t>
      </w:r>
    </w:p>
    <w:p>
      <w:pPr>
        <w:spacing w:after="0" w:line="221" w:lineRule="exact"/>
        <w:rPr>
          <w:sz w:val="20"/>
          <w:szCs w:val="20"/>
          <w:color w:val="auto"/>
        </w:rPr>
      </w:pPr>
    </w:p>
    <w:p>
      <w:pPr>
        <w:ind w:right="120" w:firstLine="1964"/>
        <w:spacing w:after="0" w:line="254" w:lineRule="auto"/>
        <w:rPr>
          <w:sz w:val="20"/>
          <w:szCs w:val="20"/>
          <w:color w:val="auto"/>
        </w:rPr>
      </w:pPr>
      <w:r>
        <w:rPr>
          <w:rFonts w:ascii="Times New Roman" w:cs="Times New Roman" w:eastAsia="Times New Roman" w:hAnsi="Times New Roman"/>
          <w:sz w:val="18"/>
          <w:szCs w:val="18"/>
          <w:color w:val="auto"/>
        </w:rPr>
        <w:t>(i)  as soon as practicable, but in any event within one hundred fifty (150) days after the end of fiscal year 2021 and within one hundred twenty (120) days after the end of each fiscal year of the Company thereafter,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and audited and certified by independent public accountants of nationally recognized standing selected by the Board (including the approval of at least one of the Preferred Directors, as that term is defined in the Restated Certificate);</w:t>
      </w:r>
    </w:p>
    <w:p>
      <w:pPr>
        <w:spacing w:after="0" w:line="184" w:lineRule="exact"/>
        <w:rPr>
          <w:sz w:val="20"/>
          <w:szCs w:val="20"/>
          <w:color w:val="auto"/>
        </w:rPr>
      </w:pPr>
    </w:p>
    <w:p>
      <w:pPr>
        <w:ind w:firstLine="1964"/>
        <w:spacing w:after="0" w:line="258" w:lineRule="auto"/>
        <w:rPr>
          <w:sz w:val="20"/>
          <w:szCs w:val="20"/>
          <w:color w:val="auto"/>
        </w:rPr>
      </w:pPr>
      <w:r>
        <w:rPr>
          <w:rFonts w:ascii="Times New Roman" w:cs="Times New Roman" w:eastAsia="Times New Roman" w:hAnsi="Times New Roman"/>
          <w:sz w:val="18"/>
          <w:szCs w:val="18"/>
          <w:color w:val="auto"/>
        </w:rPr>
        <w:t>(ii)  as soon as practicable, but in any event within thirty (30) days after the end of each of the first three (3) quarters of each fiscal year of the Company, an unaudited income statement and statement of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w:t>
      </w:r>
    </w:p>
    <w:p>
      <w:pPr>
        <w:spacing w:after="0" w:line="180" w:lineRule="exact"/>
        <w:rPr>
          <w:sz w:val="20"/>
          <w:szCs w:val="20"/>
          <w:color w:val="auto"/>
        </w:rPr>
      </w:pPr>
    </w:p>
    <w:p>
      <w:pPr>
        <w:ind w:right="140" w:firstLine="1964"/>
        <w:spacing w:after="0" w:line="263" w:lineRule="auto"/>
        <w:rPr>
          <w:sz w:val="20"/>
          <w:szCs w:val="20"/>
          <w:color w:val="auto"/>
        </w:rPr>
      </w:pPr>
      <w:r>
        <w:rPr>
          <w:rFonts w:ascii="Times New Roman" w:cs="Times New Roman" w:eastAsia="Times New Roman" w:hAnsi="Times New Roman"/>
          <w:sz w:val="18"/>
          <w:szCs w:val="18"/>
          <w:color w:val="auto"/>
        </w:rPr>
        <w:t>(iii)  within thirty (30) days of the end of each month, an unaudited income statement and statement of cash flows for such month, and an unaudited balance sheet as of the end of such month, all prepared in accordance with GAAP (except that such financial statements may (A) be subject to normal year-end audit adjustments and (B) not contain all notes thereto that may be required in accordance with GAAP);</w:t>
      </w:r>
    </w:p>
    <w:p>
      <w:pPr>
        <w:spacing w:after="0" w:line="175" w:lineRule="exact"/>
        <w:rPr>
          <w:sz w:val="20"/>
          <w:szCs w:val="20"/>
          <w:color w:val="auto"/>
        </w:rPr>
      </w:pPr>
    </w:p>
    <w:p>
      <w:pPr>
        <w:ind w:right="260" w:firstLine="1964"/>
        <w:spacing w:after="0" w:line="263" w:lineRule="auto"/>
        <w:rPr>
          <w:sz w:val="20"/>
          <w:szCs w:val="20"/>
          <w:color w:val="auto"/>
        </w:rPr>
      </w:pPr>
      <w:r>
        <w:rPr>
          <w:rFonts w:ascii="Times New Roman" w:cs="Times New Roman" w:eastAsia="Times New Roman" w:hAnsi="Times New Roman"/>
          <w:sz w:val="18"/>
          <w:szCs w:val="18"/>
          <w:color w:val="auto"/>
        </w:rPr>
        <w:t>(iv)  as soon as practicable, but in any event at least thirty (30) days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w:t>
      </w:r>
    </w:p>
    <w:p>
      <w:pPr>
        <w:spacing w:after="0" w:line="175" w:lineRule="exact"/>
        <w:rPr>
          <w:sz w:val="20"/>
          <w:szCs w:val="20"/>
          <w:color w:val="auto"/>
        </w:rPr>
      </w:pPr>
    </w:p>
    <w:p>
      <w:pPr>
        <w:ind w:right="800" w:firstLine="1964"/>
        <w:spacing w:after="0" w:line="278" w:lineRule="auto"/>
        <w:rPr>
          <w:sz w:val="20"/>
          <w:szCs w:val="20"/>
          <w:color w:val="auto"/>
        </w:rPr>
      </w:pPr>
      <w:r>
        <w:rPr>
          <w:rFonts w:ascii="Times New Roman" w:cs="Times New Roman" w:eastAsia="Times New Roman" w:hAnsi="Times New Roman"/>
          <w:sz w:val="18"/>
          <w:szCs w:val="18"/>
          <w:color w:val="auto"/>
        </w:rPr>
        <w:t>(v)  within thirty (30) days of the end of each fiscal year of the Company, a statement of stockholder’s equity and outstanding debt as of the end of such year;</w:t>
      </w:r>
    </w:p>
    <w:p>
      <w:pPr>
        <w:spacing w:after="0" w:line="162" w:lineRule="exact"/>
        <w:rPr>
          <w:sz w:val="20"/>
          <w:szCs w:val="20"/>
          <w:color w:val="auto"/>
        </w:rPr>
      </w:pPr>
    </w:p>
    <w:p>
      <w:pPr>
        <w:ind w:right="140" w:firstLine="1964"/>
        <w:spacing w:after="0" w:line="255" w:lineRule="auto"/>
        <w:rPr>
          <w:sz w:val="20"/>
          <w:szCs w:val="20"/>
          <w:color w:val="auto"/>
        </w:rPr>
      </w:pPr>
      <w:r>
        <w:rPr>
          <w:rFonts w:ascii="Times New Roman" w:cs="Times New Roman" w:eastAsia="Times New Roman" w:hAnsi="Times New Roman"/>
          <w:sz w:val="18"/>
          <w:szCs w:val="18"/>
          <w:color w:val="auto"/>
        </w:rPr>
        <w:t xml:space="preserve">(vi)  such other information relating to the financial condition, business or corporate affairs of the Company as such Major Investor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under this subsection (vi) or any other subsection of Section 3.1 to provide information that (A) it reasonably determines in good faith to be a trade secret or similar highly confidential information (unless covered by an enforceable confidentiality agreement, in form acceptable to the Company) or (B) the disclosure of which would adversely affect the attorney-client privilege between the Company and its counsel;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334" w:name="page335"/>
    <w:bookmarkEnd w:id="334"/>
    <w:p>
      <w:pPr>
        <w:ind w:firstLine="141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Notwithstanding anything else in this Section 3.1 to the contrary, the Company may cease providing the information set forth in this Section 3.1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covenants under this Section 3.1 shall be reinstated at such time as the Company is no longer actively employing its commercially reasonable efforts to cause such registration statement to become effective.</w:t>
      </w:r>
    </w:p>
    <w:p>
      <w:pPr>
        <w:spacing w:after="0" w:line="1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(c)   With respect to the financial statements called for in Subsection 3.1(a)(ii) and Subsection 3.1(a)(iii), an instrument executed by</w:t>
      </w:r>
    </w:p>
    <w:p>
      <w:pPr>
        <w:spacing w:after="0" w:line="37" w:lineRule="exact"/>
        <w:rPr>
          <w:sz w:val="20"/>
          <w:szCs w:val="20"/>
          <w:color w:val="auto"/>
        </w:rPr>
      </w:pPr>
    </w:p>
    <w:p>
      <w:pPr>
        <w:ind w:right="160" w:firstLine="7"/>
        <w:spacing w:after="0" w:line="250" w:lineRule="auto"/>
        <w:tabs>
          <w:tab w:leader="none" w:pos="21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has appointed a chief financial officer, the chief financial officer, and (ii) the chief executive officer of the Company certifying that such financial statements were prepared in accordance with GAAP consistently applied with prior practice for earlier periods (except as otherwise set forth in Subsection 3.1(a)(ii) and Subsection 3.1(a)(iii)) and fairly present the financial condition of the Company and its results of operation for the periods specified therein.</w:t>
      </w:r>
    </w:p>
    <w:p>
      <w:pPr>
        <w:spacing w:after="0" w:line="189"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Company shall permit each Major Investor or a third party agent of such Major Investor (including without limitation an accountant), provided that such third party agent is bound by the confidentiality restrictions provided in Section 3.8,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3.2 to provide access to any information that (A) it reasonably determines in good faith to be a trade secret or similar highly confidential information (unless covered by an enforceable confidentiality agreement, in form acceptable to the Company) or (B) the disclosure of which would adversely affect the attorney-client privilege between the Company and its counsel.</w:t>
      </w:r>
    </w:p>
    <w:p>
      <w:pPr>
        <w:spacing w:after="0" w:line="184"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Termination of Information and Inspection Covenants</w:t>
      </w:r>
      <w:r>
        <w:rPr>
          <w:rFonts w:ascii="Times New Roman" w:cs="Times New Roman" w:eastAsia="Times New Roman" w:hAnsi="Times New Roman"/>
          <w:sz w:val="18"/>
          <w:szCs w:val="18"/>
          <w:color w:val="auto"/>
        </w:rPr>
        <w:t>. The covenants set forth in Sections 3.1 and 3.2 shall terminate and be of no further force or effect upon the earliest to occur of (a) the consummation of the Initial Offering, (b) when the Company first becomes subject to the periodic reporting requirements of Sections 12(g) or 15(d) of the 1934 Act and (c) the consummation of a Liquidation Event, as that term is defined in the Restated Certificate; provided, that, with respect to clause (c), the covenants set forth in Section 3.1 and 3.2 shall only terminate if the consideration received by the Investors in such Liquidation Event is in the form of cash and/or publicly traded securities.</w:t>
      </w:r>
    </w:p>
    <w:p>
      <w:pPr>
        <w:spacing w:after="0" w:line="184"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Subject to the terms and conditions specified in this Section 3.4, the Company hereby grants to each Major Investor a right of first offer with respect to future sales by the Company of its Shares (as hereinafter defined). For purposes of this Section 3.4, the term “Major Investor” includes any general partners and Affiliates of a Major Investor. A Major Investor shall be entitled to apportion the right of first offer hereby granted it among itself and its partners and Affiliates in such proportions as it deems appropriate.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8" w:right="519" w:bottom="1440" w:gutter="0" w:footer="0" w:header="0"/>
        </w:sectPr>
      </w:pPr>
    </w:p>
    <w:bookmarkStart w:id="335" w:name="page336"/>
    <w:bookmarkEnd w:id="335"/>
    <w:p>
      <w:pPr>
        <w:ind w:right="12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Each time the Company proposes to offer any shares of, or securities convertible into or exchangeable or exercisable for any shares of, its capital stock (including, without limitation, any rights to acquire securities or debt convertible, exchangeable or exercisable for securities)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Company shall first make an offering of such Shares to each Major Investor in accordance with the following provisions:</w:t>
      </w:r>
    </w:p>
    <w:p>
      <w:pPr>
        <w:spacing w:after="0" w:line="171" w:lineRule="exact"/>
        <w:rPr>
          <w:sz w:val="20"/>
          <w:szCs w:val="20"/>
          <w:color w:val="auto"/>
        </w:rPr>
      </w:pPr>
    </w:p>
    <w:p>
      <w:pPr>
        <w:ind w:right="260" w:firstLine="1419"/>
        <w:spacing w:after="0" w:line="282" w:lineRule="auto"/>
        <w:rPr>
          <w:sz w:val="20"/>
          <w:szCs w:val="20"/>
          <w:color w:val="auto"/>
        </w:rPr>
      </w:pPr>
      <w:r>
        <w:rPr>
          <w:rFonts w:ascii="Times New Roman" w:cs="Times New Roman" w:eastAsia="Times New Roman" w:hAnsi="Times New Roman"/>
          <w:sz w:val="18"/>
          <w:szCs w:val="18"/>
          <w:color w:val="auto"/>
        </w:rPr>
        <w:t>(a)  The Company shall deliver a notice in accordance with Section 4.5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Major Investors stating (i) its bona fide intention to offer such Shares, (ii) the number of such Shares to be offered and (iii) the price and terms upon which it proposes to offer such Shares.</w:t>
      </w:r>
    </w:p>
    <w:p>
      <w:pPr>
        <w:spacing w:after="0" w:line="160" w:lineRule="exact"/>
        <w:rPr>
          <w:sz w:val="20"/>
          <w:szCs w:val="20"/>
          <w:color w:val="auto"/>
        </w:rPr>
      </w:pPr>
    </w:p>
    <w:p>
      <w:pPr>
        <w:ind w:firstLine="1419"/>
        <w:spacing w:after="0" w:line="250" w:lineRule="auto"/>
        <w:rPr>
          <w:sz w:val="20"/>
          <w:szCs w:val="20"/>
          <w:color w:val="auto"/>
        </w:rPr>
      </w:pPr>
      <w:r>
        <w:rPr>
          <w:rFonts w:ascii="Times New Roman" w:cs="Times New Roman" w:eastAsia="Times New Roman" w:hAnsi="Times New Roman"/>
          <w:sz w:val="18"/>
          <w:szCs w:val="18"/>
          <w:color w:val="auto"/>
        </w:rPr>
        <w:t>(b)  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Registrable Securities issued and held by such Major Investor (assuming full conversion of all convertible securities then outstanding) bears to the total number of shares of Common Stock of the Company then outstanding (assuming full conversion and exercise of all convertible and exercisable securities then outstanding, including the Preferred Stock). At the expiration of such twenty (20) calendar day period, the Company shall promptly, in writing, notify each Major Investor that elects to purchase all the shares available to it (a “</w:t>
      </w:r>
      <w:r>
        <w:rPr>
          <w:rFonts w:ascii="Times New Roman" w:cs="Times New Roman" w:eastAsia="Times New Roman" w:hAnsi="Times New Roman"/>
          <w:sz w:val="18"/>
          <w:szCs w:val="18"/>
          <w:b w:val="1"/>
          <w:bCs w:val="1"/>
          <w:i w:val="1"/>
          <w:iCs w:val="1"/>
          <w:color w:val="auto"/>
        </w:rPr>
        <w:t>Fully-Exercising Investor</w:t>
      </w:r>
      <w:r>
        <w:rPr>
          <w:rFonts w:ascii="Times New Roman" w:cs="Times New Roman" w:eastAsia="Times New Roman" w:hAnsi="Times New Roman"/>
          <w:sz w:val="18"/>
          <w:szCs w:val="18"/>
          <w:color w:val="auto"/>
        </w:rPr>
        <w:t>”) of any other Major Investor’s failure to do likewise. During the ten (10) calendar day period commencing after the Company has given such notice to the Fully-Exercising Investors, each Fully-Exercising Investor may elect to purchase that portion of the Shares for which Major Investors were entitled to subscribe, but which were not subscribed for by the Major Investors, that is equal to the proportion that the number of shares of Registrable Securities issued and held by such Fully-Exercising Investor bears to the total number of shares of Common Stock of the Company then outstanding (assuming full conversion of all convertible securities then outstanding) issued and held, or issuable upon conversion of the Preferred Stock then held, by all the Fully-Exercising Investors who wish to purchase some of the unsubscribed shares.</w:t>
      </w:r>
    </w:p>
    <w:p>
      <w:pPr>
        <w:spacing w:after="0" w:line="194" w:lineRule="exact"/>
        <w:rPr>
          <w:sz w:val="20"/>
          <w:szCs w:val="20"/>
          <w:color w:val="auto"/>
        </w:rPr>
      </w:pPr>
    </w:p>
    <w:p>
      <w:pPr>
        <w:ind w:right="40" w:firstLine="1419"/>
        <w:spacing w:after="0" w:line="254" w:lineRule="auto"/>
        <w:rPr>
          <w:sz w:val="20"/>
          <w:szCs w:val="20"/>
          <w:color w:val="auto"/>
        </w:rPr>
      </w:pPr>
      <w:r>
        <w:rPr>
          <w:rFonts w:ascii="Times New Roman" w:cs="Times New Roman" w:eastAsia="Times New Roman" w:hAnsi="Times New Roman"/>
          <w:sz w:val="18"/>
          <w:szCs w:val="18"/>
          <w:color w:val="auto"/>
        </w:rPr>
        <w:t>(c)  If all Shares that Major Investors are entitled to obtain pursuant to Section 3.4(b) of this Agreement are not elected to be obtained as provided in Section 3.4(b) of this Agreement, the Company may, during the ninety (90) day period following the expiration of the period provided in Section 3.4(b) of this Agreement,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184" w:lineRule="exact"/>
        <w:rPr>
          <w:sz w:val="20"/>
          <w:szCs w:val="20"/>
          <w:color w:val="auto"/>
        </w:rPr>
      </w:pPr>
    </w:p>
    <w:p>
      <w:pPr>
        <w:ind w:right="100" w:firstLine="1419"/>
        <w:spacing w:after="0" w:line="255" w:lineRule="auto"/>
        <w:rPr>
          <w:sz w:val="20"/>
          <w:szCs w:val="20"/>
          <w:color w:val="auto"/>
        </w:rPr>
      </w:pPr>
      <w:r>
        <w:rPr>
          <w:rFonts w:ascii="Times New Roman" w:cs="Times New Roman" w:eastAsia="Times New Roman" w:hAnsi="Times New Roman"/>
          <w:sz w:val="18"/>
          <w:szCs w:val="18"/>
          <w:color w:val="auto"/>
        </w:rPr>
        <w:t>(d)  The right of first offer in this Section 3.4 shall not be applicable to shares excluded from the definition of Additional Stock (as defined in the Restated Certificate) and shares sold pursuant to the Purchase Agreement. In addition to the foregoing, the right of first offer in this Section 3.4 shall not be applicable with respect to any Major Investor in any subsequent offering of Shares if (i) at the time of such offering, the Major Investor is not an “accredited investor,” as that term is then defined in Rule 501(a) of the Act and (ii) such offering of Shares is otherwise being offered only to accredited investors.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7" w:right="499" w:bottom="1440" w:gutter="0" w:footer="0" w:header="0"/>
        </w:sectPr>
      </w:pPr>
    </w:p>
    <w:bookmarkStart w:id="336" w:name="page337"/>
    <w:bookmarkEnd w:id="336"/>
    <w:p>
      <w:pPr>
        <w:ind w:right="320" w:firstLine="1419"/>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The rights provided in this Section 3.4 may not be assigned or transferred by any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Major Investor that is a venture capital fund or other investment fund may assign or transfer such rights to its Affiliates.</w:t>
      </w:r>
    </w:p>
    <w:p>
      <w:pPr>
        <w:spacing w:after="0" w:line="162" w:lineRule="exact"/>
        <w:rPr>
          <w:sz w:val="20"/>
          <w:szCs w:val="20"/>
          <w:color w:val="auto"/>
        </w:rPr>
      </w:pPr>
    </w:p>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Proprietary Information and Inventions Agreements</w:t>
      </w:r>
      <w:r>
        <w:rPr>
          <w:rFonts w:ascii="Times New Roman" w:cs="Times New Roman" w:eastAsia="Times New Roman" w:hAnsi="Times New Roman"/>
          <w:sz w:val="18"/>
          <w:szCs w:val="18"/>
          <w:color w:val="auto"/>
        </w:rPr>
        <w:t>. The Company shall require all employees and all consultants with access to confidential information to execute and deliver a Proprietary Information and Inventions Agreement in substantially the form approved by the Board or a consulting agreement containing substantially similar proprietary rights assignment and confidentiality provisions.</w:t>
      </w:r>
    </w:p>
    <w:p>
      <w:pPr>
        <w:spacing w:after="0" w:line="175"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Unless approved by the Board (including the approval of at least one of the Preferred Directors), all future employees, consultants, or other service providers of the Company who shall purchase, or receive options to purchase, shares of Common Stock following the date hereof shall be required to execute stock purchase or option agreements providing for (a) vesting of shares over a four (4) year period from the date of employment with the first twenty five percent (25%) of such shares vesting following twelve (12) months of continued employment or services, and the remaining shares vesting in equal monthly installments over the following thirty six (36) months thereafter and (b) a one hundred eighty (180)-day lockup period (plus an additional period of up to eighteen (18) days) in connection with the Initial Public Offering. The Company shall retain a right of first refusal on any transfers of such Common Stock (not issued upon conversion of Preferred Stock) until the Initial Public Offering and the right to repurchase unvested shares at cost.</w:t>
      </w:r>
    </w:p>
    <w:p>
      <w:pPr>
        <w:spacing w:after="0" w:line="187"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by the Investors (each a “</w:t>
      </w:r>
      <w:r>
        <w:rPr>
          <w:rFonts w:ascii="Times New Roman" w:cs="Times New Roman" w:eastAsia="Times New Roman" w:hAnsi="Times New Roman"/>
          <w:sz w:val="18"/>
          <w:szCs w:val="18"/>
          <w:b w:val="1"/>
          <w:bCs w:val="1"/>
          <w:i w:val="1"/>
          <w:i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i w:val="1"/>
          <w:iCs w:val="1"/>
          <w:color w:val="auto"/>
        </w:rPr>
        <w:t>Fund Indemnitors</w:t>
      </w:r>
      <w:r>
        <w:rPr>
          <w:rFonts w:ascii="Times New Roman" w:cs="Times New Roman" w:eastAsia="Times New Roman" w:hAnsi="Times New Roman"/>
          <w:sz w:val="18"/>
          <w:szCs w:val="18"/>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8" w:right="519" w:bottom="1440" w:gutter="0" w:footer="0" w:header="0"/>
        </w:sectPr>
      </w:pPr>
    </w:p>
    <w:bookmarkStart w:id="337" w:name="page338"/>
    <w:bookmarkEnd w:id="337"/>
    <w:p>
      <w:pPr>
        <w:ind w:firstLine="98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Investor agrees, severally and not jointly, to use the same degree of care as such Investor uses to protect its own confidential information for any information obtained pursuant to this Agreement or otherwise as a stockholder of the Company which the Company identifies in writing as being proprietary or confidential and such Investor acknowledges that it will not, unless otherwise required by law or the rules of any national securities exchange, association or marketplace, disclose such information without the prior written consent of the Company except such information that (a) was in the public domain prior to the time it was furnished to such Investor, (b) is or becomes (through no willful improper action or inaction by such Investor) generally available to the public, (c) was in its possession or known by such Investor without restriction prior to receipt from the Company, (d) was rightfully disclosed to such Investor by a third party without restriction or (e) was independently developed without any use of the Company’s confidential information. Notwithstanding the foregoing, each Investor that is a limited partnership, limited liability company or other entity may disclose such proprietary or confidential information to any Affiliates, former partners, or members or the equivalent, if another entity, who retained an economic interest in such Investor, current or prospective partner of the partnership or any subsequent partnership under common investment management, limited partner, general partner, member, management company or investment adviser of such Investor (or any employee or representative of any of the foregoing) (each of the foregoing Persons, a “</w:t>
      </w:r>
      <w:r>
        <w:rPr>
          <w:rFonts w:ascii="Times New Roman" w:cs="Times New Roman" w:eastAsia="Times New Roman" w:hAnsi="Times New Roman"/>
          <w:sz w:val="18"/>
          <w:szCs w:val="18"/>
          <w:b w:val="1"/>
          <w:bCs w:val="1"/>
          <w:i w:val="1"/>
          <w:iCs w:val="1"/>
          <w:color w:val="auto"/>
        </w:rPr>
        <w:t>Permitted Disclosee</w:t>
      </w:r>
      <w:r>
        <w:rPr>
          <w:rFonts w:ascii="Times New Roman" w:cs="Times New Roman" w:eastAsia="Times New Roman" w:hAnsi="Times New Roman"/>
          <w:sz w:val="18"/>
          <w:szCs w:val="18"/>
          <w:color w:val="auto"/>
        </w:rPr>
        <w:t>”) or legal counsel, accountants or representatives for such Investor. Furthermore, nothing contained herein shall prevent any Investor or any Permitted Disclosee from (i) entering into any business, entering into any agreement with a third party, or investing in or engaging in investment discussions with any other company (whether or not competitive with the Company), provided that such Investor or Permitted Disclosee does not, except as permitted in accordance with this Section 3.8, disclose or otherwise make use of any proprietary or confidential information of the Company in connection with such activities, or (ii) making any disclosures required by law, rule, regulation or court or other governmental order.</w:t>
      </w:r>
    </w:p>
    <w:p>
      <w:pPr>
        <w:spacing w:after="0" w:line="201" w:lineRule="exact"/>
        <w:rPr>
          <w:sz w:val="20"/>
          <w:szCs w:val="20"/>
          <w:color w:val="auto"/>
        </w:rPr>
      </w:pPr>
    </w:p>
    <w:p>
      <w:pPr>
        <w:ind w:right="9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Reimbursement for Costs</w:t>
      </w:r>
      <w:r>
        <w:rPr>
          <w:rFonts w:ascii="Times New Roman" w:cs="Times New Roman" w:eastAsia="Times New Roman" w:hAnsi="Times New Roman"/>
          <w:sz w:val="18"/>
          <w:szCs w:val="18"/>
          <w:color w:val="auto"/>
        </w:rPr>
        <w:t>. The Company shall reimburse each nonemployee director and observer for all reasonable and documented out-of-pocket expenses incurred in connection with attending meetings of the Board.</w:t>
      </w:r>
    </w:p>
    <w:p>
      <w:pPr>
        <w:spacing w:after="0" w:line="162" w:lineRule="exact"/>
        <w:rPr>
          <w:sz w:val="20"/>
          <w:szCs w:val="20"/>
          <w:color w:val="auto"/>
        </w:rPr>
      </w:pPr>
    </w:p>
    <w:p>
      <w:pPr>
        <w:ind w:right="1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Board Committees</w:t>
      </w:r>
      <w:r>
        <w:rPr>
          <w:rFonts w:ascii="Times New Roman" w:cs="Times New Roman" w:eastAsia="Times New Roman" w:hAnsi="Times New Roman"/>
          <w:sz w:val="18"/>
          <w:szCs w:val="18"/>
          <w:color w:val="auto"/>
        </w:rPr>
        <w:t>. Each of the Preferred Directors (as defined in the Restated Certificate) shall have the right to serve on any and all committees of the Board.</w:t>
      </w:r>
    </w:p>
    <w:p>
      <w:pPr>
        <w:spacing w:after="0" w:line="162" w:lineRule="exact"/>
        <w:rPr>
          <w:sz w:val="20"/>
          <w:szCs w:val="20"/>
          <w:color w:val="auto"/>
        </w:rPr>
      </w:pPr>
    </w:p>
    <w:p>
      <w:pPr>
        <w:ind w:right="2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Director and Officer Insurance</w:t>
      </w:r>
      <w:r>
        <w:rPr>
          <w:rFonts w:ascii="Times New Roman" w:cs="Times New Roman" w:eastAsia="Times New Roman" w:hAnsi="Times New Roman"/>
          <w:sz w:val="18"/>
          <w:szCs w:val="18"/>
          <w:color w:val="auto"/>
        </w:rPr>
        <w:t>. The Company shall maintain in full force and effect director and officer liability insurance in an amount of at least $2.0 million from a carrier satisfactory to the Board and on other terms to be determined by the Board.</w:t>
      </w:r>
    </w:p>
    <w:p>
      <w:pPr>
        <w:spacing w:after="0" w:line="162"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IDEO Redemption</w:t>
      </w:r>
      <w:r>
        <w:rPr>
          <w:rFonts w:ascii="Times New Roman" w:cs="Times New Roman" w:eastAsia="Times New Roman" w:hAnsi="Times New Roman"/>
          <w:sz w:val="18"/>
          <w:szCs w:val="18"/>
          <w:color w:val="auto"/>
        </w:rPr>
        <w:t>. The Company agrees not to amend or terminate that certain Supplemental Founding Agreement by and between the Company and IDEO LLC (“</w:t>
      </w:r>
      <w:r>
        <w:rPr>
          <w:rFonts w:ascii="Times New Roman" w:cs="Times New Roman" w:eastAsia="Times New Roman" w:hAnsi="Times New Roman"/>
          <w:sz w:val="18"/>
          <w:szCs w:val="18"/>
          <w:b w:val="1"/>
          <w:bCs w:val="1"/>
          <w:i w:val="1"/>
          <w:iCs w:val="1"/>
          <w:color w:val="auto"/>
        </w:rPr>
        <w:t>IDEO</w:t>
      </w:r>
      <w:r>
        <w:rPr>
          <w:rFonts w:ascii="Times New Roman" w:cs="Times New Roman" w:eastAsia="Times New Roman" w:hAnsi="Times New Roman"/>
          <w:sz w:val="18"/>
          <w:szCs w:val="18"/>
          <w:color w:val="auto"/>
        </w:rPr>
        <w:t>”) dated as of January 17, 2013 (the “</w:t>
      </w:r>
      <w:r>
        <w:rPr>
          <w:rFonts w:ascii="Times New Roman" w:cs="Times New Roman" w:eastAsia="Times New Roman" w:hAnsi="Times New Roman"/>
          <w:sz w:val="18"/>
          <w:szCs w:val="18"/>
          <w:b w:val="1"/>
          <w:bCs w:val="1"/>
          <w:i w:val="1"/>
          <w:iCs w:val="1"/>
          <w:color w:val="auto"/>
        </w:rPr>
        <w:t>Redemption Agreement</w:t>
      </w:r>
      <w:r>
        <w:rPr>
          <w:rFonts w:ascii="Times New Roman" w:cs="Times New Roman" w:eastAsia="Times New Roman" w:hAnsi="Times New Roman"/>
          <w:sz w:val="18"/>
          <w:szCs w:val="18"/>
          <w:color w:val="auto"/>
        </w:rPr>
        <w:t>”) without the consent of the Board (including the approval of at least two of the Preferred Directors). In the event, at any time after the date of this Agreement, the Company has the right to repurchase the underlying equity described in the Redemption Agreement pursuant to the terms thereof, but the Company does not have funds legally available for, or is otherwise not permitted to make, such repurchase, then the Company may assign its right to repurchase such underlying equity from IDEO in whole or in part to the Major Investors pro rata based on the number of Registrable Securities held by all Major Investors or in such other proportions as shall mutually be agreed to by the Major Investors.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338" w:name="page339"/>
    <w:bookmarkEnd w:id="338"/>
    <w:p>
      <w:pPr>
        <w:ind w:right="4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3.13  </w:t>
      </w:r>
      <w:r>
        <w:rPr>
          <w:rFonts w:ascii="Times New Roman" w:cs="Times New Roman" w:eastAsia="Times New Roman" w:hAnsi="Times New Roman"/>
          <w:sz w:val="18"/>
          <w:szCs w:val="18"/>
          <w:u w:val="single" w:color="auto"/>
          <w:color w:val="auto"/>
        </w:rPr>
        <w:t>Matters Requiring Preferred Director Approval</w:t>
      </w:r>
      <w:r>
        <w:rPr>
          <w:rFonts w:ascii="Times New Roman" w:cs="Times New Roman" w:eastAsia="Times New Roman" w:hAnsi="Times New Roman"/>
          <w:sz w:val="18"/>
          <w:szCs w:val="18"/>
          <w:color w:val="auto"/>
        </w:rPr>
        <w:t>. So long as the holders of Series A Preferred Stock are entitled to elect at least one Series A Director, the Company hereby covenants and agrees that it shall not, without approval of the Board (including the approval of the Series A Director), issue any authorized but unissued shares of Series A Preferred Stock (including any security convertible into or exercisable for such shares of Series A Preferred Stock). So long as the holders of Series A Preferred Stock are entitled to elect at least one Series A Director and the holders of Series B Preferred Stock are entitled to elect at least one Series B Director, the Company hereby covenants and agrees that it shall not, without approval of the Board (including the approval of each Preferred Director), repurchase, or assign its right to repurchase, any equity from IDEO pursuant to the Redemption Agreement.</w:t>
      </w:r>
    </w:p>
    <w:p>
      <w:pPr>
        <w:spacing w:after="0" w:line="2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firstLine="1419"/>
        <w:spacing w:after="0" w:line="252" w:lineRule="auto"/>
        <w:rPr>
          <w:sz w:val="20"/>
          <w:szCs w:val="20"/>
          <w:color w:val="auto"/>
        </w:rPr>
      </w:pPr>
      <w:r>
        <w:rPr>
          <w:rFonts w:ascii="Times New Roman" w:cs="Times New Roman" w:eastAsia="Times New Roman" w:hAnsi="Times New Roman"/>
          <w:sz w:val="18"/>
          <w:szCs w:val="18"/>
          <w:color w:val="auto"/>
        </w:rPr>
        <w:t>(a)  The Company hereby agrees and acknowledges that Norwest Venture Partners XII, LP (together with its affiliates, “</w:t>
      </w:r>
      <w:r>
        <w:rPr>
          <w:rFonts w:ascii="Times New Roman" w:cs="Times New Roman" w:eastAsia="Times New Roman" w:hAnsi="Times New Roman"/>
          <w:sz w:val="18"/>
          <w:szCs w:val="18"/>
          <w:b w:val="1"/>
          <w:bCs w:val="1"/>
          <w:i w:val="1"/>
          <w:iCs w:val="1"/>
          <w:color w:val="auto"/>
        </w:rPr>
        <w:t>Norwest</w:t>
      </w:r>
      <w:r>
        <w:rPr>
          <w:rFonts w:ascii="Times New Roman" w:cs="Times New Roman" w:eastAsia="Times New Roman" w:hAnsi="Times New Roman"/>
          <w:sz w:val="18"/>
          <w:szCs w:val="18"/>
          <w:color w:val="auto"/>
        </w:rPr>
        <w:t>”)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Norwest shall not be liable to the Company for any claim arising out of, or based upon, (a) the investment by Norwest in any entity competitive with the Company, or (b) actions taken by any partner, officer or other representative of Norwest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Norwest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88" w:lineRule="exact"/>
        <w:rPr>
          <w:sz w:val="20"/>
          <w:szCs w:val="20"/>
          <w:color w:val="auto"/>
        </w:rPr>
      </w:pPr>
    </w:p>
    <w:p>
      <w:pPr>
        <w:ind w:firstLine="1419"/>
        <w:spacing w:after="0" w:line="251" w:lineRule="auto"/>
        <w:rPr>
          <w:sz w:val="20"/>
          <w:szCs w:val="20"/>
          <w:color w:val="auto"/>
        </w:rPr>
      </w:pPr>
      <w:r>
        <w:rPr>
          <w:rFonts w:ascii="Times New Roman" w:cs="Times New Roman" w:eastAsia="Times New Roman" w:hAnsi="Times New Roman"/>
          <w:sz w:val="18"/>
          <w:szCs w:val="18"/>
          <w:color w:val="auto"/>
        </w:rPr>
        <w:t>(b)  The Company hereby agrees and acknowledges that U.S. Venture Partners X, L.P. and USVP X Affiliates, L.P. (together with its affiliates, “</w:t>
      </w:r>
      <w:r>
        <w:rPr>
          <w:rFonts w:ascii="Times New Roman" w:cs="Times New Roman" w:eastAsia="Times New Roman" w:hAnsi="Times New Roman"/>
          <w:sz w:val="18"/>
          <w:szCs w:val="18"/>
          <w:b w:val="1"/>
          <w:bCs w:val="1"/>
          <w:i w:val="1"/>
          <w:iCs w:val="1"/>
          <w:color w:val="auto"/>
        </w:rPr>
        <w:t>USVP</w:t>
      </w:r>
      <w:r>
        <w:rPr>
          <w:rFonts w:ascii="Times New Roman" w:cs="Times New Roman" w:eastAsia="Times New Roman" w:hAnsi="Times New Roman"/>
          <w:sz w:val="18"/>
          <w:szCs w:val="18"/>
          <w:color w:val="auto"/>
        </w:rPr>
        <w:t>”)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USVP shall not be liable to the Company for any claim arising out of, or based upon, (a) the investment by USVP in any entity competitive with the Company, or (b) actions taken by any partner, officer or other representative of USVP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USVP or any party from liability associated with the willful misuse of the Company’s confidential information obtained pursuant to Section 3, or (y) any director or officer of the Company from any liability associated with his or her fiduciary duties to the Company. The Company acknowledges that USVP is in the business of venture capital investing and therefore reviews the business plans and related proprietary information of many enterprises, including enterprises which may have products or services which compete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80" w:top="268" w:right="519" w:bottom="1440" w:gutter="0" w:footer="0" w:header="0"/>
        </w:sectPr>
      </w:pPr>
    </w:p>
    <w:bookmarkStart w:id="339" w:name="page340"/>
    <w:bookmarkEnd w:id="339"/>
    <w:p>
      <w:pPr>
        <w:ind w:right="1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directly or indirectly with those of the Company. Nothing in this Agreement shall preclude or in any way restrict USVP from investing or participating in any particular enterprise whether or not such enterprise has products or services which compete with those of the Company.</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   The Company hereby agrees and acknowledges that Andreessen Horowitz Fund IV, L.P. (together with its affiliates,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Andreessen</w:t>
      </w:r>
      <w:r>
        <w:rPr>
          <w:rFonts w:ascii="Times New Roman" w:cs="Times New Roman" w:eastAsia="Times New Roman" w:hAnsi="Times New Roman"/>
          <w:sz w:val="17"/>
          <w:szCs w:val="17"/>
          <w:color w:val="auto"/>
        </w:rPr>
        <w:t>”) is a professional investment fund, and as such invests in numerous portfolio companies, some of which may be deemed competitive with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(as currently conducted or as currently proposed to be conducted). The Company hereby agrees that, to the extent permitted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applicable law, Andreessen shall not be liable to the Company for any claim arising out of, or based upon, (a) the investment by Andreessen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entity competitive with the Company, or (b) actions taken by any partner, officer or other representative of Andreessen to assist any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 company, whether or not such action was taken as a member of the board of directors of such competitive company or otherwise,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whether or not such action has a detrimental effect on the Company; provided, however that the foregoing shall not relieve (x) Andreessen or any party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liability associated with the willful misuse of the Company’s confidential information obtained pursuant to Section 3, or (y) any director or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from any liability associated with his or her fiduciary duties to the Company. The Company acknowledges that Andreessen is in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of venture capital investing and therefore reviews the business plans and related proprietary information of many enterprises, including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enterprises which may have products or services which compete directly or indirectly with those of the Company. Nothing in this Agreement shall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preclude or in any way restrict Andreessen from investing or participating in any particular enterprise whether or not such enterprise has products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which compete with those of the Company.</w:t>
      </w:r>
    </w:p>
    <w:p>
      <w:pPr>
        <w:spacing w:after="0" w:line="202" w:lineRule="exact"/>
        <w:rPr>
          <w:sz w:val="20"/>
          <w:szCs w:val="20"/>
          <w:color w:val="auto"/>
        </w:rPr>
      </w:pPr>
    </w:p>
    <w:p>
      <w:pPr>
        <w:ind w:right="20" w:firstLine="1419"/>
        <w:spacing w:after="0" w:line="268" w:lineRule="auto"/>
        <w:rPr>
          <w:sz w:val="20"/>
          <w:szCs w:val="20"/>
          <w:color w:val="auto"/>
        </w:rPr>
      </w:pPr>
      <w:r>
        <w:rPr>
          <w:rFonts w:ascii="Times New Roman" w:cs="Times New Roman" w:eastAsia="Times New Roman" w:hAnsi="Times New Roman"/>
          <w:sz w:val="17"/>
          <w:szCs w:val="17"/>
          <w:color w:val="auto"/>
        </w:rPr>
        <w:t>(d)  The Company hereby agrees and acknowledges that Kaiser Permanente Ventures LLC – Series A, Kaiser Permanente Ventures LLC – Series B and The Permanente Federation LLC – Series J (together with their respective Affiliate, “</w:t>
      </w:r>
      <w:r>
        <w:rPr>
          <w:rFonts w:ascii="Times New Roman" w:cs="Times New Roman" w:eastAsia="Times New Roman" w:hAnsi="Times New Roman"/>
          <w:sz w:val="17"/>
          <w:szCs w:val="17"/>
          <w:b w:val="1"/>
          <w:bCs w:val="1"/>
          <w:i w:val="1"/>
          <w:iCs w:val="1"/>
          <w:color w:val="auto"/>
        </w:rPr>
        <w:t>KP</w:t>
      </w:r>
      <w:r>
        <w:rPr>
          <w:rFonts w:ascii="Times New Roman" w:cs="Times New Roman" w:eastAsia="Times New Roman" w:hAnsi="Times New Roman"/>
          <w:sz w:val="17"/>
          <w:szCs w:val="17"/>
          <w:color w:val="auto"/>
        </w:rPr>
        <w:t>”)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KP shall not be liable to the Company for any claim arising out of, or based upon, (a) the investment by KP in any entity competitive with the Company, or (b) actions taken by any partner, officer or other representative of KP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KP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71" w:lineRule="exact"/>
        <w:rPr>
          <w:sz w:val="20"/>
          <w:szCs w:val="20"/>
          <w:color w:val="auto"/>
        </w:rPr>
      </w:pPr>
    </w:p>
    <w:p>
      <w:pPr>
        <w:ind w:right="180" w:firstLine="1419"/>
        <w:spacing w:after="0" w:line="259" w:lineRule="auto"/>
        <w:rPr>
          <w:sz w:val="20"/>
          <w:szCs w:val="20"/>
          <w:color w:val="auto"/>
        </w:rPr>
      </w:pPr>
      <w:r>
        <w:rPr>
          <w:rFonts w:ascii="Times New Roman" w:cs="Times New Roman" w:eastAsia="Times New Roman" w:hAnsi="Times New Roman"/>
          <w:sz w:val="18"/>
          <w:szCs w:val="18"/>
          <w:color w:val="auto"/>
        </w:rPr>
        <w:t>(e)  The Company hereby agrees and acknowledges that Vertical GP-1, LLC (together with its respective Affiliate, “</w:t>
      </w:r>
      <w:r>
        <w:rPr>
          <w:rFonts w:ascii="Times New Roman" w:cs="Times New Roman" w:eastAsia="Times New Roman" w:hAnsi="Times New Roman"/>
          <w:sz w:val="18"/>
          <w:szCs w:val="18"/>
          <w:b w:val="1"/>
          <w:bCs w:val="1"/>
          <w:i w:val="1"/>
          <w:iCs w:val="1"/>
          <w:color w:val="auto"/>
        </w:rPr>
        <w:t>TVG</w:t>
      </w:r>
      <w:r>
        <w:rPr>
          <w:rFonts w:ascii="Times New Roman" w:cs="Times New Roman" w:eastAsia="Times New Roman" w:hAnsi="Times New Roman"/>
          <w:sz w:val="18"/>
          <w:szCs w:val="18"/>
          <w:color w:val="auto"/>
        </w:rPr>
        <w:t>”)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TVG shall not be liable to the Company for any claim arising out of, or based upon, (a) the investment by TVG in any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0"/>
          </w:cols>
          <w:pgMar w:left="480" w:top="268" w:right="539" w:bottom="1440" w:gutter="0" w:footer="0" w:header="0"/>
        </w:sectPr>
      </w:pPr>
    </w:p>
    <w:bookmarkStart w:id="340" w:name="page341"/>
    <w:bookmarkEnd w:id="34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entity competitive with the Company, or (b) actions taken by any partner, officer or other representative of TVG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TVG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84" w:lineRule="exact"/>
        <w:rPr>
          <w:sz w:val="20"/>
          <w:szCs w:val="20"/>
          <w:color w:val="auto"/>
        </w:rPr>
      </w:pPr>
    </w:p>
    <w:p>
      <w:pPr>
        <w:ind w:right="120" w:firstLine="1419"/>
        <w:spacing w:after="0" w:line="265" w:lineRule="auto"/>
        <w:rPr>
          <w:sz w:val="20"/>
          <w:szCs w:val="20"/>
          <w:color w:val="auto"/>
        </w:rPr>
      </w:pPr>
      <w:r>
        <w:rPr>
          <w:rFonts w:ascii="Times New Roman" w:cs="Times New Roman" w:eastAsia="Times New Roman" w:hAnsi="Times New Roman"/>
          <w:sz w:val="17"/>
          <w:szCs w:val="17"/>
          <w:color w:val="auto"/>
        </w:rPr>
        <w:t>(f)  The Company hereby agrees and acknowledges that Cigna Health and Life Insurance Company and its Affiliates (collectively, “</w:t>
      </w:r>
      <w:r>
        <w:rPr>
          <w:rFonts w:ascii="Times New Roman" w:cs="Times New Roman" w:eastAsia="Times New Roman" w:hAnsi="Times New Roman"/>
          <w:sz w:val="17"/>
          <w:szCs w:val="17"/>
          <w:b w:val="1"/>
          <w:bCs w:val="1"/>
          <w:i w:val="1"/>
          <w:iCs w:val="1"/>
          <w:color w:val="auto"/>
        </w:rPr>
        <w:t>Cigna</w:t>
      </w:r>
      <w:r>
        <w:rPr>
          <w:rFonts w:ascii="Times New Roman" w:cs="Times New Roman" w:eastAsia="Times New Roman" w:hAnsi="Times New Roman"/>
          <w:sz w:val="17"/>
          <w:szCs w:val="17"/>
          <w:color w:val="auto"/>
        </w:rPr>
        <w:t>”) invest in numerous companies, some of which may be deemed competitive with the Company’s business (as currently conducted or as currently proposed to be conducted) and that Cigna’s business may be deemed competitive with the Company’s business (as currently conducted or as currently proposed to be conducted). The Company hereby agrees that, to the extent permitted under applicable law, Cigna shall not be liable to the Company for any claim arising out of, or based upon, (a) the investment by Cigna in any entity competitive with the Company, (b) business conducted or actions taken by Cigna that may be deemed to be competitive with the Company, or (c) actions taken by any officer or other representative of Cigna to assist Cigna or any such competitive company, whether or not such action was taken as a member of the board of directors of such competitive company or otherwise, and whether or not such action has a detrimental effect on the Company; provided, however that the foregoing shall not relieve</w:t>
      </w:r>
    </w:p>
    <w:p>
      <w:pPr>
        <w:spacing w:after="0" w:line="4" w:lineRule="exact"/>
        <w:rPr>
          <w:sz w:val="20"/>
          <w:szCs w:val="20"/>
          <w:color w:val="auto"/>
        </w:rPr>
      </w:pPr>
    </w:p>
    <w:p>
      <w:pPr>
        <w:ind w:left="260" w:hanging="253"/>
        <w:spacing w:after="0"/>
        <w:tabs>
          <w:tab w:leader="none" w:pos="2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Cigna or any party from liability associated with the willful misuse of the Company’s confidential information obtained pursuant to Section 3, or</w:t>
      </w:r>
    </w:p>
    <w:p>
      <w:pPr>
        <w:spacing w:after="0" w:line="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Company from any liability associated with his or her fiduciary duties to the Company.</w:t>
      </w:r>
    </w:p>
    <w:p>
      <w:pPr>
        <w:spacing w:after="0" w:line="198" w:lineRule="exact"/>
        <w:rPr>
          <w:sz w:val="20"/>
          <w:szCs w:val="20"/>
          <w:color w:val="auto"/>
        </w:rPr>
      </w:pPr>
    </w:p>
    <w:p>
      <w:pPr>
        <w:ind w:right="40" w:firstLine="1419"/>
        <w:spacing w:after="0" w:line="251" w:lineRule="auto"/>
        <w:rPr>
          <w:sz w:val="20"/>
          <w:szCs w:val="20"/>
          <w:color w:val="auto"/>
        </w:rPr>
      </w:pPr>
      <w:r>
        <w:rPr>
          <w:rFonts w:ascii="Times New Roman" w:cs="Times New Roman" w:eastAsia="Times New Roman" w:hAnsi="Times New Roman"/>
          <w:sz w:val="18"/>
          <w:szCs w:val="18"/>
          <w:color w:val="auto"/>
        </w:rPr>
        <w:t>(g)  The Company hereby agrees and acknowledges that Aventis Inc. and its Affiliates (collectively, “</w:t>
      </w:r>
      <w:r>
        <w:rPr>
          <w:rFonts w:ascii="Times New Roman" w:cs="Times New Roman" w:eastAsia="Times New Roman" w:hAnsi="Times New Roman"/>
          <w:sz w:val="18"/>
          <w:szCs w:val="18"/>
          <w:b w:val="1"/>
          <w:bCs w:val="1"/>
          <w:i w:val="1"/>
          <w:iCs w:val="1"/>
          <w:color w:val="auto"/>
        </w:rPr>
        <w:t>Aventis</w:t>
      </w:r>
      <w:r>
        <w:rPr>
          <w:rFonts w:ascii="Times New Roman" w:cs="Times New Roman" w:eastAsia="Times New Roman" w:hAnsi="Times New Roman"/>
          <w:sz w:val="18"/>
          <w:szCs w:val="18"/>
          <w:color w:val="auto"/>
        </w:rPr>
        <w:t>”) invest in numerous companies, some of which may be deemed competitive with the Company’s business (as currently conducted or as currently proposed to be conducted) and that Aventis’ business may be deemed competitive with the Company’s business (as currently conducted or as currently proposed to be conducted). The Company hereby agrees that, to the extent permitted under applicable law, Aventis shall not be liable to the Company for any claim arising out of, or based upon, (a) the investment by Aventis in any entity competitive with the Company, (b) business conducted or actions taken by Aventis that may be deemed to be competitive with the Company, or (c) actions taken by any partner, officer or other representative of Aventis to assist Aventis or any such competitive company, whether or not such action was taken as a member of the board of directors of such competitive company or otherwise, and whether or not such action has a detrimental effect on the Company; provided, however that the foregoing shall not relieve (x) Aventis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89" w:lineRule="exact"/>
        <w:rPr>
          <w:sz w:val="20"/>
          <w:szCs w:val="20"/>
          <w:color w:val="auto"/>
        </w:rPr>
      </w:pPr>
    </w:p>
    <w:p>
      <w:pPr>
        <w:ind w:right="60" w:firstLine="1419"/>
        <w:spacing w:after="0" w:line="265" w:lineRule="auto"/>
        <w:rPr>
          <w:sz w:val="20"/>
          <w:szCs w:val="20"/>
          <w:color w:val="auto"/>
        </w:rPr>
      </w:pPr>
      <w:r>
        <w:rPr>
          <w:rFonts w:ascii="Times New Roman" w:cs="Times New Roman" w:eastAsia="Times New Roman" w:hAnsi="Times New Roman"/>
          <w:sz w:val="18"/>
          <w:szCs w:val="18"/>
          <w:color w:val="auto"/>
        </w:rPr>
        <w:t>(h)  The Company hereby agrees and acknowledges that Quest Diagnostics Ventures, LLC and its Affiliates (collectively, “</w:t>
      </w:r>
      <w:r>
        <w:rPr>
          <w:rFonts w:ascii="Times New Roman" w:cs="Times New Roman" w:eastAsia="Times New Roman" w:hAnsi="Times New Roman"/>
          <w:sz w:val="18"/>
          <w:szCs w:val="18"/>
          <w:b w:val="1"/>
          <w:bCs w:val="1"/>
          <w:i w:val="1"/>
          <w:iCs w:val="1"/>
          <w:color w:val="auto"/>
        </w:rPr>
        <w:t>Quest</w:t>
      </w:r>
      <w:r>
        <w:rPr>
          <w:rFonts w:ascii="Times New Roman" w:cs="Times New Roman" w:eastAsia="Times New Roman" w:hAnsi="Times New Roman"/>
          <w:sz w:val="18"/>
          <w:szCs w:val="18"/>
          <w:color w:val="auto"/>
        </w:rPr>
        <w:t>”) invest in numerous companies, some of which may be deemed competitive with the Company’s business (as currently conducted or as currently proposed to be conducted) and that Quest’s business may be deemed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8" w:right="499" w:bottom="1440" w:gutter="0" w:footer="0" w:header="0"/>
        </w:sectPr>
      </w:pPr>
    </w:p>
    <w:bookmarkStart w:id="341" w:name="page342"/>
    <w:bookmarkEnd w:id="34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competitive with the Company’s business (as currently conducted or as currently proposed to be conducted). The Company hereby agrees that, to the extent permitted under applicable law, Quest shall not be liable to the Company for any claim arising out of, or based upon, (a) the investment by Quest in any entity competitive with the Company, (b) business conducted or actions taken by Quest that may be deemed to be competitive with the Company, or (c) actions taken by any partner, officer or other representative of Quest to assist Quest or any such competitive company, whether or not such action was taken as a member of the board of directors of such competitive company or otherwise, and whether or not such action has a detrimental effect on the Company; provided, however that the foregoing shall not relieve (x) Quest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83" w:lineRule="exact"/>
        <w:rPr>
          <w:sz w:val="20"/>
          <w:szCs w:val="20"/>
          <w:color w:val="auto"/>
        </w:rPr>
      </w:pPr>
    </w:p>
    <w:p>
      <w:pPr>
        <w:ind w:firstLine="1419"/>
        <w:spacing w:after="0" w:line="251" w:lineRule="auto"/>
        <w:rPr>
          <w:sz w:val="20"/>
          <w:szCs w:val="20"/>
          <w:color w:val="auto"/>
        </w:rPr>
      </w:pPr>
      <w:r>
        <w:rPr>
          <w:rFonts w:ascii="Times New Roman" w:cs="Times New Roman" w:eastAsia="Times New Roman" w:hAnsi="Times New Roman"/>
          <w:sz w:val="18"/>
          <w:szCs w:val="18"/>
          <w:color w:val="auto"/>
        </w:rPr>
        <w:t>(i)  The Company hereby agrees and acknowledges that dRX Capital AG and its Affiliates (collectively, “</w:t>
      </w:r>
      <w:r>
        <w:rPr>
          <w:rFonts w:ascii="Times New Roman" w:cs="Times New Roman" w:eastAsia="Times New Roman" w:hAnsi="Times New Roman"/>
          <w:sz w:val="18"/>
          <w:szCs w:val="18"/>
          <w:b w:val="1"/>
          <w:bCs w:val="1"/>
          <w:i w:val="1"/>
          <w:iCs w:val="1"/>
          <w:color w:val="auto"/>
        </w:rPr>
        <w:t>dRX</w:t>
      </w:r>
      <w:r>
        <w:rPr>
          <w:rFonts w:ascii="Times New Roman" w:cs="Times New Roman" w:eastAsia="Times New Roman" w:hAnsi="Times New Roman"/>
          <w:sz w:val="18"/>
          <w:szCs w:val="18"/>
          <w:color w:val="auto"/>
        </w:rPr>
        <w:t>”) invest in numerous companies, some of which may be deemed competitive with the Company’s business (as currently conducted or as currently proposed to be conducted) and that dRX’s business may be deemed competitive with the Company’s business (as currently conducted or as currently proposed to be conducted). The Company hereby agrees that, to the extent permitted under applicable law, dRX shall not be liable to the Company for any claim arising out of, or based upon, (a) the investment by dRX in any entity competitive with the Company, (b) business conducted or actions taken by dRX that may be deemed to be competitive with the Company, or (c) actions taken by any partner, officer or other representative of dRX to assist dRX or any such competitive company, whether or not such action was taken as a member of the board of directors of such competitive company or otherwise, and whether or not such action has a detrimental effect on the Company; provided, however that the foregoing shall not relieve (x) dRX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89" w:lineRule="exact"/>
        <w:rPr>
          <w:sz w:val="20"/>
          <w:szCs w:val="20"/>
          <w:color w:val="auto"/>
        </w:rPr>
      </w:pPr>
    </w:p>
    <w:p>
      <w:pPr>
        <w:ind w:right="40" w:firstLine="1419"/>
        <w:spacing w:after="0" w:line="251" w:lineRule="auto"/>
        <w:rPr>
          <w:sz w:val="20"/>
          <w:szCs w:val="20"/>
          <w:color w:val="auto"/>
        </w:rPr>
      </w:pPr>
      <w:r>
        <w:rPr>
          <w:rFonts w:ascii="Times New Roman" w:cs="Times New Roman" w:eastAsia="Times New Roman" w:hAnsi="Times New Roman"/>
          <w:sz w:val="18"/>
          <w:szCs w:val="18"/>
          <w:color w:val="auto"/>
        </w:rPr>
        <w:t>(j)  The Company hereby agrees and acknowledges that Civilization Ventures II, L.P. and its Affiliates (collectively, “</w:t>
      </w:r>
      <w:r>
        <w:rPr>
          <w:rFonts w:ascii="Times New Roman" w:cs="Times New Roman" w:eastAsia="Times New Roman" w:hAnsi="Times New Roman"/>
          <w:sz w:val="18"/>
          <w:szCs w:val="18"/>
          <w:b w:val="1"/>
          <w:bCs w:val="1"/>
          <w:i w:val="1"/>
          <w:iCs w:val="1"/>
          <w:color w:val="auto"/>
        </w:rPr>
        <w:t>Civilization</w:t>
      </w:r>
      <w:r>
        <w:rPr>
          <w:rFonts w:ascii="Times New Roman" w:cs="Times New Roman" w:eastAsia="Times New Roman" w:hAnsi="Times New Roman"/>
          <w:sz w:val="18"/>
          <w:szCs w:val="18"/>
          <w:color w:val="auto"/>
        </w:rPr>
        <w:t>”) invest in numerous companies, some of which may be deemed competitive with the Company’s business (as currently conducted or as currently proposed to be conducted) and that Civilization’s business may be deemed competitive with the Company’s business (as currently conducted or as currently proposed to be conducted). The Company hereby agrees that, to the extent permitted under applicable law, Civilization shall not be liable to the Company for any claim arising out of, or based upon, (a) the investment by Civilization in any entity competitive with the Company, (b) business conducted or actions taken by Civilization that may be deemed to be competitive with the Company, or (c) actions taken by any partner, officer or other representative of Civilization to assist Civilization or any such competitive company, whether or not such action was taken as a member of the board of directors of such competitive company or otherwise, and whether or not such action has a detrimental effect on the Company; provided, however that the foregoing shall not relieve (x) Civilization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480" w:top="268" w:right="499" w:bottom="1440" w:gutter="0" w:footer="0" w:header="0"/>
        </w:sectPr>
      </w:pPr>
    </w:p>
    <w:bookmarkStart w:id="342" w:name="page343"/>
    <w:bookmarkEnd w:id="342"/>
    <w:p>
      <w:pPr>
        <w:ind w:right="40" w:firstLine="1419"/>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(k)  The Company hereby agrees and acknowledges that Perceptive Life Sciences Master Fund, Ltd. and its Affiliates (collectively, “</w:t>
      </w:r>
      <w:r>
        <w:rPr>
          <w:rFonts w:ascii="Times New Roman" w:cs="Times New Roman" w:eastAsia="Times New Roman" w:hAnsi="Times New Roman"/>
          <w:sz w:val="18"/>
          <w:szCs w:val="18"/>
          <w:b w:val="1"/>
          <w:bCs w:val="1"/>
          <w:i w:val="1"/>
          <w:iCs w:val="1"/>
          <w:color w:val="auto"/>
        </w:rPr>
        <w:t>Perceptive</w:t>
      </w:r>
      <w:r>
        <w:rPr>
          <w:rFonts w:ascii="Times New Roman" w:cs="Times New Roman" w:eastAsia="Times New Roman" w:hAnsi="Times New Roman"/>
          <w:sz w:val="18"/>
          <w:szCs w:val="18"/>
          <w:color w:val="auto"/>
        </w:rPr>
        <w:t>”) invest in numerous companies, some of which may be deemed competitive with the Company’s business (as currently conducted or as currently proposed to be conducted) and that Perceptive’s business may be deemed competitive with the Company’s business (as currently conducted or as currently proposed to be conducted). The Company hereby agrees that, to the extent permitted under applicable law, Perceptive shall not be liable to the Company for any claim arising out of, or based upon, (a) the investment by Perceptive in any entity competitive with the Company, (b) business conducted or actions taken by Perceptive that may be deemed to be competitive with the Company, or (c) actions taken by any partner, officer or other representative of Perceptive to assist Perceptive or any such competitive company, whether or not such action was taken as a member of the board of directors of such competitive company or otherwise, and whether or not such action has a detrimental effect on the Company; provided, however that the foregoing shall not relieve (x) Perceptive or any party from liability associated with the willful misuse of the Company’s confidential information obtained pursuant to Section 3, or (y) any director or officer of the Company from any liability associated with his or her fiduciary duties to the Company.</w:t>
      </w:r>
    </w:p>
    <w:p>
      <w:pPr>
        <w:spacing w:after="0" w:line="187" w:lineRule="exact"/>
        <w:rPr>
          <w:sz w:val="20"/>
          <w:szCs w:val="20"/>
          <w:color w:val="auto"/>
        </w:rPr>
      </w:pPr>
    </w:p>
    <w:p>
      <w:pPr>
        <w:ind w:firstLine="1419"/>
        <w:spacing w:after="0" w:line="250" w:lineRule="auto"/>
        <w:rPr>
          <w:sz w:val="20"/>
          <w:szCs w:val="20"/>
          <w:color w:val="auto"/>
        </w:rPr>
      </w:pPr>
      <w:r>
        <w:rPr>
          <w:rFonts w:ascii="Times New Roman" w:cs="Times New Roman" w:eastAsia="Times New Roman" w:hAnsi="Times New Roman"/>
          <w:sz w:val="18"/>
          <w:szCs w:val="18"/>
          <w:color w:val="auto"/>
        </w:rPr>
        <w:t>(l)  The Company hereby agrees and acknowledges that Wellington invests in numerous companies, some of which may be deemed competitive with the Company’s business (as currently conducted or as currently proposed to be conducted) and that Wellington’s business may be deemed competitive with the Company’s business (as currently conducted or as currently proposed to be conducted). The Company hereby agrees that, to the extent permitted under applicable law, Wellington shall not be liable to the Company for any claim arising out of, or based upon, (a) the investment by Wellington in any entity competitive with the Company, (b) business conducted or actions taken by Wellington that may be deemed to be competitive with the Company, or (c) actions taken by any partner, officer or other representative of Wellington to assist Wellington or any such competitive company, whether or not such action was taken as a member of the board of directors of such competitive company or otherwise, and whether or not such action has a detrimental effect on the Company; provided, however that the foregoing shall not relieve (x) Wellington or any party from liability associated with the willful misuse of the Company’s confidential information obtained pursuant to Section 3, or (y) any director or officer of the Company from any liability associated with his or her fiduciary duties to the Company. The Company acknowledges that Wellington is in the business of venture capital investing and therefore reviews the business plans and related proprietary information of many enterprises, including enterprises which may have products or services which compete directly or indirectly with those of the Company. Nothing in this Agreement shall preclude or in any way restrict Wellington from investing or participating in any particular enterprise whether or not such enterprise has products or services which compete with those of the Company.</w:t>
      </w:r>
    </w:p>
    <w:p>
      <w:pPr>
        <w:spacing w:after="0" w:line="191" w:lineRule="exact"/>
        <w:rPr>
          <w:sz w:val="20"/>
          <w:szCs w:val="20"/>
          <w:color w:val="auto"/>
        </w:rPr>
      </w:pPr>
    </w:p>
    <w:p>
      <w:pPr>
        <w:ind w:right="1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Foreign Corrupt Practices Act Enforcement Actions</w:t>
      </w:r>
      <w:r>
        <w:rPr>
          <w:rFonts w:ascii="Times New Roman" w:cs="Times New Roman" w:eastAsia="Times New Roman" w:hAnsi="Times New Roman"/>
          <w:sz w:val="18"/>
          <w:szCs w:val="18"/>
          <w:color w:val="auto"/>
        </w:rPr>
        <w:t>. The Company shall promptly notify the Major Investors should the Company become aware of any Enforcement Action (as defined in the Purchase Agreement).</w:t>
      </w:r>
    </w:p>
    <w:p>
      <w:pPr>
        <w:spacing w:after="0" w:line="162" w:lineRule="exact"/>
        <w:rPr>
          <w:sz w:val="20"/>
          <w:szCs w:val="20"/>
          <w:color w:val="auto"/>
        </w:rPr>
      </w:pPr>
    </w:p>
    <w:p>
      <w:pPr>
        <w:ind w:right="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shall not use or publicly disclose Wellington’s name or likeness in connection with Wellington’s purchase of shares of the Company’s Preferred Stock without Wellington’s prior written consent, provided that nothing contained herein shall prevent the Company from making any disclosures required by law, rule, regulation or court or other governmental order.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480" w:top="268" w:right="519" w:bottom="1440" w:gutter="0" w:footer="0" w:header="0"/>
        </w:sectPr>
      </w:pPr>
    </w:p>
    <w:bookmarkStart w:id="343" w:name="page344"/>
    <w:bookmarkEnd w:id="343"/>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Termination of Certain Covenants</w:t>
      </w:r>
      <w:r>
        <w:rPr>
          <w:rFonts w:ascii="Times New Roman" w:cs="Times New Roman" w:eastAsia="Times New Roman" w:hAnsi="Times New Roman"/>
          <w:sz w:val="18"/>
          <w:szCs w:val="18"/>
          <w:color w:val="auto"/>
        </w:rPr>
        <w:t>. The covenants set forth in Sections 3.4 through 3.16 (except for Section 3.8) shall terminate and be of no further force or effect upon the earliest to occur of (a) the consummation of the Initial Offering, (b) when the Company first becomes subject to the periodic reporting requirements of Sections 12(g) or 15(d) of the 1934 Act or (c) the consummation of a Liquidation Event, as such term is defined in the Restated Certificate.</w:t>
      </w:r>
    </w:p>
    <w:p>
      <w:pPr>
        <w:spacing w:after="0" w:line="287" w:lineRule="exact"/>
        <w:rPr>
          <w:sz w:val="20"/>
          <w:szCs w:val="20"/>
          <w:color w:val="auto"/>
        </w:rPr>
      </w:pPr>
    </w:p>
    <w:p>
      <w:pPr>
        <w:ind w:left="440"/>
        <w:spacing w:after="0"/>
        <w:tabs>
          <w:tab w:leader="none" w:pos="780" w:val="left"/>
        </w:tabs>
        <w:rPr>
          <w:sz w:val="20"/>
          <w:szCs w:val="20"/>
          <w:color w:val="auto"/>
        </w:rPr>
      </w:pPr>
      <w:r>
        <w:rPr>
          <w:rFonts w:ascii="Times New Roman" w:cs="Times New Roman" w:eastAsia="Times New Roman" w:hAnsi="Times New Roman"/>
          <w:sz w:val="18"/>
          <w:szCs w:val="18"/>
          <w:color w:val="auto"/>
        </w:rPr>
        <w:t>4. </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conflicts of law principles thereof.</w:t>
      </w:r>
    </w:p>
    <w:p>
      <w:pPr>
        <w:spacing w:after="0" w:line="175"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Counterparts; Facsimile</w:t>
      </w:r>
      <w:r>
        <w:rPr>
          <w:rFonts w:ascii="Times New Roman" w:cs="Times New Roman" w:eastAsia="Times New Roman" w:hAnsi="Times New Roman"/>
          <w:sz w:val="18"/>
          <w:szCs w:val="18"/>
          <w:color w:val="auto"/>
        </w:rPr>
        <w:t>. This Agreement may be executed by electronic signature and in two (2) or more counterparts, each of which shall be deemed an original, but all of which together shall constitute one (1) and the same instrument. Counterparts may be delivered by facsimile, electronic mail (including pdf)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3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hereto shall be in writing and shall be deemed effectively given upon the earlier to occur of actual receipt or: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notices and other communications shall be sent to the Company at 500 Sansome St., Suite 200, San Francisco, CA 94111, Attention: Chief Executive Officer and to the other parties at the addresses set forth on Schedule A or the signature pages hereto (or at such other addresses as shall be specified by notice given in accordance with this Section 4.5).</w:t>
      </w:r>
    </w:p>
    <w:p>
      <w:pPr>
        <w:spacing w:after="0" w:line="184" w:lineRule="exact"/>
        <w:rPr>
          <w:sz w:val="20"/>
          <w:szCs w:val="20"/>
          <w:color w:val="auto"/>
        </w:rPr>
      </w:pPr>
    </w:p>
    <w:p>
      <w:pPr>
        <w:ind w:right="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480" w:top="268" w:right="499" w:bottom="1440" w:gutter="0" w:footer="0" w:header="0"/>
        </w:sectPr>
      </w:pPr>
    </w:p>
    <w:bookmarkStart w:id="344" w:name="page345"/>
    <w:bookmarkEnd w:id="344"/>
    <w:p>
      <w:pPr>
        <w:ind w:firstLine="98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hereto, if any) constitutes the full and entire understanding and agreement among the parties with regard to the subjects hereof and thereof and any other written or oral agreement relating to the subject matter hereof existing between the parties are expressly canceled and superseded by this Agreement and the documents referred to herein. The Company and the Prior Investors agree that the Prior Agreement is hereby amended and restated and shall be superseded and replaced in its entirety by this Agreement and that the Prior Agreement shall be of no further force or effect.</w:t>
      </w:r>
    </w:p>
    <w:p>
      <w:pPr>
        <w:spacing w:after="0" w:line="184" w:lineRule="exact"/>
        <w:rPr>
          <w:sz w:val="20"/>
          <w:szCs w:val="20"/>
          <w:color w:val="auto"/>
        </w:rPr>
      </w:pPr>
    </w:p>
    <w:p>
      <w:pPr>
        <w:ind w:left="980"/>
        <w:spacing w:after="0"/>
        <w:tabs>
          <w:tab w:leader="none" w:pos="1420" w:val="left"/>
        </w:tabs>
        <w:rPr>
          <w:sz w:val="20"/>
          <w:szCs w:val="20"/>
          <w:color w:val="auto"/>
        </w:rPr>
      </w:pPr>
      <w:r>
        <w:rPr>
          <w:rFonts w:ascii="Times New Roman" w:cs="Times New Roman" w:eastAsia="Times New Roman" w:hAnsi="Times New Roman"/>
          <w:sz w:val="18"/>
          <w:szCs w:val="18"/>
          <w:color w:val="auto"/>
        </w:rPr>
        <w:t>4.8 </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Any term of this Agreement (other than Section 3.1, Section 3.2, Section 3.3, Section 3.4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3.14) may be amended and the observance of any term of this Agreement may be waived (either generally or in a particular instance and either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retroactively or prospectively) only with the written consent of the Company and the Investors holding at least fifty-two percent (52%)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provided that no such amendment, termination or waiver shall adversely affect any Investor in a manner that is disproportionate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its holdings of stock relative to the other Investors of the same class or the same series (including through a reduction or enhancement in the rights,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of the relevant class or series) unless such amendment or waiver is agreed to in writing by a majority in interest of the disproportionately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Investors; provided that nothing in the foregoing shall be deemed to mean that any Investor that holds shares of a series of Preferred Stock 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in a disproportionate manner merely because the original issue price or conversion price of such series of Preferred Stock is not the same as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price or conversion price of any other series of Preferred Stock. The provisions of Section 3.1, Section 3.2, Section 3.3 and Section 3.4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amended or waived (either generally or in a particular instance and either retroactively or prospectively) only with the written consent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and the Major Investors holding at least fifty-two percent (52%) of the Registrable Securities then held by all of the Major Investors; provided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no such amendment, termination or waiver shall adversely affect any Major Investor in a manner that is disproportionate to its holdings of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 to the other Major Investors of the same class or the same series (including through a reduction or enhancement in the rights, as applicable,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class or series) unless such amendment or waiver is agreed to in writing by a majority in interest of the disproportionately affected Major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provided that nothing in the foregoing shall be deemed to mean that any Major Investor that holds shares of a series of Preferred Stock 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in a disproportionate manner merely because the original issue price or conversion price of such series of Preferred Stock is not the same as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price or conversion price of any other series of Preferred Stock. Notwithstanding anything to the contrary in this Agreement, if the rights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Major Investor under Section 3.4 with respect to an offering of Shares are waived without the consent of any Major Investor, and any other Major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actually purchases Shares in any such offering (each, a “</w:t>
      </w:r>
      <w:r>
        <w:rPr>
          <w:rFonts w:ascii="Times New Roman" w:cs="Times New Roman" w:eastAsia="Times New Roman" w:hAnsi="Times New Roman"/>
          <w:sz w:val="18"/>
          <w:szCs w:val="18"/>
          <w:b w:val="1"/>
          <w:bCs w:val="1"/>
          <w:i w:val="1"/>
          <w:iCs w:val="1"/>
          <w:color w:val="auto"/>
        </w:rPr>
        <w:t>Participating Major Investor</w:t>
      </w:r>
      <w:r>
        <w:rPr>
          <w:rFonts w:ascii="Times New Roman" w:cs="Times New Roman" w:eastAsia="Times New Roman" w:hAnsi="Times New Roman"/>
          <w:sz w:val="18"/>
          <w:szCs w:val="18"/>
          <w:color w:val="auto"/>
        </w:rPr>
        <w:t>”), then each Major Investor shall be permitted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such offering on a pro rata basis (based on the largest percentage of a Participating Major Investor’s Pro Rata Amount purchased by 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Participating Major Investor), in accordance with the other provisions (including notice and election periods) set forth in Section 3.4.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preceding sentence and this sentence may not be amended in any way that is adverse to any Major Investor or waived, in each case without the consent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each Major Investor. The provisions of Section 3.14 may be amended or waived (either generally or in a particular instance and either retroactively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prospectively) only with the written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80" w:top="268" w:right="539" w:bottom="1440" w:gutter="0" w:footer="0" w:header="0"/>
        </w:sectPr>
      </w:pPr>
    </w:p>
    <w:bookmarkStart w:id="345" w:name="page346"/>
    <w:bookmarkEnd w:id="345"/>
    <w:p>
      <w:pPr>
        <w:ind w:right="2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consent of the Company and each applicable Investor whose rights held under Section 3.14 will be affected by such amendment. Any amendment or waiver effected in accordance with this paragraph shall be binding upon each holder of any Registrable Securities, each future holder of all such Registrable Securities and the Company.</w:t>
      </w:r>
    </w:p>
    <w:p>
      <w:pPr>
        <w:spacing w:after="0" w:line="175" w:lineRule="exact"/>
        <w:rPr>
          <w:sz w:val="20"/>
          <w:szCs w:val="20"/>
          <w:color w:val="auto"/>
        </w:rPr>
      </w:pPr>
    </w:p>
    <w:p>
      <w:pPr>
        <w:jc w:val="both"/>
        <w:ind w:right="140" w:firstLine="982"/>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0" w:lineRule="exact"/>
        <w:rPr>
          <w:sz w:val="20"/>
          <w:szCs w:val="20"/>
          <w:color w:val="auto"/>
        </w:rPr>
      </w:pPr>
    </w:p>
    <w:p>
      <w:pPr>
        <w:jc w:val="both"/>
        <w:ind w:right="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(including affiliated venture capital funds or venture capital funds under common investment management) or Persons shall be aggregated together for the purpose of determining the availability of any rights under this Agreement.</w:t>
      </w:r>
    </w:p>
    <w:p>
      <w:pPr>
        <w:spacing w:after="0" w:line="175"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AND ANY OTHER PERSON CLAIMING ANY RIGHTS HEREUNDER, HEREBY IRREVOCABLY WAIVES ALL RIGHT TO TRIAL BY JURY IN ANY ACTION, PROCEEDING OR COUNTERCLAIM (WHETHER BASED ON CONTRACT, TORT OR OTHERWISE) ARISING OUT OF OR RELATING TO THIS AGREEMENT OR THE ACTIONS OF ANY PARTY HERETO IN THE NEGOTIATION, ADMINISTRATION, PERFORMANCE AND ENFORCEMENT HEREOF.</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60"/>
          </w:cols>
          <w:pgMar w:left="480" w:top="268" w:right="559" w:bottom="1440" w:gutter="0" w:footer="0" w:header="0"/>
        </w:sectPr>
      </w:pPr>
    </w:p>
    <w:bookmarkStart w:id="346" w:name="page347"/>
    <w:bookmarkEnd w:id="346"/>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OMAHA HEALTH, INC.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Sean Duffy</w:t>
      </w:r>
    </w:p>
    <w:p>
      <w:pPr>
        <w:spacing w:after="0" w:line="26" w:lineRule="exact"/>
        <w:rPr>
          <w:sz w:val="20"/>
          <w:szCs w:val="20"/>
          <w:color w:val="auto"/>
        </w:rPr>
      </w:pPr>
    </w:p>
    <w:p>
      <w:pPr>
        <w:jc w:val="both"/>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47" w:name="page348"/>
    <w:bookmarkEnd w:id="347"/>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INVESTOR:</w:t>
            </w:r>
          </w:p>
        </w:tc>
      </w:tr>
      <w:tr>
        <w:trPr>
          <w:trHeight w:val="405"/>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FIDELITY SELECT PORTFOLIOS:</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FIDELITY ADVISOR SERIES VII: FIDELITY ADVISOR</w:t>
            </w:r>
          </w:p>
        </w:tc>
      </w:tr>
      <w:tr>
        <w:trPr>
          <w:trHeight w:val="23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HEALTH CARE PORTFOLIO</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HEALTH CARE FUND.</w:t>
            </w:r>
          </w:p>
        </w:tc>
      </w:tr>
      <w:tr>
        <w:trPr>
          <w:trHeight w:val="4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Chris Maher</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2"/>
        </w:trPr>
        <w:tc>
          <w:tcPr>
            <w:tcW w:w="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c>
          <w:tcPr>
            <w:tcW w:w="12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4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Sean Duffy</w:t>
            </w:r>
          </w:p>
        </w:tc>
      </w:tr>
      <w:tr>
        <w:trPr>
          <w:trHeight w:val="23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5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Address for notice</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 &amp; Co.</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Mag &amp; Co.</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Brown Brothers Harriman &amp; Co.</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 Brown Brothers Harriman &amp; Co.</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Corporate Actions /Vault</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Attn: Corporate Actions /Vault</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140 Broadway</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140 Broadway</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10005</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New York, NY 10005</w:t>
            </w:r>
          </w:p>
        </w:tc>
      </w:tr>
      <w:tr>
        <w:trPr>
          <w:trHeight w:val="23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0"/>
                <w:szCs w:val="20"/>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FIDELITY CENTRAL INVESTMENT PORTFOLIOS LLC:</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VARIABLE INSURANCE PRODUCTS FUND</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FIDELITY U.S.</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IV: VIP HEALTH CARE PORTFOLIO</w:t>
            </w:r>
          </w:p>
        </w:tc>
      </w:tr>
      <w:tr>
        <w:trPr>
          <w:trHeight w:val="23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CENTRAL FUND - HEALTH CARE SUB</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Chris Maher</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2"/>
        </w:trPr>
        <w:tc>
          <w:tcPr>
            <w:tcW w:w="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c>
          <w:tcPr>
            <w:tcW w:w="12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4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r>
      <w:tr>
        <w:trPr>
          <w:trHeight w:val="23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0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Gerlach &amp; Co</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State Street Bank &amp; Trust</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Citibank N.A/Custody</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 xml:space="preserve">PO Box 5756          </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IC&amp;D Lock Box</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Boston, Massachusetts 02206</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7247-7057</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Attn: NOMINEE TBD FBO Variable Insurance</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P.A 19170-7057</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Products Fund IV: VIP Health Care Portfolio</w:t>
            </w:r>
          </w:p>
        </w:tc>
      </w:tr>
      <w:tr>
        <w:trPr>
          <w:trHeight w:val="23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 ###</w:t>
            </w:r>
          </w:p>
        </w:tc>
        <w:tc>
          <w:tcPr>
            <w:tcW w:w="5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Email: ###</w:t>
            </w: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920"/>
          </w:cols>
          <w:pgMar w:left="480" w:top="264" w:right="499" w:bottom="1440" w:gutter="0" w:footer="0" w:header="0"/>
        </w:sectPr>
      </w:pPr>
    </w:p>
    <w:bookmarkStart w:id="348" w:name="page349"/>
    <w:bookmarkEnd w:id="348"/>
    <w:p>
      <w:pPr>
        <w:ind w:right="1720"/>
        <w:spacing w:after="0" w:line="265" w:lineRule="auto"/>
        <w:rPr>
          <w:sz w:val="20"/>
          <w:szCs w:val="20"/>
          <w:color w:val="auto"/>
        </w:rPr>
      </w:pPr>
      <w:r>
        <w:rPr>
          <w:rFonts w:ascii="Times New Roman" w:cs="Times New Roman" w:eastAsia="Times New Roman" w:hAnsi="Times New Roman"/>
          <w:sz w:val="18"/>
          <w:szCs w:val="18"/>
          <w:b w:val="1"/>
          <w:bCs w:val="1"/>
          <w:color w:val="auto"/>
        </w:rPr>
        <w:t>FIDELITY SELECT PORTFOLIOS: SELECT MEDICAL TECHNOLOGY AND DEVICES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FIDELITY MT. VERNON STREET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-202565</wp:posOffset>
            </wp:positionV>
            <wp:extent cx="717613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FIDELITY GROWTH COMPANY FUND</w:t>
      </w:r>
    </w:p>
    <w:p>
      <w:pPr>
        <w:spacing w:after="0" w:line="429" w:lineRule="exact"/>
        <w:rPr>
          <w:sz w:val="20"/>
          <w:szCs w:val="20"/>
          <w:color w:val="auto"/>
        </w:rPr>
      </w:pPr>
    </w:p>
    <w:p>
      <w:pPr>
        <w:sectPr>
          <w:pgSz w:w="11900" w:h="16838" w:orient="portrait"/>
          <w:cols w:equalWidth="0" w:num="2">
            <w:col w:w="5100" w:space="720"/>
            <w:col w:w="5100"/>
          </w:cols>
          <w:pgMar w:left="480" w:top="264" w:right="499" w:bottom="1440" w:gutter="0" w:footer="0" w:header="0"/>
        </w:sectPr>
      </w:pPr>
    </w:p>
    <w:tbl>
      <w:tblPr>
        <w:tblLayout w:type="fixed"/>
        <w:tblInd w:w="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2"/>
        </w:trPr>
        <w:tc>
          <w:tcPr>
            <w:tcW w:w="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r>
      <w:tr>
        <w:trPr>
          <w:trHeight w:val="23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 &amp; 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Broadway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FIDELITY MT. VERNON STREET TRUST: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FIDELITY GROWTH COMPANY FUND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2"/>
        </w:trPr>
        <w:tc>
          <w:tcPr>
            <w:tcW w:w="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r>
      <w:tr>
        <w:trPr>
          <w:trHeight w:val="23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392002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FIDELITY MT. VERNON STREET TRUST: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FIDELITY GROWTH COMPANY K6 FUND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43"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2"/>
        </w:trPr>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r>
      <w:tr>
        <w:trPr>
          <w:trHeight w:val="23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5" w:lineRule="exact"/>
        <w:rPr>
          <w:sz w:val="20"/>
          <w:szCs w:val="20"/>
          <w:color w:val="auto"/>
        </w:rPr>
      </w:pPr>
    </w:p>
    <w:p>
      <w:pPr>
        <w:ind w:left="543" w:right="3800" w:hanging="543"/>
        <w:spacing w:after="0" w:line="259" w:lineRule="auto"/>
        <w:tabs>
          <w:tab w:leader="none" w:pos="18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Address for notice Mag &amp; Co.</w:t>
      </w:r>
    </w:p>
    <w:p>
      <w:pPr>
        <w:ind w:left="543" w:right="250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Brown Brothers Harriman &amp; Co. Attn: Corporate Actions /Vault 140 Broadway</w:t>
      </w:r>
    </w:p>
    <w:p>
      <w:pPr>
        <w:ind w:left="5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10005</w:t>
      </w:r>
    </w:p>
    <w:p>
      <w:pPr>
        <w:spacing w:after="0" w:line="6" w:lineRule="exact"/>
        <w:rPr>
          <w:rFonts w:ascii="Times New Roman" w:cs="Times New Roman" w:eastAsia="Times New Roman" w:hAnsi="Times New Roman"/>
          <w:sz w:val="18"/>
          <w:szCs w:val="18"/>
          <w:color w:val="auto"/>
        </w:rPr>
      </w:pPr>
    </w:p>
    <w:p>
      <w:pPr>
        <w:ind w:left="5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b w:val="1"/>
          <w:bCs w:val="1"/>
          <w:color w:val="auto"/>
        </w:rPr>
        <w:t>FIDELITY GROWTH COMPANY COMMINGLED POOL</w:t>
      </w:r>
    </w:p>
    <w:p>
      <w:pPr>
        <w:spacing w:after="0" w:line="238"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By: Fidelity Management Trust Company, as Trustee</w:t>
      </w:r>
    </w:p>
    <w:p>
      <w:pPr>
        <w:spacing w:after="0" w:line="221" w:lineRule="exact"/>
        <w:rPr>
          <w:sz w:val="20"/>
          <w:szCs w:val="20"/>
          <w:color w:val="auto"/>
        </w:rPr>
      </w:pPr>
    </w:p>
    <w:tbl>
      <w:tblPr>
        <w:tblLayout w:type="fixed"/>
        <w:tblInd w:w="543"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2"/>
        </w:trPr>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r>
      <w:tr>
        <w:trPr>
          <w:trHeight w:val="23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5"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6"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Mag &amp; Co.</w:t>
      </w:r>
    </w:p>
    <w:p>
      <w:pPr>
        <w:spacing w:after="0" w:line="7"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7"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7"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140 Broadway</w:t>
      </w:r>
    </w:p>
    <w:p>
      <w:pPr>
        <w:spacing w:after="0" w:line="7"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w:t>
      </w:r>
    </w:p>
    <w:p>
      <w:pPr>
        <w:spacing w:after="0" w:line="855" w:lineRule="exact"/>
        <w:rPr>
          <w:sz w:val="20"/>
          <w:szCs w:val="20"/>
          <w:color w:val="auto"/>
        </w:rPr>
      </w:pPr>
    </w:p>
    <w:p>
      <w:pPr>
        <w:sectPr>
          <w:pgSz w:w="11900" w:h="16838" w:orient="portrait"/>
          <w:cols w:equalWidth="0" w:num="2">
            <w:col w:w="5160" w:space="117"/>
            <w:col w:w="5643"/>
          </w:cols>
          <w:pgMar w:left="480" w:top="264" w:right="49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2"/>
        </w:trPr>
        <w:tc>
          <w:tcPr>
            <w:tcW w:w="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Chris Maher</w:t>
            </w:r>
          </w:p>
        </w:tc>
      </w:tr>
      <w:tr>
        <w:trPr>
          <w:trHeight w:val="23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392002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920"/>
          </w:cols>
          <w:pgMar w:left="480" w:top="264" w:right="499" w:bottom="1440" w:gutter="0" w:footer="0" w:header="0"/>
          <w:type w:val="continuous"/>
        </w:sectPr>
      </w:pPr>
    </w:p>
    <w:bookmarkStart w:id="349" w:name="page350"/>
    <w:bookmarkEnd w:id="349"/>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AMOON GROWTH FUND LIMITED PARTNERSHIP</w:t>
      </w:r>
    </w:p>
    <w:p>
      <w:pPr>
        <w:spacing w:after="0" w:line="2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AMOON GROWTH FUND G.P.,</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LIMITED PARTNERSHIP, its general partner</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AMOON GENERAL PARTNER LTD., its general</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partner</w:t>
      </w:r>
    </w:p>
    <w:p>
      <w:pPr>
        <w:spacing w:after="0" w:line="215"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Yair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Tomer Berkovitz</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Partner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AMOON GROWTH FUND II, L.P.</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AMOON GROWTH FUND II G.P., L.P., its general</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partner</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AMOON GROWTH II GENERAL PARTNER LTD., its</w:t>
      </w:r>
    </w:p>
    <w:p>
      <w:pPr>
        <w:spacing w:after="0" w:line="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15"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Yair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Tom Berkovitz</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Partner</w:t>
      </w:r>
    </w:p>
    <w:p>
      <w:pPr>
        <w:spacing w:after="0" w:line="1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920"/>
          </w:cols>
          <w:pgMar w:left="1440" w:top="264" w:right="539" w:bottom="1440" w:gutter="0" w:footer="0" w:header="0"/>
        </w:sectPr>
      </w:pPr>
    </w:p>
    <w:bookmarkStart w:id="350" w:name="page351"/>
    <w:bookmarkEnd w:id="350"/>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PERCEPTIVE LIFE SCIENCES MASTER FUND,</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LTD.</w:t>
      </w:r>
    </w:p>
    <w:p>
      <w:pPr>
        <w:spacing w:after="0" w:line="2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1"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James H. Mannix</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COO</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PERCEPTIVE CREDIT HOLDINGS III, LP</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Perceptive Credit Opportunities GP, LLC,</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5"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James H. Mannix</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COO</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PCOF EQ AIV III, LP</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PCOF EQ AIV GP, LLC, its general partner</w:t>
      </w:r>
    </w:p>
    <w:p>
      <w:pPr>
        <w:spacing w:after="0" w:line="234"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James H. Mannix</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COO</w:t>
      </w:r>
    </w:p>
    <w:p>
      <w:pPr>
        <w:spacing w:after="0" w:line="1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540"/>
          </w:cols>
          <w:pgMar w:left="1440" w:top="264" w:right="919" w:bottom="1440" w:gutter="0" w:footer="0" w:header="0"/>
        </w:sectPr>
      </w:pPr>
    </w:p>
    <w:bookmarkStart w:id="351" w:name="page352"/>
    <w:bookmarkEnd w:id="351"/>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CIGNA VENTURES, LLC</w:t>
      </w:r>
    </w:p>
    <w:p>
      <w:pPr>
        <w:spacing w:after="0" w:line="225"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Cimini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Craig Cimini</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52" w:name="page353"/>
    <w:bookmarkEnd w:id="352"/>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7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INVESTOR:</w:t>
            </w:r>
          </w:p>
        </w:tc>
      </w:tr>
      <w:tr>
        <w:trPr>
          <w:trHeight w:val="40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MADRYN SELECT OPPORTUNITIES, LP</w:t>
            </w:r>
          </w:p>
        </w:tc>
        <w:tc>
          <w:tcPr>
            <w:tcW w:w="57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MADRYN HEALTH PARTNERS, LP</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MADRYN SELECT ADVISORS, LP, its General Partner</w:t>
            </w:r>
          </w:p>
        </w:tc>
        <w:tc>
          <w:tcPr>
            <w:tcW w:w="57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MADRYN HEALTH ADVISORS, LP, its General Partner</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MADRYN SELECT ADVISORS GP,</w:t>
            </w:r>
          </w:p>
        </w:tc>
        <w:tc>
          <w:tcPr>
            <w:tcW w:w="57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By: MADRYN HEALTH ADVISORS GP, LLC, its General Partner</w:t>
            </w:r>
          </w:p>
        </w:tc>
      </w:tr>
      <w:tr>
        <w:trPr>
          <w:trHeight w:val="23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its General Partner</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 Avinash Amin</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Avinash Amin</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Avinash Amin</w:t>
            </w:r>
          </w:p>
        </w:tc>
        <w:tc>
          <w:tcPr>
            <w:tcW w:w="116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54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Avinash Amin</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MADRYN HEALTH PARTNERS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MASTER),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MADRYN HEALTH ADVISORS, LP, its General Partner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MADRYN HEALTH ADVISORS GP, LLC, its General Partner</w:t>
      </w:r>
    </w:p>
    <w:p>
      <w:pPr>
        <w:spacing w:after="0" w:line="21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Avinash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15875</wp:posOffset>
            </wp:positionV>
            <wp:extent cx="29044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Avinash Amin</w:t>
      </w:r>
    </w:p>
    <w:p>
      <w:pPr>
        <w:spacing w:after="0" w:line="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920"/>
          </w:cols>
          <w:pgMar w:left="480" w:top="264" w:right="499" w:bottom="1440" w:gutter="0" w:footer="0" w:header="0"/>
        </w:sectPr>
      </w:pPr>
    </w:p>
    <w:bookmarkStart w:id="353" w:name="page354"/>
    <w:bookmarkEnd w:id="353"/>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INVESTOR:</w:t>
            </w:r>
          </w:p>
        </w:tc>
      </w:tr>
      <w:tr>
        <w:trPr>
          <w:trHeight w:val="40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Civilization Ventures Gomada, LP</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Civilization Ventures II, LP.</w:t>
            </w:r>
          </w:p>
        </w:tc>
      </w:tr>
      <w:tr>
        <w:trPr>
          <w:trHeight w:val="21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Civilization Ventures II LLC</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By: Civilization Ventures II LLC</w:t>
            </w:r>
          </w:p>
        </w:tc>
      </w:tr>
      <w:tr>
        <w:trPr>
          <w:trHeight w:val="23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 Shahram Seyedin-Noor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Shahram Seyedin-Noor</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c>
          <w:tcPr>
            <w:tcW w:w="116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0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Civilization Ventures Maximus, L.P.</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Civilization Ventures Shepherd, LP</w:t>
            </w:r>
          </w:p>
        </w:tc>
      </w:tr>
      <w:tr>
        <w:trPr>
          <w:trHeight w:val="21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Civilization Ventures II, L.L.C.</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By: Civilization Ventures LLC</w:t>
            </w:r>
          </w:p>
        </w:tc>
      </w:tr>
      <w:tr>
        <w:trPr>
          <w:trHeight w:val="23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 Shahram Seyedin-Noor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Shahram Seyedin-Noor</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c>
          <w:tcPr>
            <w:tcW w:w="116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0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Civilization Ventures Gibraltar, L.P.</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Civilization Ventures GGHII, L.P.</w:t>
            </w:r>
          </w:p>
        </w:tc>
      </w:tr>
      <w:tr>
        <w:trPr>
          <w:trHeight w:val="21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Civilization Ventures II, L.L.C.</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By: Civilization Ventures LLC</w:t>
            </w:r>
          </w:p>
        </w:tc>
      </w:tr>
      <w:tr>
        <w:trPr>
          <w:trHeight w:val="23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 Shahram Seyedin-Noor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Shahram Seyedin-Noor</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c>
          <w:tcPr>
            <w:tcW w:w="116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0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Civilization Ventures FFHI, L.P.</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Civilization Ventures Digital Health, L.P.</w:t>
            </w:r>
          </w:p>
        </w:tc>
      </w:tr>
      <w:tr>
        <w:trPr>
          <w:trHeight w:val="21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Civilization Ventures LLC</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By: Civilization Ventures LLC</w:t>
            </w:r>
          </w:p>
        </w:tc>
      </w:tr>
      <w:tr>
        <w:trPr>
          <w:trHeight w:val="23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5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 Shahram Seyedin-Noor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Shahram Seyedin-Noor</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c>
          <w:tcPr>
            <w:tcW w:w="116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4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Shahram Seyedin-Noor</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920"/>
          </w:cols>
          <w:pgMar w:left="480" w:top="264" w:right="499" w:bottom="1440" w:gutter="0" w:footer="0" w:header="0"/>
        </w:sectPr>
      </w:pPr>
    </w:p>
    <w:bookmarkStart w:id="354" w:name="page355"/>
    <w:bookmarkEnd w:id="354"/>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RIVER KNOLL HOLDINGS LLC</w:t>
      </w:r>
    </w:p>
    <w:p>
      <w:pPr>
        <w:spacing w:after="0" w:line="23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Trevor Fetter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Trevor Fetter</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55" w:name="page356"/>
    <w:bookmarkEnd w:id="355"/>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HADLEY HARBOR MASTER INVESTORS</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(CAYMAN) II L.P.</w:t>
      </w:r>
    </w:p>
    <w:p>
      <w:pPr>
        <w:spacing w:after="0" w:line="2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Peter N. McIsaac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15875</wp:posOffset>
            </wp:positionV>
            <wp:extent cx="27686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Wellington Management Company LLP, as</w:t>
      </w:r>
    </w:p>
    <w:p>
      <w:pPr>
        <w:spacing w:after="0" w:line="2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investment Advisor</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Peter N. McIsaac</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 and Counsel</w:t>
      </w:r>
    </w:p>
    <w:p>
      <w:pPr>
        <w:spacing w:after="0" w:line="1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60"/>
          </w:cols>
          <w:pgMar w:left="1440" w:top="264" w:right="1399" w:bottom="1440" w:gutter="0" w:footer="0" w:header="0"/>
        </w:sectPr>
      </w:pPr>
    </w:p>
    <w:bookmarkStart w:id="356" w:name="page357"/>
    <w:bookmarkEnd w:id="356"/>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DYNAMICS GROUP, LLC</w:t>
      </w:r>
    </w:p>
    <w:p>
      <w:pPr>
        <w:spacing w:after="0" w:line="23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Omid Farokhzad</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57" w:name="page358"/>
    <w:bookmarkEnd w:id="357"/>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JML INVESTMENT HOLDING COMPANY, LLC</w:t>
      </w:r>
    </w:p>
    <w:p>
      <w:pPr>
        <w:spacing w:after="0" w:line="23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Morteza Lotfi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Morteza Lotfi</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1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520"/>
          </w:cols>
          <w:pgMar w:left="1440" w:top="263" w:right="939" w:bottom="1440" w:gutter="0" w:footer="0" w:header="0"/>
        </w:sectPr>
      </w:pPr>
    </w:p>
    <w:bookmarkStart w:id="358" w:name="page359"/>
    <w:bookmarkEnd w:id="358"/>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THE PRIVATE SHARES FUND</w:t>
      </w:r>
    </w:p>
    <w:p>
      <w:pPr>
        <w:spacing w:after="0" w:line="23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Kevin Moss</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59" w:name="page360"/>
    <w:bookmarkEnd w:id="359"/>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REVELATION HEALTHCARE FUND II, L.P.</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Revelation Healthcare Fund II GP, LLC</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Mike Boggs</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REVELATION ALPINE, LLC</w:t>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Revelation Alpine GP, LLC</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Manager</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Boggs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Mike Boggs</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1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200"/>
          </w:cols>
          <w:pgMar w:left="1440" w:top="264" w:right="1259" w:bottom="1440" w:gutter="0" w:footer="0" w:header="0"/>
        </w:sectPr>
      </w:pPr>
    </w:p>
    <w:bookmarkStart w:id="360" w:name="page361"/>
    <w:bookmarkEnd w:id="360"/>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OM FUND I, A SERIES OF TENACITY VENTURE</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CAPITAL AFFILIATE FUND, LP</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Fund GP, LLC its General Partner</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Belltower Fund Group, Ltd. Manager of the General</w:t>
      </w:r>
    </w:p>
    <w:p>
      <w:pPr>
        <w:spacing w:after="0" w:line="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Partner</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Sagan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Brett Sagan</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1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660"/>
          </w:cols>
          <w:pgMar w:left="1440" w:top="264" w:right="799" w:bottom="1440" w:gutter="0" w:footer="0" w:header="0"/>
        </w:sectPr>
      </w:pPr>
    </w:p>
    <w:bookmarkStart w:id="361" w:name="page362"/>
    <w:bookmarkEnd w:id="361"/>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TROUSDALE SAROSPHERE, LLC</w:t>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Trousdale Ventures, LLC, its managing member</w:t>
      </w:r>
    </w:p>
    <w:p>
      <w:pPr>
        <w:spacing w:after="0" w:line="227"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Phillip Sarofim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Phillip Sarofim</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Sole Member</w:t>
      </w:r>
    </w:p>
    <w:p>
      <w:pPr>
        <w:spacing w:after="0" w:line="1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340"/>
          </w:cols>
          <w:pgMar w:left="1440" w:top="264" w:right="1119" w:bottom="1440" w:gutter="0" w:footer="0" w:header="0"/>
        </w:sectPr>
      </w:pPr>
    </w:p>
    <w:bookmarkStart w:id="362" w:name="page363"/>
    <w:bookmarkEnd w:id="362"/>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ANDREESSEN HOROWITZ FUND IV, L.P.</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for itself and as nominee for</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Andreessen Horowitz Fund IV-A, L.P.,</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Andreessen Horowitz Fund IV-B, L.P. and</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Andreessen Horowitz Fund IV-Q, L.P.</w:t>
      </w:r>
    </w:p>
    <w:p>
      <w:pPr>
        <w:spacing w:after="0" w:line="2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AH Equity Partners IV, L.L.C.</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      Its general partner</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Scott Kupor</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AH PARALLEL FUND IV, L.P.</w:t>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for itself and as nominee for</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AH Parallel Fund VI-A, L.P.,</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AH Parallel Fund IV-B, L.P. and</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AH Parallel Fund IV-Q, L.P.</w:t>
      </w:r>
    </w:p>
    <w:p>
      <w:pPr>
        <w:spacing w:after="0" w:line="2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AH Equity Partners IV, L.L.C.</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      Its general partner</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Scott Kupor</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20"/>
          </w:cols>
          <w:pgMar w:left="1440" w:top="264" w:right="1439" w:bottom="1440" w:gutter="0" w:footer="0" w:header="0"/>
        </w:sectPr>
      </w:pPr>
    </w:p>
    <w:bookmarkStart w:id="363" w:name="page364"/>
    <w:bookmarkEnd w:id="363"/>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HUMANA INNOVATION ENTERPRISES, INC.</w:t>
      </w:r>
    </w:p>
    <w:p>
      <w:pPr>
        <w:spacing w:after="0" w:line="23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 Ruschell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Joseph M. Ruschell</w:t>
      </w:r>
    </w:p>
    <w:p>
      <w:pPr>
        <w:spacing w:after="0" w:line="26" w:lineRule="exact"/>
        <w:rPr>
          <w:sz w:val="20"/>
          <w:szCs w:val="20"/>
          <w:color w:val="auto"/>
        </w:rPr>
      </w:pPr>
    </w:p>
    <w:p>
      <w:pPr>
        <w:jc w:val="both"/>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AVP, Assistant General Counsel &amp; Corporate</w:t>
      </w:r>
    </w:p>
    <w:p>
      <w:pPr>
        <w:spacing w:after="0" w:line="1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420"/>
          </w:cols>
          <w:pgMar w:left="1440" w:top="264" w:right="1039" w:bottom="1440" w:gutter="0" w:footer="0" w:header="0"/>
        </w:sectPr>
      </w:pPr>
    </w:p>
    <w:bookmarkStart w:id="364" w:name="page365"/>
    <w:bookmarkEnd w:id="364"/>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KAISER PERMANENTE VENTURES, LLC - </w:t>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SERIES A</w:t>
      </w:r>
    </w:p>
    <w:p>
      <w:pPr>
        <w:spacing w:after="0" w:line="202"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Thomas Meier</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SVP &amp; Treasurer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KAISER PERMANENTE VENTURES, LLC - </w:t>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SERIES B</w:t>
      </w:r>
    </w:p>
    <w:p>
      <w:pPr>
        <w:spacing w:after="0" w:line="202"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Thomas Meier</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Member, Management Committee</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THE PERMANENTE FEDERATION, LLC - SERIES J</w:t>
      </w:r>
    </w:p>
    <w:p>
      <w:pPr>
        <w:spacing w:after="0" w:line="23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Cadwell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Anne Cadwell</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CFO</w:t>
      </w:r>
    </w:p>
    <w:p>
      <w:pPr>
        <w:spacing w:after="0" w:line="1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880"/>
          </w:cols>
          <w:pgMar w:left="1440" w:top="264" w:right="579" w:bottom="1440" w:gutter="0" w:footer="0" w:header="0"/>
        </w:sectPr>
      </w:pPr>
    </w:p>
    <w:bookmarkStart w:id="365" w:name="page366"/>
    <w:bookmarkEnd w:id="365"/>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NORWEST VENTURE PARTNERS XII. LP</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Genesis VC Partners XII, LLC</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NVP Associates, LLC</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5"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Casper de Clercq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Casper de Clercq</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Partner</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40"/>
          </w:cols>
          <w:pgMar w:left="1440" w:top="264" w:right="1419" w:bottom="1440" w:gutter="0" w:footer="0" w:header="0"/>
        </w:sectPr>
      </w:pPr>
    </w:p>
    <w:bookmarkStart w:id="366" w:name="page367"/>
    <w:bookmarkEnd w:id="366"/>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PROVIDENCE HEALTH &amp; SERVICES -</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202"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Aaron Martin</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EVP</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5" w:right="1440" w:bottom="1440" w:gutter="0" w:footer="0" w:header="0"/>
        </w:sectPr>
      </w:pPr>
    </w:p>
    <w:bookmarkStart w:id="367" w:name="page368"/>
    <w:bookmarkEnd w:id="367"/>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U.S. VENTURE PARTNERS X, L.P.</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USVP X AFFILIATES, L.P.</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Presidio Management Group X, L.L.C.</w:t>
      </w:r>
    </w:p>
    <w:p>
      <w:pPr>
        <w:spacing w:after="0" w:line="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The General Partner of Each</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Dale Holladay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Dale Holladay</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Attorney in Fact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68" w:name="page369"/>
    <w:bookmarkEnd w:id="368"/>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U.S. VENTURE PARTNERS X, L.P.</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USVP X AFFILIATES, L.P.</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Presidio Management Group X, L.L.C.</w:t>
      </w:r>
    </w:p>
    <w:p>
      <w:pPr>
        <w:spacing w:after="0" w:line="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The General Partner of Each</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Dale Holladay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Dale Holladay</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Attorney in Fact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69" w:name="page370"/>
    <w:bookmarkEnd w:id="369"/>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ROCK SPRINGS CAPITAL MASTER FUND LP</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Rock Springs General Partner LLC</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6"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1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400"/>
          </w:cols>
          <w:pgMar w:left="1440" w:top="264" w:right="1059" w:bottom="1440" w:gutter="0" w:footer="0" w:header="0"/>
        </w:sectPr>
      </w:pPr>
    </w:p>
    <w:bookmarkStart w:id="370" w:name="page371"/>
    <w:bookmarkEnd w:id="370"/>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VERTICAL GP-1, LLC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Tony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Tony Chou</w:t>
      </w:r>
    </w:p>
    <w:p>
      <w:pPr>
        <w:spacing w:after="0" w:line="26" w:lineRule="exact"/>
        <w:rPr>
          <w:sz w:val="20"/>
          <w:szCs w:val="20"/>
          <w:color w:val="auto"/>
        </w:rPr>
      </w:pPr>
    </w:p>
    <w:p>
      <w:pPr>
        <w:jc w:val="both"/>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71" w:name="page372"/>
    <w:bookmarkEnd w:id="371"/>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Hafler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Jason Hafler</w:t>
      </w:r>
    </w:p>
    <w:p>
      <w:pPr>
        <w:spacing w:after="0" w:line="26" w:lineRule="exact"/>
        <w:rPr>
          <w:sz w:val="20"/>
          <w:szCs w:val="20"/>
          <w:color w:val="auto"/>
        </w:rPr>
      </w:pPr>
    </w:p>
    <w:p>
      <w:pPr>
        <w:jc w:val="both"/>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Managing Director Sanofi Ventures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019"/>
          </w:cols>
          <w:pgMar w:left="1440" w:top="264" w:right="1440" w:bottom="1440" w:gutter="0" w:footer="0" w:header="0"/>
        </w:sectPr>
      </w:pPr>
    </w:p>
    <w:bookmarkStart w:id="372" w:name="page373"/>
    <w:bookmarkEnd w:id="372"/>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INTERMOUNTAIN VENTURES FUND, LLC</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Intermountain Ventures, LLC</w:t>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5"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Nickolas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42887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Nickolas Mark</w:t>
      </w:r>
    </w:p>
    <w:p>
      <w:pPr>
        <w:spacing w:after="0" w:line="26"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1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9180"/>
          </w:cols>
          <w:pgMar w:left="1440" w:top="264" w:right="1279" w:bottom="1440" w:gutter="0" w:footer="0" w:header="0"/>
        </w:sectPr>
      </w:pPr>
    </w:p>
    <w:bookmarkStart w:id="373" w:name="page374"/>
    <w:bookmarkEnd w:id="373"/>
    <w:p>
      <w:pPr>
        <w:ind w:lef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executed this Agreement as of the date first above written.</w:t>
      </w:r>
    </w:p>
    <w:p>
      <w:pPr>
        <w:sectPr>
          <w:pgSz w:w="11900" w:h="16838" w:orient="portrait"/>
          <w:cols w:equalWidth="0" w:num="1">
            <w:col w:w="10920"/>
          </w:cols>
          <w:pgMar w:left="480" w:top="26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580"/>
        <w:spacing w:after="0" w:line="313" w:lineRule="auto"/>
        <w:rPr>
          <w:sz w:val="20"/>
          <w:szCs w:val="20"/>
          <w:color w:val="auto"/>
        </w:rPr>
      </w:pPr>
      <w:r>
        <w:rPr>
          <w:rFonts w:ascii="Times New Roman" w:cs="Times New Roman" w:eastAsia="Times New Roman" w:hAnsi="Times New Roman"/>
          <w:sz w:val="17"/>
          <w:szCs w:val="17"/>
          <w:b w:val="1"/>
          <w:bCs w:val="1"/>
          <w:color w:val="auto"/>
        </w:rPr>
        <w:t>Jennifer Laurine Canavan and her Successors as Trustee of the Soja Family A1 Trust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Jennifer Laurine Canavan and her Successors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Trustee of the Soja Family A2 Trust</w:t>
      </w:r>
    </w:p>
    <w:p>
      <w:pPr>
        <w:spacing w:after="0" w:line="215" w:lineRule="exact"/>
        <w:rPr>
          <w:sz w:val="20"/>
          <w:szCs w:val="20"/>
          <w:color w:val="auto"/>
        </w:rPr>
      </w:pPr>
    </w:p>
    <w:p>
      <w:pPr>
        <w:sectPr>
          <w:pgSz w:w="11900" w:h="16838" w:orient="portrait"/>
          <w:cols w:equalWidth="0" w:num="2">
            <w:col w:w="5100" w:space="720"/>
            <w:col w:w="5100"/>
          </w:cols>
          <w:pgMar w:left="480" w:top="264" w:right="499" w:bottom="1440" w:gutter="0" w:footer="0" w:header="0"/>
          <w:type w:val="continuous"/>
        </w:sect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Laurine Canavan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15875</wp:posOffset>
            </wp:positionV>
            <wp:extent cx="283654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tab/>
        <w:t>Jennifer Laurine Canavan</w:t>
      </w:r>
    </w:p>
    <w:p>
      <w:pPr>
        <w:spacing w:after="0" w:line="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198" w:lineRule="exact"/>
        <w:rPr>
          <w:sz w:val="20"/>
          <w:szCs w:val="20"/>
          <w:color w:val="auto"/>
        </w:rPr>
      </w:pPr>
    </w:p>
    <w:p>
      <w:pPr>
        <w:ind w:right="1580"/>
        <w:spacing w:after="0" w:line="313" w:lineRule="auto"/>
        <w:rPr>
          <w:sz w:val="20"/>
          <w:szCs w:val="20"/>
          <w:color w:val="auto"/>
        </w:rPr>
      </w:pPr>
      <w:r>
        <w:rPr>
          <w:rFonts w:ascii="Times New Roman" w:cs="Times New Roman" w:eastAsia="Times New Roman" w:hAnsi="Times New Roman"/>
          <w:sz w:val="17"/>
          <w:szCs w:val="17"/>
          <w:b w:val="1"/>
          <w:bCs w:val="1"/>
          <w:color w:val="auto"/>
        </w:rPr>
        <w:t>Jennifer Laurine Canavan and her Successors as Trustee of the Soja Family A3 Trust</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Laurine Canavan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15875</wp:posOffset>
            </wp:positionV>
            <wp:extent cx="283654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Jennifer Laurine Canavan</w:t>
      </w:r>
    </w:p>
    <w:p>
      <w:pPr>
        <w:spacing w:after="0" w:line="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Jennifer Laurine Canavan and her Successors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Trustee of the Soja Family Primary Trust</w:t>
      </w:r>
    </w:p>
    <w:p>
      <w:pPr>
        <w:spacing w:after="0" w:line="215" w:lineRule="exact"/>
        <w:rPr>
          <w:sz w:val="20"/>
          <w:szCs w:val="20"/>
          <w:color w:val="auto"/>
        </w:rPr>
      </w:pPr>
    </w:p>
    <w:p>
      <w:pPr>
        <w:sectPr>
          <w:pgSz w:w="11900" w:h="16838" w:orient="portrait"/>
          <w:cols w:equalWidth="0" w:num="2">
            <w:col w:w="5100" w:space="720"/>
            <w:col w:w="5100"/>
          </w:cols>
          <w:pgMar w:left="480" w:top="264" w:right="499" w:bottom="1440" w:gutter="0" w:footer="0" w:header="0"/>
          <w:type w:val="continuous"/>
        </w:sect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Laurine Canavan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15875</wp:posOffset>
            </wp:positionV>
            <wp:extent cx="283654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tab/>
        <w:t>Jennifer Laurine Canavan</w:t>
      </w:r>
    </w:p>
    <w:p>
      <w:pPr>
        <w:spacing w:after="0" w:line="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198" w:lineRule="exact"/>
        <w:rPr>
          <w:sz w:val="20"/>
          <w:szCs w:val="20"/>
          <w:color w:val="auto"/>
        </w:rPr>
      </w:pPr>
    </w:p>
    <w:p>
      <w:pPr>
        <w:ind w:right="1580"/>
        <w:spacing w:after="0" w:line="313" w:lineRule="auto"/>
        <w:rPr>
          <w:sz w:val="20"/>
          <w:szCs w:val="20"/>
          <w:color w:val="auto"/>
        </w:rPr>
      </w:pPr>
      <w:r>
        <w:rPr>
          <w:rFonts w:ascii="Times New Roman" w:cs="Times New Roman" w:eastAsia="Times New Roman" w:hAnsi="Times New Roman"/>
          <w:sz w:val="17"/>
          <w:szCs w:val="17"/>
          <w:b w:val="1"/>
          <w:bCs w:val="1"/>
          <w:color w:val="auto"/>
        </w:rPr>
        <w:t>Jennifer Laurine Canavan and her Successors as Trustee of the Duni Family A1 Trust</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Laurine Canavan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15875</wp:posOffset>
            </wp:positionV>
            <wp:extent cx="283654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Jennifer Laurine Canavan</w:t>
      </w:r>
    </w:p>
    <w:p>
      <w:pPr>
        <w:spacing w:after="0" w:line="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Jennifer Laurine Canavan and her Successors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Trustee of the Duni Family A2 Trust</w:t>
      </w:r>
    </w:p>
    <w:p>
      <w:pPr>
        <w:spacing w:after="0" w:line="215" w:lineRule="exact"/>
        <w:rPr>
          <w:sz w:val="20"/>
          <w:szCs w:val="20"/>
          <w:color w:val="auto"/>
        </w:rPr>
      </w:pPr>
    </w:p>
    <w:p>
      <w:pPr>
        <w:sectPr>
          <w:pgSz w:w="11900" w:h="16838" w:orient="portrait"/>
          <w:cols w:equalWidth="0" w:num="2">
            <w:col w:w="5100" w:space="720"/>
            <w:col w:w="5100"/>
          </w:cols>
          <w:pgMar w:left="480" w:top="264" w:right="499" w:bottom="1440" w:gutter="0" w:footer="0" w:header="0"/>
          <w:type w:val="continuous"/>
        </w:sect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Laurine Canavan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15875</wp:posOffset>
            </wp:positionV>
            <wp:extent cx="283654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tab/>
        <w:t>Jennifer Laurine Canavan</w:t>
      </w:r>
    </w:p>
    <w:p>
      <w:pPr>
        <w:spacing w:after="0" w:line="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198" w:lineRule="exact"/>
        <w:rPr>
          <w:sz w:val="20"/>
          <w:szCs w:val="20"/>
          <w:color w:val="auto"/>
        </w:rPr>
      </w:pPr>
    </w:p>
    <w:p>
      <w:pPr>
        <w:ind w:right="1580"/>
        <w:spacing w:after="0" w:line="313" w:lineRule="auto"/>
        <w:rPr>
          <w:sz w:val="20"/>
          <w:szCs w:val="20"/>
          <w:color w:val="auto"/>
        </w:rPr>
      </w:pPr>
      <w:r>
        <w:rPr>
          <w:rFonts w:ascii="Times New Roman" w:cs="Times New Roman" w:eastAsia="Times New Roman" w:hAnsi="Times New Roman"/>
          <w:sz w:val="17"/>
          <w:szCs w:val="17"/>
          <w:b w:val="1"/>
          <w:bCs w:val="1"/>
          <w:color w:val="auto"/>
        </w:rPr>
        <w:t>Jennifer Laurine Canavan and her Successors as Trustee of the Duni Family A3 Trust</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Laurine Canavan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15875</wp:posOffset>
            </wp:positionV>
            <wp:extent cx="283654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Jennifer Laurine Canavan</w:t>
      </w:r>
    </w:p>
    <w:p>
      <w:pPr>
        <w:spacing w:after="0" w:line="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Jennifer Laurine Canavan and her Successors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Trustee of the Duni Family Primary Trust</w:t>
      </w:r>
    </w:p>
    <w:p>
      <w:pPr>
        <w:spacing w:after="0" w:line="215" w:lineRule="exact"/>
        <w:rPr>
          <w:sz w:val="20"/>
          <w:szCs w:val="20"/>
          <w:color w:val="auto"/>
        </w:rPr>
      </w:pPr>
    </w:p>
    <w:p>
      <w:pPr>
        <w:sectPr>
          <w:pgSz w:w="11900" w:h="16838" w:orient="portrait"/>
          <w:cols w:equalWidth="0" w:num="2">
            <w:col w:w="5100" w:space="720"/>
            <w:col w:w="5100"/>
          </w:cols>
          <w:pgMar w:left="480" w:top="264" w:right="49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Jennifer Laurine Canavan</w:t>
            </w: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Jennifer Laurine Canavan</w:t>
            </w:r>
          </w:p>
        </w:tc>
      </w:tr>
      <w:tr>
        <w:trPr>
          <w:trHeight w:val="202"/>
        </w:trPr>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Jennifer Laurine Canavan</w:t>
            </w:r>
          </w:p>
        </w:tc>
        <w:tc>
          <w:tcPr>
            <w:tcW w:w="1260" w:type="dxa"/>
            <w:vAlign w:val="bottom"/>
          </w:tcPr>
          <w:p>
            <w:pPr>
              <w:ind w:left="70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4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Jennifer Laurine Canavan</w:t>
            </w:r>
          </w:p>
        </w:tc>
      </w:tr>
      <w:tr>
        <w:trPr>
          <w:trHeight w:val="23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ectPr>
          <w:pgSz w:w="11900" w:h="16838" w:orient="portrait"/>
          <w:cols w:equalWidth="0" w:num="1">
            <w:col w:w="10920"/>
          </w:cols>
          <w:pgMar w:left="480" w:top="264" w:right="499" w:bottom="1440" w:gutter="0" w:footer="0" w:header="0"/>
          <w:type w:val="continuous"/>
        </w:sectPr>
      </w:pPr>
    </w:p>
    <w:bookmarkStart w:id="374" w:name="page375"/>
    <w:bookmarkEnd w:id="374"/>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A</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SCHEDULE OF INVESTORS</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Investor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Norwest Venture Partners XII, 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Andreessen Horowitz Fund IV, L.P., as nominee.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AH Parallel Fund IV, L.P., as nominee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Kaiser Permanente Ventures, LLC - Series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Kaiser Permanente Ventures, LLC - Series 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Permanente Federation, LLC - Series 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Venture Partners X,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USVP X Affiliates,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Shahram Seyedin-Noor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Heath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Esther Dyson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DiMichele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Aberdare Ventures IV,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Nea:seed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TriplePoint Ventures 2,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Mitchell D. Kapor Trust dated 12/03/99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Garth R. Patil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T. Engelson Trust UDT DATED March 29, 2000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Health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Loren Siebert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Esther Dyson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Virdy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Andras Ketskes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Vertical GP-1,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Collective,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Collective Entrepreneurs’ Fund,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TriplePoint Ventures 3,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G&amp;H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C&amp;F Investment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Scott Kendall and Enmi Sung Kendall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Schox and Kathryn Schox</w:t>
      </w:r>
    </w:p>
    <w:p>
      <w:pPr>
        <w:spacing w:after="0" w:line="7" w:lineRule="exact"/>
        <w:rPr>
          <w:sz w:val="20"/>
          <w:szCs w:val="20"/>
          <w:color w:val="auto"/>
        </w:rPr>
      </w:pPr>
    </w:p>
    <w:p>
      <w:pPr>
        <w:ind w:right="4299"/>
        <w:spacing w:after="0" w:line="262" w:lineRule="auto"/>
        <w:rPr>
          <w:sz w:val="20"/>
          <w:szCs w:val="20"/>
          <w:color w:val="auto"/>
        </w:rPr>
      </w:pPr>
      <w:r>
        <w:rPr>
          <w:rFonts w:ascii="Times New Roman" w:cs="Times New Roman" w:eastAsia="Times New Roman" w:hAnsi="Times New Roman"/>
          <w:sz w:val="17"/>
          <w:szCs w:val="17"/>
          <w:color w:val="auto"/>
        </w:rPr>
        <w:t>Renee Courington And David Beaver, Trustees, the Card Trust dated 6/18/1994 Anne DeGheest, trustee of A DeGheest Living Trust date June 8, 2005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Erik T. Engelson, Trustee of the Elisabeth North Kuechler Engelson Trust UTA dated January 17, 2001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Fashionmall.com,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Narasin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Designer Fund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F&amp;W Investments LP – Series 2013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John’s University</w:t>
      </w:r>
    </w:p>
    <w:p>
      <w:pPr>
        <w:sectPr>
          <w:pgSz w:w="11900" w:h="16838" w:orient="portrait"/>
          <w:cols w:equalWidth="0" w:num="1">
            <w:col w:w="9979"/>
          </w:cols>
          <w:pgMar w:left="480" w:top="264" w:right="1440"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Alfonso Castillo Lopez</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Designer Fund 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Esquivel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E. Kelliher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Health &amp; Services – Washington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 Ventures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Humana Innovation Enterprises,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dRx Capital AG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Shahram Seyedin-Noor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 Health Seed Fund II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Designer Fund 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Cigna Health and Life Insurance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Adi Family,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GGHII,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Digital Health,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FFHI,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Shepherd,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II,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Maximus,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Gibraltar,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Civilization Ventures Gomada,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Aventis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 Diagnostics Ventures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Hadley Harbor Master Investors (Cayman) II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III,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PCOF EQ AIV III,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RiverKnoll Holdings,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Select Portfolios: Health Care Portfolio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Advisor Series VII: Fidelity Advisor Health Care Fund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Central Investment Portfolios LLC: Fidelity U.S. Equity Central Fund - Health Care Sub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Insurance Products Fund IV: VIP Health Care Portfolio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Select Portfolios: Select Medical Technology and Devices Portfolio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Mt. Vernon Street Trust: Fidelity Series Growth Company Fund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Fund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Growth Company Commingled Pool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Mt. Vernon Street Trust : Fidelity Growth Company K6 Fund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aMoon Growth Fund Limited Partnership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aMoon Growth Fund II,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Madryn Select Opportunities,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Madryn Health Partners,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Madryn Health Partners (Cayman Master),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Dynamics Group,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JLM Investment Holding Company,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Revelation Healthcare Fund II,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Revelation Alpine, LLC</w:t>
      </w:r>
    </w:p>
    <w:p>
      <w:pPr>
        <w:sectPr>
          <w:pgSz w:w="11900" w:h="16838" w:orient="portrait"/>
          <w:cols w:equalWidth="0" w:num="1">
            <w:col w:w="9979"/>
          </w:cols>
          <w:pgMar w:left="480" w:top="268" w:right="1440"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Private Shares Fund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 Fund I, A Series of Tenacity Venture Capital Affiliate Fund,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Trousdale Sarosphere, LLC</w:t>
      </w:r>
    </w:p>
    <w:p>
      <w:pPr>
        <w:spacing w:after="0" w:line="20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979"/>
          </w:cols>
          <w:pgMar w:left="480" w:top="268" w:right="1440" w:bottom="1440" w:gutter="0" w:footer="0" w:header="0"/>
        </w:sectPr>
      </w:pPr>
    </w:p>
    <w:bookmarkStart w:id="377" w:name="page378"/>
    <w:bookmarkEnd w:id="377"/>
    <w:p>
      <w:pPr>
        <w:ind w:left="1008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3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Omada Health,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See Section 1.7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Type/Series of Stock: Series B Preferred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Price: $ 1.1828 per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Date: May 20, 2015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 May 19, 2025   See also Section 5.l(b).</w:t>
      </w:r>
    </w:p>
    <w:p>
      <w:pPr>
        <w:spacing w:after="0" w:line="105" w:lineRule="exact"/>
        <w:rPr>
          <w:sz w:val="20"/>
          <w:szCs w:val="20"/>
          <w:color w:val="auto"/>
        </w:rPr>
      </w:pPr>
    </w:p>
    <w:p>
      <w:pPr>
        <w:ind w:left="1440" w:right="280" w:hanging="1430"/>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Credit Facility:</w:t>
      </w:r>
      <w:r>
        <w:rPr>
          <w:sz w:val="20"/>
          <w:szCs w:val="20"/>
          <w:color w:val="auto"/>
        </w:rPr>
        <w:tab/>
      </w:r>
      <w:r>
        <w:rPr>
          <w:rFonts w:ascii="Times New Roman" w:cs="Times New Roman" w:eastAsia="Times New Roman" w:hAnsi="Times New Roman"/>
          <w:sz w:val="18"/>
          <w:szCs w:val="18"/>
          <w:color w:val="auto"/>
        </w:rPr>
        <w:t>This Warrant to Purchase Stock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is issued in connection with that certain Loan and Security Agreement of even date herewith between Silicon Valley Bank and the Company (the “</w:t>
      </w:r>
      <w:r>
        <w:rPr>
          <w:rFonts w:ascii="Times New Roman" w:cs="Times New Roman" w:eastAsia="Times New Roman" w:hAnsi="Times New Roman"/>
          <w:sz w:val="18"/>
          <w:szCs w:val="18"/>
          <w:b w:val="1"/>
          <w:bCs w:val="1"/>
          <w:u w:val="single" w:color="auto"/>
          <w:color w:val="auto"/>
        </w:rPr>
        <w:t>Loan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the above-stated Type/Series of Stock (the “</w:t>
      </w:r>
      <w:r>
        <w:rPr>
          <w:rFonts w:ascii="Times New Roman" w:cs="Times New Roman" w:eastAsia="Times New Roman" w:hAnsi="Times New Roman"/>
          <w:sz w:val="18"/>
          <w:szCs w:val="18"/>
          <w:b w:val="1"/>
          <w:bCs w:val="1"/>
          <w:u w:val="single" w:color="auto"/>
          <w:color w:val="auto"/>
        </w:rPr>
        <w:t>Class</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EXERCISE.</w:t>
      </w:r>
    </w:p>
    <w:p>
      <w:pPr>
        <w:spacing w:after="0" w:line="221" w:lineRule="exact"/>
        <w:rPr>
          <w:sz w:val="20"/>
          <w:szCs w:val="20"/>
          <w:color w:val="auto"/>
        </w:rPr>
      </w:pPr>
    </w:p>
    <w:p>
      <w:pPr>
        <w:ind w:right="140" w:firstLine="982"/>
        <w:spacing w:after="0" w:line="277"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xml:space="preserve">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67" w:lineRule="exact"/>
        <w:rPr>
          <w:sz w:val="20"/>
          <w:szCs w:val="20"/>
          <w:color w:val="auto"/>
        </w:rPr>
      </w:pPr>
    </w:p>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7" w:right="4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Company shall issue to the Holder such number of fully paid and non-assessable Shares as are computed using the following formula:</w:t>
      </w:r>
    </w:p>
    <w:p>
      <w:pPr>
        <w:spacing w:after="0" w:line="248" w:lineRule="exact"/>
        <w:rPr>
          <w:sz w:val="20"/>
          <w:szCs w:val="20"/>
          <w:color w:val="auto"/>
        </w:rPr>
      </w:pPr>
    </w:p>
    <w:p>
      <w:pPr>
        <w:ind w:left="1440"/>
        <w:spacing w:after="0"/>
        <w:tabs>
          <w:tab w:leader="none" w:pos="184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Y(A-B)/A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where:          </w:t>
      </w:r>
    </w:p>
    <w:p>
      <w:pPr>
        <w:spacing w:after="0" w:line="95" w:lineRule="exact"/>
        <w:rPr>
          <w:sz w:val="20"/>
          <w:szCs w:val="20"/>
          <w:color w:val="auto"/>
        </w:rPr>
      </w:pPr>
    </w:p>
    <w:p>
      <w:pPr>
        <w:ind w:left="1440"/>
        <w:spacing w:after="0"/>
        <w:tabs>
          <w:tab w:leader="none" w:pos="184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the number of Shares to be issued to the Holder;</w:t>
      </w:r>
    </w:p>
    <w:p>
      <w:pPr>
        <w:spacing w:after="0" w:line="114" w:lineRule="exact"/>
        <w:rPr>
          <w:sz w:val="20"/>
          <w:szCs w:val="20"/>
          <w:color w:val="auto"/>
        </w:rPr>
      </w:pPr>
    </w:p>
    <w:p>
      <w:pPr>
        <w:ind w:left="1860" w:right="640" w:hanging="427"/>
        <w:spacing w:after="0" w:line="278" w:lineRule="auto"/>
        <w:tabs>
          <w:tab w:leader="none" w:pos="1840" w:val="left"/>
        </w:tabs>
        <w:rPr>
          <w:sz w:val="20"/>
          <w:szCs w:val="20"/>
          <w:color w:val="auto"/>
        </w:rPr>
      </w:pPr>
      <w:r>
        <w:rPr>
          <w:rFonts w:ascii="Times New Roman" w:cs="Times New Roman" w:eastAsia="Times New Roman" w:hAnsi="Times New Roman"/>
          <w:sz w:val="18"/>
          <w:szCs w:val="18"/>
          <w:color w:val="auto"/>
        </w:rPr>
        <w:t>Y =</w:t>
        <w:tab/>
        <w:t>the number of Shares with respect to which this Warrant is being exercised (inclusive of the Shares surrendered to the Company in payment of the aggregate Warrant Price);</w:t>
      </w:r>
    </w:p>
    <w:p>
      <w:pPr>
        <w:spacing w:after="0" w:line="55" w:lineRule="exact"/>
        <w:rPr>
          <w:sz w:val="20"/>
          <w:szCs w:val="20"/>
          <w:color w:val="auto"/>
        </w:rPr>
      </w:pPr>
    </w:p>
    <w:p>
      <w:pPr>
        <w:ind w:left="1440"/>
        <w:spacing w:after="0"/>
        <w:tabs>
          <w:tab w:leader="none" w:pos="18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Fair Market Value (as determined pursuant to Section 1.3</w:t>
      </w:r>
    </w:p>
    <w:p>
      <w:pPr>
        <w:spacing w:after="0" w:line="2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below) of one Share; and</w:t>
      </w:r>
    </w:p>
    <w:p>
      <w:pPr>
        <w:spacing w:after="0" w:line="109" w:lineRule="exact"/>
        <w:rPr>
          <w:sz w:val="20"/>
          <w:szCs w:val="20"/>
          <w:color w:val="auto"/>
        </w:rPr>
      </w:pPr>
    </w:p>
    <w:p>
      <w:pPr>
        <w:ind w:left="1440"/>
        <w:spacing w:after="0"/>
        <w:tabs>
          <w:tab w:leader="none" w:pos="184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Warrant Price.</w:t>
      </w:r>
    </w:p>
    <w:p>
      <w:pPr>
        <w:spacing w:after="0" w:line="221" w:lineRule="exact"/>
        <w:rPr>
          <w:sz w:val="20"/>
          <w:szCs w:val="20"/>
          <w:color w:val="auto"/>
        </w:rPr>
      </w:pPr>
    </w:p>
    <w:p>
      <w:pPr>
        <w:ind w:right="80" w:firstLine="982"/>
        <w:spacing w:after="0" w:line="25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the Company’s common stock is then traded or quoted on a nationally recognized securities exchange, inter-dealer quotation system or over-the- counter market (a “</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92" w:lineRule="exact"/>
        <w:rPr>
          <w:sz w:val="20"/>
          <w:szCs w:val="20"/>
          <w:color w:val="auto"/>
        </w:rPr>
      </w:pPr>
    </w:p>
    <w:p>
      <w:pPr>
        <w:ind w:right="3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5" w:lineRule="exact"/>
        <w:rPr>
          <w:sz w:val="20"/>
          <w:szCs w:val="20"/>
          <w:color w:val="auto"/>
        </w:rPr>
      </w:pPr>
    </w:p>
    <w:p>
      <w:pPr>
        <w:ind w:right="160" w:firstLine="982"/>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87" w:lineRule="exact"/>
        <w:rPr>
          <w:sz w:val="20"/>
          <w:szCs w:val="20"/>
          <w:color w:val="auto"/>
        </w:rPr>
      </w:pPr>
    </w:p>
    <w:p>
      <w:pPr>
        <w:ind w:left="980"/>
        <w:spacing w:after="0"/>
        <w:tabs>
          <w:tab w:leader="none" w:pos="1420" w:val="left"/>
        </w:tabs>
        <w:rPr>
          <w:sz w:val="20"/>
          <w:szCs w:val="20"/>
          <w:color w:val="auto"/>
        </w:rPr>
      </w:pPr>
      <w:r>
        <w:rPr>
          <w:rFonts w:ascii="Times New Roman" w:cs="Times New Roman" w:eastAsia="Times New Roman" w:hAnsi="Times New Roman"/>
          <w:sz w:val="18"/>
          <w:szCs w:val="18"/>
          <w:color w:val="auto"/>
        </w:rPr>
        <w:t>1.6 </w:t>
      </w:r>
      <w:r>
        <w:rPr>
          <w:sz w:val="20"/>
          <w:szCs w:val="20"/>
          <w:color w:val="auto"/>
        </w:rPr>
        <w:tab/>
      </w:r>
      <w:r>
        <w:rPr>
          <w:rFonts w:ascii="Times New Roman" w:cs="Times New Roman" w:eastAsia="Times New Roman" w:hAnsi="Times New Roman"/>
          <w:sz w:val="17"/>
          <w:szCs w:val="17"/>
          <w:u w:val="single" w:color="auto"/>
          <w:color w:val="auto"/>
        </w:rPr>
        <w:t>Treatment of Warrant Upon Acquisition of Company</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379" w:name="page380"/>
    <w:bookmarkEnd w:id="379"/>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67" w:lineRule="exact"/>
        <w:rPr>
          <w:sz w:val="20"/>
          <w:szCs w:val="20"/>
          <w:color w:val="auto"/>
        </w:rPr>
      </w:pPr>
    </w:p>
    <w:p>
      <w:pPr>
        <w:ind w:right="40" w:firstLine="982"/>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“Cash/Public Acquisition”),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89"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(c)  Upon the closing of any Acquisition other than a Cash/Public Acquisition defined above, either (i)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or (ii) if the acquiring, successor or surviving entity shall not have assumed this Warrant, then the aggregate Warrant Price shall be reduced to the greater of (x) One Dollar ($1.00) or (y) the aggregate par value of the Shares and this Warrant shall be deemed to have been cashless exercised in full pursuant to Section 1.2 above as of immediately prior to the consummation of such Acquisition.</w:t>
      </w:r>
    </w:p>
    <w:p>
      <w:pPr>
        <w:spacing w:after="0" w:line="180"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(d)  As used in this Warrant, “</w:t>
      </w:r>
      <w:r>
        <w:rPr>
          <w:rFonts w:ascii="Times New Roman" w:cs="Times New Roman" w:eastAsia="Times New Roman" w:hAnsi="Times New Roman"/>
          <w:sz w:val="18"/>
          <w:szCs w:val="18"/>
          <w:b w:val="1"/>
          <w:bCs w:val="1"/>
          <w:u w:val="single" w:color="auto"/>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380" w:name="page381"/>
    <w:bookmarkEnd w:id="380"/>
    <w:p>
      <w:pPr>
        <w:ind w:right="1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closing of such Acquisition, except to the extent that any such restriction (x) arises solely under federal or state securities laws, rules or regulations, and (y) does not extend beyond six (6) months from the closing of such Acquisition.</w:t>
      </w:r>
    </w:p>
    <w:p>
      <w:pPr>
        <w:spacing w:after="0" w:line="162"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Number of Shares for which this Warrant shall be exercisable shall be (i) initially 33,818 plus (ii) upon Silicon Valley Bank making the Tranche B Growth Capital Advance (as defined in the Loan Agreement) and/or the Tranche C Growth Capital Advance (as defined in the Loan Agreement) to the Company, an additional Number of Shares equal to (a) two percent (2.00%) of the original principal amount of the Tranche B Growth Capital Advance or Tranche C Growth Capital Advance made to the Company pursuant to the Loan Agreement divided by (b) the Warrant Price, up to a total of 118,363 Shares, subject to adjustment as set forth in Section 2.</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ADJUSTMENTS TO THE SHARES AND WARRANT PRICE.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If the Company declares or pays a dividend or distribution on the outstanding shares of the</w:t>
      </w:r>
    </w:p>
    <w:p>
      <w:pPr>
        <w:spacing w:after="0" w:line="2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4"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4"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Conversion of Preferred Stock</w:t>
      </w:r>
      <w:r>
        <w:rPr>
          <w:rFonts w:ascii="Times New Roman" w:cs="Times New Roman" w:eastAsia="Times New Roman" w:hAnsi="Times New Roman"/>
          <w:sz w:val="18"/>
          <w:szCs w:val="18"/>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8" w:right="539" w:bottom="1440" w:gutter="0" w:footer="0" w:header="0"/>
        </w:sectPr>
      </w:pPr>
    </w:p>
    <w:bookmarkStart w:id="381" w:name="page382"/>
    <w:bookmarkEnd w:id="381"/>
    <w:p>
      <w:pPr>
        <w:ind w:right="24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divided by the number of shares of common stock into which one Share would have been converted, all subject to further adjustment thereafter from time to time in accordance with the provisions of this Warrant.</w:t>
      </w:r>
    </w:p>
    <w:p>
      <w:pPr>
        <w:spacing w:after="0" w:line="162" w:lineRule="exact"/>
        <w:rPr>
          <w:sz w:val="20"/>
          <w:szCs w:val="20"/>
          <w:color w:val="auto"/>
        </w:rPr>
      </w:pPr>
    </w:p>
    <w:p>
      <w:pPr>
        <w:ind w:right="80" w:firstLine="982"/>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Adjustments for Diluting Issuances</w:t>
      </w:r>
      <w:r>
        <w:rPr>
          <w:rFonts w:ascii="Times New Roman" w:cs="Times New Roman" w:eastAsia="Times New Roman" w:hAnsi="Times New Roman"/>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80"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authorized officer, including computations of such adjustment and the Warrant Price, Class and number of Shares in effect upon the date of such adjustment.</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COVENANTS OF THE COMPANY.</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1" w:lineRule="exact"/>
        <w:rPr>
          <w:sz w:val="20"/>
          <w:szCs w:val="20"/>
          <w:color w:val="auto"/>
        </w:rPr>
      </w:pPr>
    </w:p>
    <w:p>
      <w:pPr>
        <w:ind w:right="360" w:firstLine="982"/>
        <w:spacing w:after="0" w:line="308" w:lineRule="auto"/>
        <w:rPr>
          <w:sz w:val="20"/>
          <w:szCs w:val="20"/>
          <w:color w:val="auto"/>
        </w:rPr>
      </w:pPr>
      <w:r>
        <w:rPr>
          <w:rFonts w:ascii="Times New Roman" w:cs="Times New Roman" w:eastAsia="Times New Roman" w:hAnsi="Times New Roman"/>
          <w:sz w:val="17"/>
          <w:szCs w:val="17"/>
          <w:color w:val="auto"/>
        </w:rPr>
        <w:t>(a)  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40"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(b)  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Company’s capitalization table attached hereto as Schedule 1 is true and complete, in all material respects, as of the Issue Date.</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80" w:top="268" w:right="559" w:bottom="1440" w:gutter="0" w:footer="0" w:header="0"/>
        </w:sectPr>
      </w:pPr>
    </w:p>
    <w:bookmarkStart w:id="382" w:name="page383"/>
    <w:bookmarkEnd w:id="382"/>
    <w:p>
      <w:pPr>
        <w:ind w:left="980"/>
        <w:spacing w:after="0"/>
        <w:tabs>
          <w:tab w:leader="none" w:pos="1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3.2 </w:t>
      </w:r>
      <w:r>
        <w:rPr>
          <w:sz w:val="20"/>
          <w:szCs w:val="20"/>
          <w:color w:val="auto"/>
        </w:rPr>
        <w:tab/>
      </w:r>
      <w:r>
        <w:rPr>
          <w:rFonts w:ascii="Times New Roman" w:cs="Times New Roman" w:eastAsia="Times New Roman" w:hAnsi="Times New Roman"/>
          <w:sz w:val="17"/>
          <w:szCs w:val="17"/>
          <w:u w:val="single" w:color="auto"/>
          <w:color w:val="auto"/>
        </w:rPr>
        <w:t>Notice of Certain Events</w:t>
      </w:r>
      <w:r>
        <w:rPr>
          <w:rFonts w:ascii="Times New Roman" w:cs="Times New Roman" w:eastAsia="Times New Roman" w:hAnsi="Times New Roman"/>
          <w:sz w:val="17"/>
          <w:szCs w:val="17"/>
          <w:color w:val="auto"/>
        </w:rPr>
        <w:t>. If the Company proposes at any time to:</w:t>
      </w:r>
    </w:p>
    <w:p>
      <w:pPr>
        <w:spacing w:after="0" w:line="221" w:lineRule="exact"/>
        <w:rPr>
          <w:sz w:val="20"/>
          <w:szCs w:val="20"/>
          <w:color w:val="auto"/>
        </w:rPr>
      </w:pPr>
    </w:p>
    <w:p>
      <w:pPr>
        <w:ind w:right="160" w:firstLine="982"/>
        <w:spacing w:after="0" w:line="278" w:lineRule="auto"/>
        <w:rPr>
          <w:sz w:val="20"/>
          <w:szCs w:val="20"/>
          <w:color w:val="auto"/>
        </w:rPr>
      </w:pPr>
      <w:r>
        <w:rPr>
          <w:rFonts w:ascii="Times New Roman" w:cs="Times New Roman" w:eastAsia="Times New Roman" w:hAnsi="Times New Roman"/>
          <w:sz w:val="18"/>
          <w:szCs w:val="18"/>
          <w:color w:val="auto"/>
        </w:rPr>
        <w:t>(a)  declare any dividend or distribution upon the outstanding shares of the Class or common stock, whether in cash, property, stock, or other securities and whether or not a regular cash dividend;</w:t>
      </w:r>
    </w:p>
    <w:p>
      <w:pPr>
        <w:spacing w:after="0" w:line="162"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(b)  offer for subscription or sale pro rata to the holders of the outstanding shares of the Class any additional shares of any class or series of the Company’s stock (other than pursuant to contractual pre-emptive rights);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effect any reclassification, exchange, combination, substitution, reorganization or recapitalization of the outstanding shares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w:t>
      </w:r>
    </w:p>
    <w:p>
      <w:pPr>
        <w:spacing w:after="0" w:line="202"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(d) </w:t>
      </w:r>
      <w:r>
        <w:rPr>
          <w:sz w:val="20"/>
          <w:szCs w:val="20"/>
          <w:color w:val="auto"/>
        </w:rPr>
        <w:tab/>
      </w:r>
      <w:r>
        <w:rPr>
          <w:rFonts w:ascii="Times New Roman" w:cs="Times New Roman" w:eastAsia="Times New Roman" w:hAnsi="Times New Roman"/>
          <w:sz w:val="17"/>
          <w:szCs w:val="17"/>
          <w:color w:val="auto"/>
        </w:rPr>
        <w:t>effect an Acquisition or to liquidate, dissolve or wind up; or</w:t>
      </w:r>
    </w:p>
    <w:p>
      <w:pPr>
        <w:spacing w:after="0" w:line="22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(e) </w:t>
      </w:r>
      <w:r>
        <w:rPr>
          <w:sz w:val="20"/>
          <w:szCs w:val="20"/>
          <w:color w:val="auto"/>
        </w:rPr>
        <w:tab/>
      </w:r>
      <w:r>
        <w:rPr>
          <w:rFonts w:ascii="Times New Roman" w:cs="Times New Roman" w:eastAsia="Times New Roman" w:hAnsi="Times New Roman"/>
          <w:sz w:val="17"/>
          <w:szCs w:val="17"/>
          <w:color w:val="auto"/>
        </w:rPr>
        <w:t>effect an IPO;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114" w:lineRule="exact"/>
        <w:rPr>
          <w:sz w:val="20"/>
          <w:szCs w:val="20"/>
          <w:color w:val="auto"/>
        </w:rPr>
      </w:pPr>
    </w:p>
    <w:p>
      <w:pPr>
        <w:ind w:left="980" w:right="40" w:firstLine="397"/>
        <w:spacing w:after="0" w:line="263" w:lineRule="auto"/>
        <w:rPr>
          <w:sz w:val="20"/>
          <w:szCs w:val="20"/>
          <w:color w:val="auto"/>
        </w:rPr>
      </w:pPr>
      <w:r>
        <w:rPr>
          <w:rFonts w:ascii="Times New Roman" w:cs="Times New Roman" w:eastAsia="Times New Roman" w:hAnsi="Times New Roman"/>
          <w:sz w:val="18"/>
          <w:szCs w:val="18"/>
          <w:color w:val="auto"/>
        </w:rPr>
        <w:t>(1)  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68" w:lineRule="exact"/>
        <w:rPr>
          <w:sz w:val="20"/>
          <w:szCs w:val="20"/>
          <w:color w:val="auto"/>
        </w:rPr>
      </w:pPr>
    </w:p>
    <w:p>
      <w:pPr>
        <w:ind w:left="980" w:right="40" w:firstLine="397"/>
        <w:spacing w:after="0" w:line="258" w:lineRule="auto"/>
        <w:rPr>
          <w:sz w:val="20"/>
          <w:szCs w:val="20"/>
          <w:color w:val="auto"/>
        </w:rPr>
      </w:pPr>
      <w:r>
        <w:rPr>
          <w:rFonts w:ascii="Times New Roman" w:cs="Times New Roman" w:eastAsia="Times New Roman" w:hAnsi="Times New Roman"/>
          <w:sz w:val="18"/>
          <w:szCs w:val="18"/>
          <w:color w:val="auto"/>
        </w:rPr>
        <w:t>(2)  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180" w:lineRule="exact"/>
        <w:rPr>
          <w:sz w:val="20"/>
          <w:szCs w:val="20"/>
          <w:color w:val="auto"/>
        </w:rPr>
      </w:pPr>
    </w:p>
    <w:p>
      <w:pPr>
        <w:ind w:left="980" w:firstLine="397"/>
        <w:spacing w:after="0" w:line="278" w:lineRule="auto"/>
        <w:rPr>
          <w:sz w:val="20"/>
          <w:szCs w:val="20"/>
          <w:color w:val="auto"/>
        </w:rPr>
      </w:pPr>
      <w:r>
        <w:rPr>
          <w:rFonts w:ascii="Times New Roman" w:cs="Times New Roman" w:eastAsia="Times New Roman" w:hAnsi="Times New Roman"/>
          <w:sz w:val="18"/>
          <w:szCs w:val="18"/>
          <w:color w:val="auto"/>
        </w:rPr>
        <w:t>(3)  with respect to the IPO, at least seven (7) Business Days prior written notice of the date on which the Company proposes to file its registration statement in connection therewith.</w:t>
      </w:r>
    </w:p>
    <w:p>
      <w:pPr>
        <w:spacing w:after="0" w:line="162"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Company will also provide information requested by Holder that is reasonably necessary to enable Holder to comply with Holder’s accounting or reporting requirements.</w:t>
      </w:r>
    </w:p>
    <w:p>
      <w:pPr>
        <w:spacing w:after="0" w:line="37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WARRANTIES OF THE HOLDER.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 represents and warrants to the Company as follows:</w:t>
      </w:r>
    </w:p>
    <w:p>
      <w:pPr>
        <w:spacing w:after="0" w:line="114"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Except for the transfer contemplated in Section 5.4 herein,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80" w:top="268" w:right="559" w:bottom="1440" w:gutter="0" w:footer="0" w:header="0"/>
        </w:sectPr>
      </w:pPr>
    </w:p>
    <w:bookmarkStart w:id="383" w:name="page384"/>
    <w:bookmarkEnd w:id="383"/>
    <w:p>
      <w:pPr>
        <w:ind w:right="20" w:firstLine="98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4" w:lineRule="exact"/>
        <w:rPr>
          <w:sz w:val="20"/>
          <w:szCs w:val="20"/>
          <w:color w:val="auto"/>
        </w:rPr>
      </w:pPr>
    </w:p>
    <w:p>
      <w:pPr>
        <w:ind w:right="180" w:firstLine="98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221"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4" w:lineRule="exact"/>
        <w:rPr>
          <w:sz w:val="20"/>
          <w:szCs w:val="20"/>
          <w:color w:val="auto"/>
        </w:rPr>
      </w:pPr>
    </w:p>
    <w:p>
      <w:pPr>
        <w:jc w:val="both"/>
        <w:ind w:right="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The Holder agrees that the Shares shall be subject to the Market Standoff provisions in Section 2.12 of that certain Amended and Restated Investors’ Rights Agreement by and among the Company and the investors listed on Exhibit A thereto dated April 4, 2014, as such agreement may be amended from time to time.</w:t>
      </w:r>
    </w:p>
    <w:p>
      <w:pPr>
        <w:spacing w:after="0" w:line="175"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Voting Rights</w:t>
      </w:r>
      <w:r>
        <w:rPr>
          <w:rFonts w:ascii="Times New Roman" w:cs="Times New Roman" w:eastAsia="Times New Roman" w:hAnsi="Times New Roman"/>
          <w:sz w:val="18"/>
          <w:szCs w:val="18"/>
          <w:color w:val="auto"/>
        </w:rPr>
        <w:t>. Holder, as a Holder of this Warrant, will not have any voting rights until the exercise of this Warrant and, except as expressly set forth in this Warrant, will not be considered a stockholder for any purpose until the exercise of this Warrant.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384" w:name="page385"/>
    <w:bookmarkEnd w:id="384"/>
    <w:p>
      <w:pPr>
        <w:ind w:left="4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MISCELLANEOUS.</w:t>
      </w:r>
    </w:p>
    <w:p>
      <w:pPr>
        <w:spacing w:after="0" w:line="221" w:lineRule="exact"/>
        <w:rPr>
          <w:sz w:val="20"/>
          <w:szCs w:val="20"/>
          <w:color w:val="auto"/>
        </w:rPr>
      </w:pPr>
    </w:p>
    <w:p>
      <w:pPr>
        <w:ind w:left="980"/>
        <w:spacing w:after="0"/>
        <w:tabs>
          <w:tab w:leader="none" w:pos="1420" w:val="left"/>
        </w:tabs>
        <w:rPr>
          <w:sz w:val="20"/>
          <w:szCs w:val="20"/>
          <w:color w:val="auto"/>
        </w:rPr>
      </w:pPr>
      <w:r>
        <w:rPr>
          <w:rFonts w:ascii="Times New Roman" w:cs="Times New Roman" w:eastAsia="Times New Roman" w:hAnsi="Times New Roman"/>
          <w:sz w:val="18"/>
          <w:szCs w:val="18"/>
          <w:color w:val="auto"/>
        </w:rPr>
        <w:t>5.1 </w:t>
      </w:r>
      <w:r>
        <w:rPr>
          <w:sz w:val="20"/>
          <w:szCs w:val="20"/>
          <w:color w:val="auto"/>
        </w:rPr>
        <w:tab/>
      </w:r>
      <w:r>
        <w:rPr>
          <w:rFonts w:ascii="Times New Roman" w:cs="Times New Roman" w:eastAsia="Times New Roman" w:hAnsi="Times New Roman"/>
          <w:sz w:val="17"/>
          <w:szCs w:val="17"/>
          <w:u w:val="single" w:color="auto"/>
          <w:color w:val="auto"/>
        </w:rPr>
        <w:t>Term and Automatic Conversion Upon Expiration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62"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Shares (and the securities issuable, directly or indirectly, upon conversion of the Shares, if any) shall be imprinted with a legend in substantially the following form:</w:t>
      </w:r>
    </w:p>
    <w:p>
      <w:pPr>
        <w:spacing w:after="0" w:line="55" w:lineRule="exact"/>
        <w:rPr>
          <w:sz w:val="20"/>
          <w:szCs w:val="20"/>
          <w:color w:val="auto"/>
        </w:rPr>
      </w:pPr>
    </w:p>
    <w:p>
      <w:pPr>
        <w:ind w:left="980" w:right="100"/>
        <w:spacing w:after="0" w:line="254"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OR THE SECURITIES LAWS OF ANY STATE AND, EXCEPT AS SET FORTH IN THAT CERTAIN WARRANT TO PURCHASE STOCK ISSUED BY THE ISSUER TO SILICON VALLEY BANK DATED MAY , 2015, MAY NOT BE OFFERED, SOLD, PLEDGED OR OTHERWISE TRANSFERRED UNLESS AND UNTIL REGISTERED UNDER SAID ACT AND LAWS OR IN FORM AND SUBSTANCE SATISFACTORY TO THE ISSUER, SUCH OFFER, SALE, PLEDGE OR OTHER TRANSFER IS EXEMPT FROM SUCH REGISTRATION.</w:t>
      </w:r>
    </w:p>
    <w:p>
      <w:pPr>
        <w:spacing w:after="0" w:line="77"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84" w:lineRule="exact"/>
        <w:rPr>
          <w:sz w:val="20"/>
          <w:szCs w:val="20"/>
          <w:color w:val="auto"/>
        </w:rPr>
      </w:pPr>
    </w:p>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Shares issuable upon exercise of this Warrant (and the securities issuable, directly or indirectly, upon conversion of the Shares, if any) may not be transferred or assigned in whole or in part</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385" w:name="page386"/>
    <w:bookmarkEnd w:id="385"/>
    <w:p>
      <w:pPr>
        <w:ind w:right="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8" w:lineRule="exact"/>
        <w:rPr>
          <w:sz w:val="20"/>
          <w:szCs w:val="20"/>
          <w:color w:val="auto"/>
        </w:rPr>
      </w:pPr>
    </w:p>
    <w:p>
      <w:pPr>
        <w:ind w:firstLine="982"/>
        <w:spacing w:after="0" w:line="266"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Transfer Procedure</w:t>
      </w:r>
      <w:r>
        <w:rPr>
          <w:rFonts w:ascii="Times New Roman" w:cs="Times New Roman" w:eastAsia="Times New Roman" w:hAnsi="Times New Roman"/>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the representations, warranties and covenants set forth in Section 4 hereof).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9" w:lineRule="exact"/>
        <w:rPr>
          <w:sz w:val="20"/>
          <w:szCs w:val="20"/>
          <w:color w:val="auto"/>
        </w:rPr>
      </w:pPr>
    </w:p>
    <w:p>
      <w:pPr>
        <w:ind w:right="20" w:firstLine="982"/>
        <w:spacing w:after="0" w:line="274"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firstLine="7"/>
        <w:spacing w:after="0" w:line="252" w:lineRule="auto"/>
        <w:tabs>
          <w:tab w:leader="none" w:pos="31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386" w:name="page387"/>
    <w:bookmarkEnd w:id="386"/>
    <w:p>
      <w:pPr>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5.5. All notices to Holder shall be addressed as follows until the Company receives notice of a change of address in connection with a transfer or otherwise:</w:t>
      </w:r>
    </w:p>
    <w:p>
      <w:pPr>
        <w:spacing w:after="0" w:line="1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SVB Financial Group</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Treasury Department</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3003 Tasman Drive, HC 215</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Telephone: (408) 654-7400</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Facsimile: (408) 988-8317</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address: ###</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2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Sarah Blanchard</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500 Sansome Street, Suite 200</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Telephone: ###</w:t>
      </w:r>
    </w:p>
    <w:p>
      <w:pPr>
        <w:spacing w:after="0" w:line="2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Michael Esquivel</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801 California St.</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Mountain View, CA 94041</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Telephone: (650) 998-8500</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w:t>
      </w:r>
    </w:p>
    <w:p>
      <w:pPr>
        <w:spacing w:after="0" w:line="215" w:lineRule="exact"/>
        <w:rPr>
          <w:sz w:val="20"/>
          <w:szCs w:val="20"/>
          <w:color w:val="auto"/>
        </w:rPr>
      </w:pPr>
    </w:p>
    <w:p>
      <w:pPr>
        <w:jc w:val="both"/>
        <w:ind w:right="4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75" w:lineRule="exact"/>
        <w:rPr>
          <w:sz w:val="20"/>
          <w:szCs w:val="20"/>
          <w:color w:val="auto"/>
        </w:rPr>
      </w:pPr>
    </w:p>
    <w:p>
      <w:pPr>
        <w:ind w:right="520" w:firstLine="982"/>
        <w:spacing w:after="0" w:line="308"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Attorney’s Fees</w:t>
      </w:r>
      <w:r>
        <w:rPr>
          <w:rFonts w:ascii="Times New Roman" w:cs="Times New Roman" w:eastAsia="Times New Roman" w:hAnsi="Times New Roman"/>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0" w:lineRule="exact"/>
        <w:rPr>
          <w:sz w:val="20"/>
          <w:szCs w:val="20"/>
          <w:color w:val="auto"/>
        </w:rPr>
      </w:pPr>
    </w:p>
    <w:p>
      <w:pPr>
        <w:ind w:right="1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Counterparts; Facsimile/Electronic Signatures</w:t>
      </w:r>
      <w:r>
        <w:rPr>
          <w:rFonts w:ascii="Times New Roman" w:cs="Times New Roman" w:eastAsia="Times New Roman" w:hAnsi="Times New Roman"/>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5"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387" w:name="page388"/>
    <w:bookmarkEnd w:id="387"/>
    <w:p>
      <w:pPr>
        <w:ind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is any day that is not a Saturday, Sunday or a day on which Silicon Valley Bank is closed.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8" w:right="539" w:bottom="1440" w:gutter="0" w:footer="0" w:header="0"/>
        </w:sectPr>
      </w:pPr>
    </w:p>
    <w:bookmarkStart w:id="388" w:name="page389"/>
    <w:bookmarkEnd w:id="388"/>
    <w:p>
      <w:pPr>
        <w:ind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2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Sean Duffy</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(Print)</w:t>
      </w:r>
    </w:p>
    <w:p>
      <w:pPr>
        <w:spacing w:after="0" w:line="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CEO, Cofounder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22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Drew Beito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Drew Beito</w:t>
      </w:r>
    </w:p>
    <w:p>
      <w:pPr>
        <w:spacing w:after="0" w:line="26" w:lineRule="exact"/>
        <w:rPr>
          <w:sz w:val="20"/>
          <w:szCs w:val="20"/>
          <w:color w:val="auto"/>
        </w:rPr>
      </w:pPr>
    </w:p>
    <w:p>
      <w:pPr>
        <w:jc w:val="center"/>
        <w:ind w:right="9220"/>
        <w:spacing w:after="0"/>
        <w:rPr>
          <w:sz w:val="20"/>
          <w:szCs w:val="20"/>
          <w:color w:val="auto"/>
        </w:rPr>
      </w:pPr>
      <w:r>
        <w:rPr>
          <w:rFonts w:ascii="Times New Roman" w:cs="Times New Roman" w:eastAsia="Times New Roman" w:hAnsi="Times New Roman"/>
          <w:sz w:val="18"/>
          <w:szCs w:val="18"/>
          <w:color w:val="auto"/>
        </w:rPr>
        <w:t>(Print)</w:t>
      </w:r>
    </w:p>
    <w:p>
      <w:pPr>
        <w:spacing w:after="0" w:line="7" w:lineRule="exact"/>
        <w:rPr>
          <w:sz w:val="20"/>
          <w:szCs w:val="20"/>
          <w:color w:val="auto"/>
        </w:rPr>
      </w:pPr>
    </w:p>
    <w:p>
      <w:pPr>
        <w:jc w:val="center"/>
        <w:ind w:right="9260"/>
        <w:spacing w:after="0"/>
        <w:tabs>
          <w:tab w:leader="none" w:pos="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Warrant to Purchase Stock]</w:t>
      </w:r>
    </w:p>
    <w:p>
      <w:pPr>
        <w:sectPr>
          <w:pgSz w:w="11900" w:h="16838" w:orient="portrait"/>
          <w:cols w:equalWidth="0" w:num="1">
            <w:col w:w="10920"/>
          </w:cols>
          <w:pgMar w:left="480" w:top="267" w:right="499" w:bottom="1440" w:gutter="0" w:footer="0" w:header="0"/>
        </w:sectPr>
      </w:pPr>
    </w:p>
    <w:bookmarkStart w:id="389" w:name="page390"/>
    <w:bookmarkEnd w:id="389"/>
    <w:tbl>
      <w:tblPr>
        <w:tblLayout w:type="fixed"/>
        <w:tblInd w:w="440" w:type="dxa"/>
        <w:tblCellMar>
          <w:top w:w="0" w:type="dxa"/>
          <w:left w:w="0" w:type="dxa"/>
          <w:bottom w:w="0" w:type="dxa"/>
          <w:right w:w="0" w:type="dxa"/>
        </w:tblCellMar>
      </w:tblPr>
      <w:tr>
        <w:trPr>
          <w:trHeight w:val="233"/>
        </w:trPr>
        <w:tc>
          <w:tcPr>
            <w:tcW w:w="41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APPENDIX</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87"/>
        </w:trPr>
        <w:tc>
          <w:tcPr>
            <w:tcW w:w="4120" w:type="dxa"/>
            <w:vAlign w:val="bottom"/>
          </w:tcPr>
          <w:p>
            <w:pPr>
              <w:spacing w:after="0"/>
              <w:rPr>
                <w:sz w:val="24"/>
                <w:szCs w:val="24"/>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NOTICE OF EXERCISE</w:t>
            </w:r>
          </w:p>
        </w:tc>
        <w:tc>
          <w:tcPr>
            <w:tcW w:w="4160" w:type="dxa"/>
            <w:vAlign w:val="bottom"/>
            <w:gridSpan w:val="3"/>
          </w:tcPr>
          <w:p>
            <w:pPr>
              <w:spacing w:after="0"/>
              <w:rPr>
                <w:sz w:val="24"/>
                <w:szCs w:val="24"/>
                <w:color w:val="auto"/>
              </w:rPr>
            </w:pPr>
          </w:p>
        </w:tc>
      </w:tr>
      <w:tr>
        <w:trPr>
          <w:trHeight w:val="408"/>
        </w:trPr>
        <w:tc>
          <w:tcPr>
            <w:tcW w:w="5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    The undersigned Holder hereby exercises its right to purchase           </w:t>
            </w:r>
          </w:p>
        </w:tc>
        <w:tc>
          <w:tcPr>
            <w:tcW w:w="120" w:type="dxa"/>
            <w:vAlign w:val="bottom"/>
          </w:tcPr>
          <w:p>
            <w:pPr>
              <w:spacing w:after="0"/>
              <w:rPr>
                <w:sz w:val="24"/>
                <w:szCs w:val="24"/>
                <w:color w:val="auto"/>
              </w:rPr>
            </w:pPr>
          </w:p>
        </w:tc>
        <w:tc>
          <w:tcPr>
            <w:tcW w:w="4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7"/>
              </w:rPr>
              <w:t>shares of the Common/Series    Preferred [circle one] Stock of</w:t>
            </w:r>
          </w:p>
        </w:tc>
      </w:tr>
      <w:tr>
        <w:trPr>
          <w:trHeight w:val="20"/>
        </w:trPr>
        <w:tc>
          <w:tcPr>
            <w:tcW w:w="4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78" w:lineRule="auto"/>
        <w:rPr>
          <w:sz w:val="20"/>
          <w:szCs w:val="20"/>
          <w:color w:val="auto"/>
        </w:rPr>
      </w:pPr>
      <w:r>
        <w:rPr>
          <w:rFonts w:ascii="Times New Roman" w:cs="Times New Roman" w:eastAsia="Times New Roman" w:hAnsi="Times New Roman"/>
          <w:sz w:val="18"/>
          <w:szCs w:val="18"/>
          <w:color w:val="auto"/>
        </w:rPr>
        <w:t>OMADA HEALTH, INC. (the “Company”) in accordance with the attached Warrant To Purchase Stock, and tenders payment of the aggregate Warrant Price for such shares as follows:</w:t>
      </w:r>
    </w:p>
    <w:p>
      <w:pPr>
        <w:spacing w:after="0" w:line="5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4"/>
              </w:rPr>
              <w:t>[ </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check in the amount of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payable to order of the Company enclosed herewith</w:t>
            </w:r>
          </w:p>
        </w:tc>
      </w:tr>
      <w:tr>
        <w:trPr>
          <w:trHeight w:val="20"/>
        </w:trPr>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55"/>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4"/>
              </w:rPr>
              <w:t>[ </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1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Wire transfer of immediately available funds to the Company’s account</w:t>
            </w:r>
          </w:p>
        </w:tc>
      </w:tr>
      <w:tr>
        <w:trPr>
          <w:trHeight w:val="33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4"/>
              </w:rPr>
              <w:t>[ </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1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Cashless Exercise pursuant to Section 1.2 of the Warrant</w:t>
            </w:r>
          </w:p>
        </w:tc>
      </w:tr>
      <w:tr>
        <w:trPr>
          <w:trHeight w:val="29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4"/>
              </w:rPr>
              <w:t>[ </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Other [Describe] 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r>
    </w:tbl>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304800</wp:posOffset>
            </wp:positionV>
            <wp:extent cx="27006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287655</wp:posOffset>
            </wp:positionV>
            <wp:extent cx="27006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00655"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576580</wp:posOffset>
            </wp:positionV>
            <wp:extent cx="27006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(Address)</w:t>
      </w:r>
    </w:p>
    <w:p>
      <w:pPr>
        <w:spacing w:after="0" w:line="221"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3.  By its execution below and for the benefit of the Company, Holder hereby restates each of the representations and warranties in Section 4 of the Warrant to Purchase Stock as of the date hereof.</w:t>
      </w:r>
    </w:p>
    <w:p>
      <w:pPr>
        <w:spacing w:after="0" w:line="18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287655</wp:posOffset>
            </wp:positionV>
            <wp:extent cx="27686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41173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41173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41173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41173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1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80"/>
          </w:cols>
          <w:pgMar w:left="480" w:top="268" w:right="639" w:bottom="1440" w:gutter="0" w:footer="0" w:header="0"/>
        </w:sectPr>
      </w:pPr>
    </w:p>
    <w:bookmarkStart w:id="390" w:name="page391"/>
    <w:bookmarkEnd w:id="39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Company Capitalization Table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8" w:right="1440"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FF4338"/>
        </w:rPr>
        <w:t>SEC ID CODE 20170510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1392555" cy="153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92555" cy="153035"/>
                    </a:xfrm>
                    <a:prstGeom prst="rect">
                      <a:avLst/>
                    </a:prstGeom>
                    <a:noFill/>
                  </pic:spPr>
                </pic:pic>
              </a:graphicData>
            </a:graphic>
          </wp:anchor>
        </w:drawing>
      </w:r>
    </w:p>
    <w:p>
      <w:pPr>
        <w:spacing w:after="0" w:line="21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Omada Health,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130,262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Type/Series of Stock: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Price: $1.08 per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Date: August 29, 2017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 August 29, 2027 See also Section 5.1(b).</w:t>
      </w:r>
    </w:p>
    <w:p>
      <w:pPr>
        <w:spacing w:after="0" w:line="105" w:lineRule="exact"/>
        <w:rPr>
          <w:sz w:val="20"/>
          <w:szCs w:val="20"/>
          <w:color w:val="auto"/>
        </w:rPr>
      </w:pPr>
    </w:p>
    <w:p>
      <w:pPr>
        <w:ind w:left="1300" w:right="620" w:hanging="1299"/>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Credit Facility:</w:t>
      </w:r>
      <w:r>
        <w:rPr>
          <w:sz w:val="20"/>
          <w:szCs w:val="20"/>
          <w:color w:val="auto"/>
        </w:rPr>
        <w:tab/>
      </w:r>
      <w:r>
        <w:rPr>
          <w:rFonts w:ascii="Times New Roman" w:cs="Times New Roman" w:eastAsia="Times New Roman" w:hAnsi="Times New Roman"/>
          <w:sz w:val="18"/>
          <w:szCs w:val="18"/>
          <w:color w:val="auto"/>
        </w:rPr>
        <w:t>This Warrant to Purchase Stock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is issued in connection with that certain Third Amendment to Loan and Security Agreement of even date herewith between Silicon Valley Bank and the Company (the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the above-stated Type/Series of Stock (the “</w:t>
      </w:r>
      <w:r>
        <w:rPr>
          <w:rFonts w:ascii="Times New Roman" w:cs="Times New Roman" w:eastAsia="Times New Roman" w:hAnsi="Times New Roman"/>
          <w:sz w:val="18"/>
          <w:szCs w:val="18"/>
          <w:b w:val="1"/>
          <w:bCs w:val="1"/>
          <w:u w:val="single" w:color="auto"/>
          <w:color w:val="auto"/>
        </w:rPr>
        <w:t>Class</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EXERCISE.</w:t>
      </w:r>
    </w:p>
    <w:p>
      <w:pPr>
        <w:spacing w:after="0" w:line="222" w:lineRule="exact"/>
        <w:rPr>
          <w:sz w:val="20"/>
          <w:szCs w:val="20"/>
          <w:color w:val="auto"/>
        </w:rPr>
      </w:pPr>
    </w:p>
    <w:p>
      <w:pPr>
        <w:ind w:right="140" w:firstLine="982"/>
        <w:spacing w:after="0" w:line="277"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67" w:lineRule="exact"/>
        <w:rPr>
          <w:sz w:val="20"/>
          <w:szCs w:val="20"/>
          <w:color w:val="auto"/>
        </w:rPr>
      </w:pPr>
    </w:p>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ectPr>
          <w:pgSz w:w="11900" w:h="16838" w:orient="portrait"/>
          <w:cols w:equalWidth="0" w:num="1">
            <w:col w:w="10920"/>
          </w:cols>
          <w:pgMar w:left="480" w:top="117" w:right="49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shall issue to the Holder such number of fully paid and non-assessable Shares as are computed using the following formula:</w:t>
      </w:r>
    </w:p>
    <w:p>
      <w:pPr>
        <w:spacing w:after="0" w:line="24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Y(A-B)/A</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114" w:lineRule="exact"/>
        <w:rPr>
          <w:sz w:val="20"/>
          <w:szCs w:val="20"/>
          <w:color w:val="auto"/>
        </w:rPr>
      </w:pPr>
    </w:p>
    <w:p>
      <w:pPr>
        <w:ind w:left="1760" w:right="20" w:hanging="380"/>
        <w:spacing w:after="0" w:line="278" w:lineRule="auto"/>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 (inclusive of the Shares surrendered to the Company in payment of the aggregate Warrant Price);</w:t>
      </w:r>
    </w:p>
    <w:p>
      <w:pPr>
        <w:spacing w:after="0" w:line="55" w:lineRule="exact"/>
        <w:rPr>
          <w:sz w:val="20"/>
          <w:szCs w:val="20"/>
          <w:color w:val="auto"/>
        </w:rPr>
      </w:pPr>
    </w:p>
    <w:p>
      <w:pPr>
        <w:ind w:left="1380" w:right="2960" w:hanging="9"/>
        <w:spacing w:after="0" w:line="402" w:lineRule="auto"/>
        <w:rPr>
          <w:sz w:val="20"/>
          <w:szCs w:val="20"/>
          <w:color w:val="auto"/>
        </w:rPr>
      </w:pPr>
      <w:r>
        <w:rPr>
          <w:rFonts w:ascii="Times New Roman" w:cs="Times New Roman" w:eastAsia="Times New Roman" w:hAnsi="Times New Roman"/>
          <w:sz w:val="18"/>
          <w:szCs w:val="18"/>
          <w:color w:val="auto"/>
        </w:rPr>
        <w:t>A = the Fair Market Value (as determined pursuant to Section 1.3 below) of one Share; and B = the Warrant Price.</w:t>
      </w:r>
    </w:p>
    <w:p>
      <w:pPr>
        <w:spacing w:after="0" w:line="56" w:lineRule="exact"/>
        <w:rPr>
          <w:sz w:val="20"/>
          <w:szCs w:val="20"/>
          <w:color w:val="auto"/>
        </w:rPr>
      </w:pPr>
    </w:p>
    <w:p>
      <w:pPr>
        <w:ind w:right="2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4" w:lineRule="exact"/>
        <w:rPr>
          <w:sz w:val="20"/>
          <w:szCs w:val="20"/>
          <w:color w:val="auto"/>
        </w:rPr>
      </w:pPr>
    </w:p>
    <w:p>
      <w:pPr>
        <w:ind w:right="3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5" w:lineRule="exact"/>
        <w:rPr>
          <w:sz w:val="20"/>
          <w:szCs w:val="20"/>
          <w:color w:val="auto"/>
        </w:rPr>
      </w:pPr>
    </w:p>
    <w:p>
      <w:pPr>
        <w:ind w:right="160" w:firstLine="982"/>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Treatment of Warrant Upon Acquisition of Company</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393" w:name="page394"/>
    <w:bookmarkEnd w:id="393"/>
    <w:p>
      <w:pPr>
        <w:ind w:right="40" w:firstLine="98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“Cash/Public Acquisition”),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89"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(c)  Upon the closing of any Acquisition other than a Cash/Public Acquisition defined above, either (i)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or (ii) if the acquiring, successor or surviving entity shall not have assumed this Warrant, then the aggregate Warrant Price shall be reduced to the greater of (x) One Dollar ($1.00) or (y) the aggregate par value of the Shares and this Warrant shall be deemed to have been cashless exercised in full pursuant to Section 1.2 above as of immediately prior to the consummation of such Acquisition.</w:t>
      </w:r>
    </w:p>
    <w:p>
      <w:pPr>
        <w:spacing w:after="0" w:line="180"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(d)  As used in this Warrant, “</w:t>
      </w:r>
      <w:r>
        <w:rPr>
          <w:rFonts w:ascii="Times New Roman" w:cs="Times New Roman" w:eastAsia="Times New Roman" w:hAnsi="Times New Roman"/>
          <w:sz w:val="18"/>
          <w:szCs w:val="18"/>
          <w:b w:val="1"/>
          <w:bCs w:val="1"/>
          <w:u w:val="single" w:color="auto"/>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394" w:name="page395"/>
    <w:bookmarkEnd w:id="39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ADJUSTMENTS TO THE SHARES AND WARRANT PRICE.</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xml:space="preserve"> If the Company declares or pays a dividend or distribution on the outstanding shares of the</w:t>
      </w:r>
    </w:p>
    <w:p>
      <w:pPr>
        <w:spacing w:after="0" w:line="2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4"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authorized officer, including computations of such adjustment and the Warrant Price, Class and number of Shares in effect upon the date of such adjustment.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8" w:right="539" w:bottom="1440" w:gutter="0" w:footer="0" w:header="0"/>
        </w:sectPr>
      </w:pPr>
    </w:p>
    <w:bookmarkStart w:id="395" w:name="page396"/>
    <w:bookmarkEnd w:id="395"/>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REPRESENTATIONS AND COVENANTS OF THE COMPANY.</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1" w:lineRule="exact"/>
        <w:rPr>
          <w:sz w:val="20"/>
          <w:szCs w:val="20"/>
          <w:color w:val="auto"/>
        </w:rPr>
      </w:pPr>
    </w:p>
    <w:p>
      <w:pPr>
        <w:ind w:right="260" w:firstLine="982"/>
        <w:spacing w:after="0" w:line="263" w:lineRule="auto"/>
        <w:rPr>
          <w:sz w:val="20"/>
          <w:szCs w:val="20"/>
          <w:color w:val="auto"/>
        </w:rPr>
      </w:pPr>
      <w:r>
        <w:rPr>
          <w:rFonts w:ascii="Times New Roman" w:cs="Times New Roman" w:eastAsia="Times New Roman" w:hAnsi="Times New Roman"/>
          <w:sz w:val="18"/>
          <w:szCs w:val="18"/>
          <w:color w:val="auto"/>
        </w:rPr>
        <w:t>(a)  The initial Warrant Price referenced on the first page of this Warrant is not greater than the price per share obtained in connection with Borrower’s most recent valuation report approved by the Company’s Board of Directors prior to the Issue Date hereof for purposes of the Company’s compliance with Section 409A of the Internal Revenue Code of 1986, as amended.</w:t>
      </w:r>
    </w:p>
    <w:p>
      <w:pPr>
        <w:spacing w:after="0" w:line="175"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(b)  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Company’s capitalization table attached hereto as Schedule 1 is true and complete, in all material respects, as of the Issue Date.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If the Company proposes at any time to:</w:t>
      </w:r>
    </w:p>
    <w:p>
      <w:pPr>
        <w:spacing w:after="0" w:line="221" w:lineRule="exact"/>
        <w:rPr>
          <w:sz w:val="20"/>
          <w:szCs w:val="20"/>
          <w:color w:val="auto"/>
        </w:rPr>
      </w:pPr>
    </w:p>
    <w:p>
      <w:pPr>
        <w:ind w:right="140" w:firstLine="982"/>
        <w:spacing w:after="0" w:line="278" w:lineRule="auto"/>
        <w:rPr>
          <w:sz w:val="20"/>
          <w:szCs w:val="20"/>
          <w:color w:val="auto"/>
        </w:rPr>
      </w:pPr>
      <w:r>
        <w:rPr>
          <w:rFonts w:ascii="Times New Roman" w:cs="Times New Roman" w:eastAsia="Times New Roman" w:hAnsi="Times New Roman"/>
          <w:sz w:val="18"/>
          <w:szCs w:val="18"/>
          <w:color w:val="auto"/>
        </w:rPr>
        <w:t>(a)  declare any dividend or distribution upon the outstanding shares of the Class or common stock, whether in cash, property, stock, or other securities and whether or not a regular cash dividend;</w:t>
      </w:r>
    </w:p>
    <w:p>
      <w:pPr>
        <w:spacing w:after="0" w:line="162" w:lineRule="exact"/>
        <w:rPr>
          <w:sz w:val="20"/>
          <w:szCs w:val="20"/>
          <w:color w:val="auto"/>
        </w:rPr>
      </w:pPr>
    </w:p>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t>(b)  offer for subscription or sale pro rata to the holders of the outstanding shares of the Class any additional shares of any class or series of the Company’s stock (other than pursuant to contractual pre-emptive rights);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effect any reclassification, exchange, combination, substitution, reorganization or recapitalization of the outstanding shares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effect an Acquisition or to liquidate, dissolve or wind up; or</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effect an IPO;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114" w:lineRule="exact"/>
        <w:rPr>
          <w:sz w:val="20"/>
          <w:szCs w:val="20"/>
          <w:color w:val="auto"/>
        </w:rPr>
      </w:pPr>
    </w:p>
    <w:p>
      <w:pPr>
        <w:ind w:left="980" w:right="20" w:firstLine="397"/>
        <w:spacing w:after="0" w:line="263" w:lineRule="auto"/>
        <w:rPr>
          <w:sz w:val="20"/>
          <w:szCs w:val="20"/>
          <w:color w:val="auto"/>
        </w:rPr>
      </w:pPr>
      <w:r>
        <w:rPr>
          <w:rFonts w:ascii="Times New Roman" w:cs="Times New Roman" w:eastAsia="Times New Roman" w:hAnsi="Times New Roman"/>
          <w:sz w:val="18"/>
          <w:szCs w:val="18"/>
          <w:color w:val="auto"/>
        </w:rPr>
        <w:t>(1)  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480" w:top="268" w:right="579" w:bottom="1440" w:gutter="0" w:footer="0" w:header="0"/>
        </w:sectPr>
      </w:pPr>
    </w:p>
    <w:bookmarkStart w:id="396" w:name="page397"/>
    <w:bookmarkEnd w:id="396"/>
    <w:p>
      <w:pPr>
        <w:ind w:left="980" w:right="80" w:firstLine="397"/>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  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73" w:lineRule="exact"/>
        <w:rPr>
          <w:sz w:val="20"/>
          <w:szCs w:val="20"/>
          <w:color w:val="auto"/>
        </w:rPr>
      </w:pPr>
    </w:p>
    <w:p>
      <w:pPr>
        <w:ind w:left="980" w:right="40" w:firstLine="397"/>
        <w:spacing w:after="0" w:line="278" w:lineRule="auto"/>
        <w:rPr>
          <w:sz w:val="20"/>
          <w:szCs w:val="20"/>
          <w:color w:val="auto"/>
        </w:rPr>
      </w:pPr>
      <w:r>
        <w:rPr>
          <w:rFonts w:ascii="Times New Roman" w:cs="Times New Roman" w:eastAsia="Times New Roman" w:hAnsi="Times New Roman"/>
          <w:sz w:val="18"/>
          <w:szCs w:val="18"/>
          <w:color w:val="auto"/>
        </w:rPr>
        <w:t>(3)  with respect to the IPO, at least seven (7) Business Days prior written notice of the date on which the Company proposes to file its registration statement in connection therewith.</w:t>
      </w:r>
    </w:p>
    <w:p>
      <w:pPr>
        <w:spacing w:after="0" w:line="162"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8"/>
          <w:szCs w:val="18"/>
          <w:color w:val="auto"/>
        </w:rPr>
        <w:t>Company will also provide information requested by Holder that is reasonably necessary to enable Holder to comply with Holder’s accounting or reporting requirements.</w:t>
      </w:r>
    </w:p>
    <w:p>
      <w:pPr>
        <w:spacing w:after="0" w:line="37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WARRANTIES OF THE HOLDER.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 represents and warrants to the Company as follows:</w:t>
      </w:r>
    </w:p>
    <w:p>
      <w:pPr>
        <w:spacing w:after="0" w:line="221" w:lineRule="exact"/>
        <w:rPr>
          <w:sz w:val="20"/>
          <w:szCs w:val="20"/>
          <w:color w:val="auto"/>
        </w:rPr>
      </w:pPr>
    </w:p>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Except for the transfer contemplated in Section 5.4 herein,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0"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4" w:lineRule="exact"/>
        <w:rPr>
          <w:sz w:val="20"/>
          <w:szCs w:val="20"/>
          <w:color w:val="auto"/>
        </w:rPr>
      </w:pPr>
    </w:p>
    <w:p>
      <w:pPr>
        <w:ind w:right="160" w:firstLine="98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397" w:name="page398"/>
    <w:bookmarkEnd w:id="397"/>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4" w:lineRule="exact"/>
        <w:rPr>
          <w:sz w:val="20"/>
          <w:szCs w:val="20"/>
          <w:color w:val="auto"/>
        </w:rPr>
      </w:pPr>
    </w:p>
    <w:p>
      <w:pPr>
        <w:jc w:val="both"/>
        <w:ind w:right="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The Holder agrees that the Shares shall be subject to the Market Standoff provisions in Section 2.12 of that certain Amended and Restated Investors’ Rights Agreement by and among the Company and the investors listed on Exhibit A thereto dated May 9, 2017, as such agreement may be amended from time to time.</w:t>
      </w:r>
    </w:p>
    <w:p>
      <w:pPr>
        <w:spacing w:after="0" w:line="175"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Voting Rights</w:t>
      </w:r>
      <w:r>
        <w:rPr>
          <w:rFonts w:ascii="Times New Roman" w:cs="Times New Roman" w:eastAsia="Times New Roman" w:hAnsi="Times New Roman"/>
          <w:sz w:val="18"/>
          <w:szCs w:val="18"/>
          <w:color w:val="auto"/>
        </w:rPr>
        <w:t>. Holder, as a Holder of this Warrant, will not have any voting rights until the exercise of this Warrant and, except as expressly set forth in this Warrant, will not be considered a stockholder for any purpose until the exercise of this Warrant.</w:t>
      </w:r>
    </w:p>
    <w:p>
      <w:pPr>
        <w:spacing w:after="0" w:line="3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 and Automatic Conversion Upon Expiration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62"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Shares (and the securities issuable, directly or indirectly, upon conversion of the Shares, if any) shall be imprinted with a legend in substantially the following form:</w:t>
      </w:r>
    </w:p>
    <w:p>
      <w:pPr>
        <w:spacing w:after="0" w:line="55" w:lineRule="exact"/>
        <w:rPr>
          <w:sz w:val="20"/>
          <w:szCs w:val="20"/>
          <w:color w:val="auto"/>
        </w:rPr>
      </w:pPr>
    </w:p>
    <w:p>
      <w:pPr>
        <w:ind w:left="980" w:right="120"/>
        <w:spacing w:after="0" w:line="254"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OR THE SECURITIES LAWS OF ANY STATE AND, EXCEPT AS SET FORTH IN THAT CERTAIN WARRANT TO PURCHASE STOCK ISSUED BY THE ISSUER TO SILICON VALLEY BANK DATED AUGUST 2017, MAY NOT BE OFFERED, SOLD, PLEDGED OR OTHERWISE TRANSFERRED UNLESS AND UNTIL REGISTERED UNDER SAID ACT AND LAWS OR IN FORM AND SUBSTANCE SATISFACTORY TO THE ISSUER, SUCH OFFER, SALE, PLEDGE OR OTHER TRANSFER IS EXEMPT FROM SUCH REGISTRATION.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398" w:name="page399"/>
    <w:bookmarkEnd w:id="398"/>
    <w:p>
      <w:pPr>
        <w:ind w:left="98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84" w:lineRule="exact"/>
        <w:rPr>
          <w:sz w:val="20"/>
          <w:szCs w:val="20"/>
          <w:color w:val="auto"/>
        </w:rPr>
      </w:pPr>
    </w:p>
    <w:p>
      <w:pPr>
        <w:ind w:right="60" w:firstLine="982"/>
        <w:spacing w:after="0" w:line="270"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Compliance with Securities Laws on Transfer</w:t>
      </w:r>
      <w:r>
        <w:rPr>
          <w:rFonts w:ascii="Times New Roman" w:cs="Times New Roman" w:eastAsia="Times New Roman" w:hAnsi="Times New Roman"/>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72"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the representations, warranties and covenants set forth in Section 4 hereof).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399" w:name="page400"/>
    <w:bookmarkEnd w:id="399"/>
    <w:p>
      <w:pPr>
        <w:ind w:right="20" w:firstLine="982"/>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firstLine="7"/>
        <w:spacing w:after="0" w:line="270" w:lineRule="auto"/>
        <w:tabs>
          <w:tab w:leader="none" w:pos="312"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SVB Financial Group</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Treasury Department</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3003 Tasman Drive, HC 215</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Telephone: (408) 654-7400</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Facsimile: (408) 988-8317</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address: ###</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2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Sarah Blanchard</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500 Sansome Street, Suite 200</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Telephone: ###</w:t>
      </w:r>
    </w:p>
    <w:p>
      <w:pPr>
        <w:spacing w:after="0" w:line="9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Attn: Michael Esquivel</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801 California St.</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Mountain View, CA 94041</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Telephone: (650) 998-8500</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jc w:val="both"/>
        <w:ind w:right="4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75" w:lineRule="exact"/>
        <w:rPr>
          <w:sz w:val="20"/>
          <w:szCs w:val="20"/>
          <w:color w:val="auto"/>
        </w:rPr>
      </w:pPr>
    </w:p>
    <w:p>
      <w:pPr>
        <w:ind w:right="520" w:firstLine="982"/>
        <w:spacing w:after="0" w:line="308"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Attorney’s Fees</w:t>
      </w:r>
      <w:r>
        <w:rPr>
          <w:rFonts w:ascii="Times New Roman" w:cs="Times New Roman" w:eastAsia="Times New Roman" w:hAnsi="Times New Roman"/>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400" w:name="page401"/>
    <w:bookmarkEnd w:id="400"/>
    <w:p>
      <w:pPr>
        <w:ind w:right="14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5.8  </w:t>
      </w:r>
      <w:r>
        <w:rPr>
          <w:rFonts w:ascii="Times New Roman" w:cs="Times New Roman" w:eastAsia="Times New Roman" w:hAnsi="Times New Roman"/>
          <w:sz w:val="18"/>
          <w:szCs w:val="18"/>
          <w:u w:val="single" w:color="auto"/>
          <w:color w:val="auto"/>
        </w:rPr>
        <w:t>Counterparts; Facsimile/Electronic Signatures</w:t>
      </w:r>
      <w:r>
        <w:rPr>
          <w:rFonts w:ascii="Times New Roman" w:cs="Times New Roman" w:eastAsia="Times New Roman" w:hAnsi="Times New Roman"/>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5" w:lineRule="exact"/>
        <w:rPr>
          <w:sz w:val="20"/>
          <w:szCs w:val="20"/>
          <w:color w:val="auto"/>
        </w:rPr>
      </w:pPr>
    </w:p>
    <w:p>
      <w:pPr>
        <w:ind w:right="3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162"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is any day that is not a Saturday, Sunday or a day on which Silicon Valley Bank is closed.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401" w:name="page402"/>
    <w:bookmarkEnd w:id="401"/>
    <w:p>
      <w:pPr>
        <w:ind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15875</wp:posOffset>
            </wp:positionV>
            <wp:extent cx="242887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Sarah Blanchard</w:t>
      </w:r>
    </w:p>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(Print)</w:t>
      </w:r>
    </w:p>
    <w:p>
      <w:pPr>
        <w:spacing w:after="0" w:line="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SILICON VALLEY BANK</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15875</wp:posOffset>
            </wp:positionV>
            <wp:extent cx="242887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Brandon Clark</w:t>
      </w:r>
    </w:p>
    <w:p>
      <w:pPr>
        <w:spacing w:after="0" w:line="26" w:lineRule="exact"/>
        <w:rPr>
          <w:sz w:val="20"/>
          <w:szCs w:val="20"/>
          <w:color w:val="auto"/>
        </w:rPr>
      </w:pPr>
    </w:p>
    <w:p>
      <w:pPr>
        <w:jc w:val="center"/>
        <w:ind w:right="9380"/>
        <w:spacing w:after="0"/>
        <w:rPr>
          <w:sz w:val="20"/>
          <w:szCs w:val="20"/>
          <w:color w:val="auto"/>
        </w:rPr>
      </w:pPr>
      <w:r>
        <w:rPr>
          <w:rFonts w:ascii="Times New Roman" w:cs="Times New Roman" w:eastAsia="Times New Roman" w:hAnsi="Times New Roman"/>
          <w:sz w:val="18"/>
          <w:szCs w:val="18"/>
          <w:color w:val="auto"/>
        </w:rPr>
        <w:t>(Print)</w:t>
      </w:r>
    </w:p>
    <w:p>
      <w:pPr>
        <w:spacing w:after="0" w:line="7" w:lineRule="exact"/>
        <w:rPr>
          <w:sz w:val="20"/>
          <w:szCs w:val="20"/>
          <w:color w:val="auto"/>
        </w:rPr>
      </w:pPr>
    </w:p>
    <w:p>
      <w:pPr>
        <w:jc w:val="center"/>
        <w:ind w:right="9340"/>
        <w:spacing w:after="0"/>
        <w:tabs>
          <w:tab w:leader="none" w:pos="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Warrant to Purchase Stock</w:t>
      </w:r>
      <w:r>
        <w:rPr>
          <w:rFonts w:ascii="Times New Roman" w:cs="Times New Roman" w:eastAsia="Times New Roman" w:hAnsi="Times New Roman"/>
          <w:sz w:val="18"/>
          <w:szCs w:val="18"/>
          <w:b w:val="1"/>
          <w:bCs w:val="1"/>
          <w:color w:val="auto"/>
        </w:rPr>
        <w:t>]</w:t>
      </w:r>
    </w:p>
    <w:p>
      <w:pPr>
        <w:sectPr>
          <w:pgSz w:w="11900" w:h="16838" w:orient="portrait"/>
          <w:cols w:equalWidth="0" w:num="1">
            <w:col w:w="10920"/>
          </w:cols>
          <w:pgMar w:left="480" w:top="268" w:right="499" w:bottom="1440" w:gutter="0" w:footer="0" w:header="0"/>
        </w:sectPr>
      </w:pPr>
    </w:p>
    <w:bookmarkStart w:id="402" w:name="page403"/>
    <w:bookmarkEnd w:id="40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21" w:lineRule="exact"/>
        <w:rPr>
          <w:sz w:val="20"/>
          <w:szCs w:val="20"/>
          <w:color w:val="auto"/>
        </w:rPr>
      </w:pPr>
    </w:p>
    <w:p>
      <w:pPr>
        <w:jc w:val="center"/>
        <w:spacing w:after="0" w:line="308" w:lineRule="auto"/>
        <w:rPr>
          <w:sz w:val="20"/>
          <w:szCs w:val="20"/>
          <w:color w:val="auto"/>
        </w:rPr>
      </w:pPr>
      <w:r>
        <w:rPr>
          <w:rFonts w:ascii="Times New Roman" w:cs="Times New Roman" w:eastAsia="Times New Roman" w:hAnsi="Times New Roman"/>
          <w:sz w:val="17"/>
          <w:szCs w:val="17"/>
          <w:color w:val="auto"/>
        </w:rPr>
        <w:t>1.   The undersigned Holder hereby exercises its right to purchase             shares of the Common Stock of OMADA HEALTH, INC. (the “Company”) in accordance with the attached Warrant To Purchase Stock, and tenders payment of the aggregate Warrant Price for such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-196215</wp:posOffset>
            </wp:positionV>
            <wp:extent cx="4527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10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check in the amount of $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payable to order of the Company enclosed herewith</w:t>
            </w:r>
          </w:p>
        </w:tc>
      </w:tr>
      <w:tr>
        <w:trPr>
          <w:trHeight w:val="20"/>
        </w:trPr>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49"/>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60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Wire transfer of immediately available funds to the Company’s account</w:t>
            </w:r>
          </w:p>
        </w:tc>
      </w:tr>
      <w:tr>
        <w:trPr>
          <w:trHeight w:val="428"/>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60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Cashless Exercise pursuant to Section 1.2 of the Warrant</w:t>
            </w:r>
          </w:p>
        </w:tc>
      </w:tr>
      <w:tr>
        <w:trPr>
          <w:trHeight w:val="387"/>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Other [Describe]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236855</wp:posOffset>
            </wp:positionV>
            <wp:extent cx="222504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236855</wp:posOffset>
            </wp:positionV>
            <wp:extent cx="222504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225040" cy="825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491490</wp:posOffset>
            </wp:positionV>
            <wp:extent cx="222504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w:t>
      </w:r>
    </w:p>
    <w:p>
      <w:pPr>
        <w:spacing w:after="0" w:line="221"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3.  By its execution below and for the benefit of the Company, Holder hereby restates each of the representations and warranties in Section 4 of the Warrant to Purchase Stock as of the date hereof.</w:t>
      </w:r>
    </w:p>
    <w:p>
      <w:pPr>
        <w:spacing w:after="0" w:line="18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HOLDER:</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3810</wp:posOffset>
            </wp:positionV>
            <wp:extent cx="27686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9"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41173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14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0</wp:posOffset>
            </wp:positionV>
            <wp:extent cx="241173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1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0</wp:posOffset>
            </wp:positionV>
            <wp:extent cx="241173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1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0</wp:posOffset>
            </wp:positionV>
            <wp:extent cx="241173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480" w:top="268" w:right="519" w:bottom="1440" w:gutter="0" w:footer="0" w:header="0"/>
        </w:sectPr>
      </w:pPr>
    </w:p>
    <w:bookmarkStart w:id="403" w:name="page404"/>
    <w:bookmarkEnd w:id="40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Company Capitalization Table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68" w:right="1440"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5" w:lineRule="exact"/>
        <w:rPr>
          <w:sz w:val="20"/>
          <w:szCs w:val="20"/>
          <w:color w:val="auto"/>
        </w:rPr>
      </w:pPr>
    </w:p>
    <w:p>
      <w:pPr>
        <w:ind w:right="80" w:firstLine="436"/>
        <w:spacing w:after="0" w:line="251" w:lineRule="auto"/>
        <w:rPr>
          <w:sz w:val="20"/>
          <w:szCs w:val="20"/>
          <w:color w:val="auto"/>
        </w:rPr>
      </w:pPr>
      <w:r>
        <w:rPr>
          <w:rFonts w:ascii="Times New Roman" w:cs="Times New Roman" w:eastAsia="Times New Roman" w:hAnsi="Times New Roman"/>
          <w:sz w:val="18"/>
          <w:szCs w:val="18"/>
          <w:color w:val="auto"/>
        </w:rPr>
        <w:t>THIS WARRANT CERTIFICATE AND THE SECURITIES ISSUABLE UPON EXERCISE OF THIS WARRANT CERTIFICATE HAVE NOT BEEN REGISTERED UNDER THE SECURITIES ACT OF 1933, AS AMENDED, OR QUALIFIED UNDER ANY STATE OR FOREIGN SECURITIES LAWS. THESE SECURIITES ARE SUBJECT TO RESTRICTIONS ON TRANSFERABILITY AND RESALE AND MAY NOT BE OFFERED FOR SALE, SOLD, PLEDGED, HYPOTHECATED OR OTHERWISE TRANSFERRED OR ASSIGNED UNLESS (I) A REGISTRATION STATEMENT COVERING SUCH SHARES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 AND, IN EACH CASE, IF THE COMPANY REQUESTS, AN OPINION SATISFACTORY TO THE COMPANY TO SUCH EFFECT HAS BEEN RENDERED BY COUNSEL.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Issuable:   660,000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Certificate No.:    PDW-01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18, 2020 (the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OMADA HEALTH,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certifies that PERCEPTIVE CREDIT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III, LP, a Delaware limited partnership (the “</w:t>
      </w:r>
      <w:r>
        <w:rPr>
          <w:rFonts w:ascii="Times New Roman" w:cs="Times New Roman" w:eastAsia="Times New Roman" w:hAnsi="Times New Roman"/>
          <w:sz w:val="18"/>
          <w:szCs w:val="18"/>
          <w:b w:val="1"/>
          <w:bCs w:val="1"/>
          <w:i w:val="1"/>
          <w:iCs w:val="1"/>
          <w:color w:val="auto"/>
        </w:rPr>
        <w:t>Initial Holder</w:t>
      </w:r>
      <w:r>
        <w:rPr>
          <w:rFonts w:ascii="Times New Roman" w:cs="Times New Roman" w:eastAsia="Times New Roman" w:hAnsi="Times New Roman"/>
          <w:sz w:val="18"/>
          <w:szCs w:val="18"/>
          <w:color w:val="auto"/>
        </w:rPr>
        <w:t>” and, together with its successors and permitted transferees and assigns,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to purchase, at the per share Exercise Price, up to six hundred sixty thousand (660,000) fully paid and nonassessable shares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Series D Preferred Stock (defined below) all subject to the terms, conditions and adjustments set forth below in this Warrant Certificate.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Capitalized terms used herein have the meanings ascribed thereto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 xml:space="preserve"> below.</w:t>
      </w:r>
    </w:p>
    <w:p>
      <w:pPr>
        <w:spacing w:after="0" w:line="202"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This Warrant Certificate has been issued as a condition precedent to the making of loans under and pursuant to of the Credit and Guaranty Agreement, dated as of May 18, 2020 (as amended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among the Company, as borrower, certain Subsidiaries of the Company from time to time party thereto, as guarantors, the lenders from time to time party thereto, and Perceptive Credit Holdings III, LP, as the administrative agent for the lenders.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Definitions</w:t>
      </w:r>
      <w:r>
        <w:rPr>
          <w:rFonts w:ascii="Times New Roman" w:cs="Times New Roman" w:eastAsia="Times New Roman" w:hAnsi="Times New Roman"/>
          <w:sz w:val="18"/>
          <w:szCs w:val="18"/>
          <w:color w:val="auto"/>
        </w:rPr>
        <w:t>. Capitalized terms used in this Warrant Certificate but not otherwise defined herein will have the meanings ascribed thereto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 Agreement as in effect on the Issue Date. The following terms when used herein have the following meanings:</w:t>
      </w:r>
    </w:p>
    <w:p>
      <w:pPr>
        <w:spacing w:after="0" w:line="156" w:lineRule="exact"/>
        <w:rPr>
          <w:sz w:val="20"/>
          <w:szCs w:val="20"/>
          <w:color w:val="auto"/>
        </w:rPr>
      </w:pPr>
    </w:p>
    <w:p>
      <w:pPr>
        <w:ind w:right="1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Exercise Price</w:t>
      </w:r>
      <w:r>
        <w:rPr>
          <w:rFonts w:ascii="Times New Roman" w:cs="Times New Roman" w:eastAsia="Times New Roman" w:hAnsi="Times New Roman"/>
          <w:sz w:val="18"/>
          <w:szCs w:val="18"/>
          <w:color w:val="auto"/>
        </w:rPr>
        <w:t xml:space="preserve">” means, with respect to any exercise of this Warrant Certificate for Warrant Shares pursuant to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an amount equal to the product of (i) the number of Warrant Shares in respect of which this Warrant Certificate is then being exercised pursuant to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multiplied by (ii) the Exercise Price.</w:t>
      </w:r>
    </w:p>
    <w:p>
      <w:pPr>
        <w:sectPr>
          <w:pgSz w:w="11900" w:h="16838" w:orient="portrait"/>
          <w:cols w:equalWidth="0" w:num="1">
            <w:col w:w="10920"/>
          </w:cols>
          <w:pgMar w:left="480" w:top="117" w:right="499" w:bottom="1440" w:gutter="0" w:footer="0" w:header="0"/>
        </w:sectPr>
      </w:pPr>
    </w:p>
    <w:bookmarkStart w:id="405" w:name="page406"/>
    <w:bookmarkEnd w:id="4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has the meaning set forth within the definition of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means the Restated Certificate of Incorporation of the Company, filed with the Secretary of State of Delaware on June 6, 2019, as amended by the Certificate of Amendment of Restated Certificate of Incorporation of the Company, filed with the Delaware Secretary of State on May 18, 2020, as may be further amended, restated or amended and restated from time to time, to the extent permitted pursuant to the Credit Agreement.</w:t>
      </w:r>
    </w:p>
    <w:p>
      <w:pPr>
        <w:spacing w:after="0" w:line="176"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Company’s common stock, par value $0.001 per share, having ordinary voting rights, as provided in the Company’s Certificate of Incorporation.</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Equity Interests that, directly or indirectly, are convertible into or exchangeable for Series D Preferred Stock or Common Stock.</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3(a)(i)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xml:space="preserve">” means, for any given exercise of this Warrant Certificate, whether in whole or in part, a Business Day on which the conditions to such exercise as set forth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have been satisfied at or prior to 5:00 p.m., New York City time.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means the period from (and including) the Issue Date to (and including) 5:00 p.m., New York City time, on May 18, 2030.</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$5.0365 per Warrant Share, as adjusted from time to time as provided herein.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May 18, 2030.</w:t>
      </w:r>
    </w:p>
    <w:p>
      <w:pPr>
        <w:spacing w:after="0" w:line="221"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if the Warrant Shares are traded on a Trading Market, (i) the VWAP of such Warrant Shares for such day or (ii) if there have been no sales of such Warrant Shares on any Trading Market on any such day, the average of the highest bid and lowest asked prices for such Warrant Shares on all applicable Trading Markets at the end of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any particular Warrant Shares are not listed, quoted or otherwise available for trading on any Trading Market (so that no Trading Date shall have occurred), the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of such Warrant Shares shall be the fair market value per share of such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406" w:name="page407"/>
    <w:bookmarkEnd w:id="406"/>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Warrant Shares (including, if applicable, any Common Stock or other Equity Interests issuable upon conversion of the Warrant Shares) as determined jointly by the Board and the Holder;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the Board and the Holder are unable to so mutually agree, Fair Market Value shall be determined pursuant to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10(b)</w:t>
      </w:r>
      <w:r>
        <w:rPr>
          <w:rFonts w:ascii="Times New Roman" w:cs="Times New Roman" w:eastAsia="Times New Roman" w:hAnsi="Times New Roman"/>
          <w:sz w:val="18"/>
          <w:szCs w:val="18"/>
          <w:color w:val="auto"/>
        </w:rPr>
        <w:t>, as applicable.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Holder</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means the date designated as such on the first page of this Warrant Certificate.</w:t>
      </w:r>
    </w:p>
    <w:p>
      <w:pPr>
        <w:spacing w:after="0" w:line="221"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 xml:space="preserve">” means Equity Interests meeting each of the following requirements: (i) the issuer thereof is subject to the reporting requirements of Section 13 or Section 15(d) of the Exchange Act, and is current in its filing of all required reports and other information under the Securities Act and the Exchange Act; (ii) such Equity Interests are traded on a Trading Market; and (iii) if delivered (or to be delivered) as payment or compensation to the Holder in connection with an automatic Cashless Exercise resulting from a Sale of the Company pursuant to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following the closing of the such Sale of the Company the Holder would not be restricted from publicly re-selling any or all of such Equity Interests delivered to it, except to the extent that any such restriction (x) arises solely under federal or state securities laws, rules or regulations, or (y) does not extend beyond six (6) months from the closing of such Sale of the Company to the extent such restrictions may be lifted at such time under the applicable federal or state securities laws, rules or regulations.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Inc.</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means the New York Stock Exchange.</w:t>
      </w:r>
    </w:p>
    <w:p>
      <w:pPr>
        <w:spacing w:after="0" w:line="221"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warrants, options or similar rights to subscribe for or purchase Common Stock, Series D Preferred Stock or Convertible Securities.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OTC Bulletin Board</w:t>
      </w:r>
      <w:r>
        <w:rPr>
          <w:rFonts w:ascii="Times New Roman" w:cs="Times New Roman" w:eastAsia="Times New Roman" w:hAnsi="Times New Roman"/>
          <w:sz w:val="18"/>
          <w:szCs w:val="18"/>
          <w:color w:val="auto"/>
        </w:rPr>
        <w:t>” means the National Association of Securities Dealers, Inc. OTC Bulletin Board.</w:t>
      </w:r>
    </w:p>
    <w:p>
      <w:pPr>
        <w:spacing w:after="0" w:line="221" w:lineRule="exact"/>
        <w:rPr>
          <w:sz w:val="20"/>
          <w:szCs w:val="20"/>
          <w:color w:val="auto"/>
        </w:rPr>
      </w:pPr>
    </w:p>
    <w:p>
      <w:pPr>
        <w:jc w:val="both"/>
        <w:ind w:right="2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any registration statement of the Company that covers any of its Common Stock, including any prospectus, amendments or supplements to such Registration Statement, including post-effective amendments and all exhibits and all materials incorporated by reference in such Registration Statement.</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of the Company</w:t>
      </w:r>
      <w:r>
        <w:rPr>
          <w:rFonts w:ascii="Times New Roman" w:cs="Times New Roman" w:eastAsia="Times New Roman" w:hAnsi="Times New Roman"/>
          <w:sz w:val="18"/>
          <w:szCs w:val="18"/>
          <w:color w:val="auto"/>
        </w:rPr>
        <w:t>” means an event or transaction or series of related events or transactions pursuant to which, directly or indirectly, either</w:t>
      </w:r>
    </w:p>
    <w:p>
      <w:pPr>
        <w:spacing w:after="0" w:line="30" w:lineRule="exact"/>
        <w:rPr>
          <w:sz w:val="20"/>
          <w:szCs w:val="20"/>
          <w:color w:val="auto"/>
        </w:rPr>
      </w:pPr>
    </w:p>
    <w:p>
      <w:pPr>
        <w:ind w:firstLine="7"/>
        <w:spacing w:after="0" w:line="252" w:lineRule="auto"/>
        <w:tabs>
          <w:tab w:leader="none" w:pos="2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Persons acting jointly or otherwise in concert (other than the Holder) acquires ownership, directly or indirectly, beneficially or of record, of Equity Interests of the Company having more than fifty percent (50%) of the aggregate ordinary voting power, determined on a fully-diluted, as-if- converted or exercised basis, whether such right is exercisable immediately or only after the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80" w:top="268" w:right="679" w:bottom="1440" w:gutter="0" w:footer="0" w:header="0"/>
        </w:sectPr>
      </w:pPr>
    </w:p>
    <w:bookmarkStart w:id="407" w:name="page408"/>
    <w:bookmarkEnd w:id="40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passage of time, or (y) (i) all or substantially all of the assets or businesses of the Company and its Subsidiaries, taken as a whole, are transferred or sold, including by way of lease, transfer, conveyance or other disposition (including, without limitation, by way of irrevocable, exclusive license arrangements), and (ii) pursuant to or in connection with such transfer or sale transaction all Obligations (as defined in the Credit Agreement) outstanding under the Credit Agreement are to be paid in full in cash, Marketable Securities or a combination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 or any successor thereto.</w:t>
      </w:r>
    </w:p>
    <w:p>
      <w:pPr>
        <w:spacing w:after="0" w:line="221"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means, as designated and defined in the Certificate of Incorporation, the Company’s Series D Preferred Stock having a par value $0.001 per share.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Distribution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Reorganization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with respect to the Warrant Shares, the principal US exchange or market which the Company may select, after the Issue Date, to be its principal exchange or market on which such Warrant Shares are quoted or available for trading, including the Nasdaq, the NYSE, the OTC Bulletin Board or otherwise.</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Conditions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Valuation Advisor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means, with respect to any Warrant Shares, so long as such Warrant Shares are traded, listed or quoted on the Trading Market, as of any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or period of dates (as the case may be) (a “</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the volume weighted average sale price for the period of ten (10) consecutive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 days immediately preceding such Determination Date on the Trading Market for such Warrant Shares as reported by, or based upon data reported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Bloomberg Financial Markets or an equivalent, reliable reporting service reasonably acceptable to the Holder and the Company (collectively,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Bloomberg</w:t>
      </w:r>
      <w:r>
        <w:rPr>
          <w:rFonts w:ascii="Times New Roman" w:cs="Times New Roman" w:eastAsia="Times New Roman" w:hAnsi="Times New Roman"/>
          <w:sz w:val="17"/>
          <w:szCs w:val="17"/>
          <w:color w:val="auto"/>
        </w:rPr>
        <w:t>”) or, if the volume weighted average sale price has not been reported for such security by Bloomberg for such ten (10) day period, then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closing trade price of such security as reported by Bloomberg, or, if no last closing trade price is reported for such security by Bloomberg,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of the bid prices of any market makers for such security that are listed in the over the counter market by the Financial Industry Regulatory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Authority, Inc. or on the OTC Bulletin Board (or any successor) or in the “pink sheets” (or any successor) by the OTC Markets Group, Inc.; </w:t>
      </w:r>
      <w:r>
        <w:rPr>
          <w:rFonts w:ascii="Times New Roman" w:cs="Times New Roman" w:eastAsia="Times New Roman" w:hAnsi="Times New Roman"/>
          <w:sz w:val="18"/>
          <w:szCs w:val="18"/>
          <w:u w:val="single" w:color="auto"/>
          <w:color w:val="auto"/>
        </w:rPr>
        <w:t>provided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if VWAP cannot be calculated for such security on such date in the manner provided above (including because the applicable security is not listed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publicly traded), the VWAP shall be the Fair Market Value as mutually determined by the Board and the Holder;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Board and Holder are unable to so mutually agree, Fair Market Value shall be determined pursuant to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Certificate</w:t>
      </w:r>
      <w:r>
        <w:rPr>
          <w:rFonts w:ascii="Times New Roman" w:cs="Times New Roman" w:eastAsia="Times New Roman" w:hAnsi="Times New Roman"/>
          <w:sz w:val="18"/>
          <w:szCs w:val="18"/>
          <w:color w:val="auto"/>
        </w:rPr>
        <w:t>” means this Warrant Certificate and all subsequent warrant certificates issued upon division, combination or transfer of, or in substitution for, this Warrant Certificate.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408" w:name="page409"/>
    <w:bookmarkEnd w:id="408"/>
    <w:p>
      <w:pPr>
        <w:ind w:right="30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means the shares of Series D Preferred Stock purchasable upon exercise of this Warrant Certificate in accordance with the terms of this Warrant Certificate and any capital stock into which such Series D Preferred Stock shall have been converted, exchanged or reclassified following the Issue Date.</w:t>
      </w:r>
    </w:p>
    <w:p>
      <w:pPr>
        <w:spacing w:after="0" w:line="170"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Shares Deemed Outstanding</w:t>
      </w:r>
      <w:r>
        <w:rPr>
          <w:rFonts w:ascii="Times New Roman" w:cs="Times New Roman" w:eastAsia="Times New Roman" w:hAnsi="Times New Roman"/>
          <w:sz w:val="18"/>
          <w:szCs w:val="18"/>
          <w:color w:val="auto"/>
        </w:rPr>
        <w:t xml:space="preserve">” means, at any given time, the sum of (i) the number of shares of Warrant Shares actually outstanding at such time, plus (ii) the number of shares of Warrant Shares issuable upon exercise of Options actually outstanding at such time, plus (iii) the number of shares of Warrant Shares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Warrant Shares Deemed Outstanding at any given time shall not include shares owned or held by or for the account of the Company or any or its wholly owned Subsidiaries.</w:t>
      </w:r>
    </w:p>
    <w:p>
      <w:pPr>
        <w:spacing w:after="0" w:line="17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 of Warrant Certificate</w:t>
      </w:r>
      <w:r>
        <w:rPr>
          <w:rFonts w:ascii="Times New Roman" w:cs="Times New Roman" w:eastAsia="Times New Roman" w:hAnsi="Times New Roman"/>
          <w:sz w:val="18"/>
          <w:szCs w:val="18"/>
          <w:color w:val="auto"/>
        </w:rPr>
        <w:t>. Subject to the terms and conditions hereof, from time to time during the Exercise Period, the Holder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may exercise this Warrant Certificate for all or any part of the Warrant Shares purchasable hereunder (subject to adjustment as provided herein).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Exercise of Warrant Certificate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Exercise Procedure</w:t>
      </w:r>
      <w:r>
        <w:rPr>
          <w:rFonts w:ascii="Times New Roman" w:cs="Times New Roman" w:eastAsia="Times New Roman" w:hAnsi="Times New Roman"/>
          <w:sz w:val="18"/>
          <w:szCs w:val="18"/>
          <w:color w:val="auto"/>
        </w:rPr>
        <w:t>. This Warrant Certificate may be exercised from time to time on any Business Day during the Exercise Period, for all or any part of the unexercised Warrant Shares, upon:</w:t>
      </w:r>
    </w:p>
    <w:p>
      <w:pPr>
        <w:spacing w:after="0" w:line="160" w:lineRule="exact"/>
        <w:rPr>
          <w:sz w:val="20"/>
          <w:szCs w:val="20"/>
          <w:color w:val="auto"/>
        </w:rPr>
      </w:pPr>
    </w:p>
    <w:p>
      <w:pPr>
        <w:jc w:val="both"/>
        <w:ind w:firstLine="982"/>
        <w:spacing w:after="0" w:line="263" w:lineRule="auto"/>
        <w:rPr>
          <w:sz w:val="20"/>
          <w:szCs w:val="20"/>
          <w:color w:val="auto"/>
        </w:rPr>
      </w:pPr>
      <w:r>
        <w:rPr>
          <w:rFonts w:ascii="Times New Roman" w:cs="Times New Roman" w:eastAsia="Times New Roman" w:hAnsi="Times New Roman"/>
          <w:sz w:val="18"/>
          <w:szCs w:val="18"/>
          <w:color w:val="auto"/>
        </w:rPr>
        <w:t xml:space="preserve">(i)  delivery to the Company at its then registered office of a duly completed and executed Exercise Certificate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i w:val="1"/>
          <w:iCs w:val="1"/>
          <w:color w:val="auto"/>
        </w:rPr>
        <w:t>Exercise Certificate</w:t>
      </w:r>
      <w:r>
        <w:rPr>
          <w:rFonts w:ascii="Times New Roman" w:cs="Times New Roman" w:eastAsia="Times New Roman" w:hAnsi="Times New Roman"/>
          <w:sz w:val="18"/>
          <w:szCs w:val="18"/>
          <w:color w:val="auto"/>
        </w:rPr>
        <w:t>”), which certificate will specify the number of Warrant Shares to be purchased and the Aggregate Exercise Price; and</w:t>
      </w:r>
    </w:p>
    <w:p>
      <w:pPr>
        <w:spacing w:after="0" w:line="175" w:lineRule="exact"/>
        <w:rPr>
          <w:sz w:val="20"/>
          <w:szCs w:val="20"/>
          <w:color w:val="auto"/>
        </w:rPr>
      </w:pPr>
    </w:p>
    <w:p>
      <w:pPr>
        <w:ind w:right="80" w:firstLine="982"/>
        <w:spacing w:after="0" w:line="263" w:lineRule="auto"/>
        <w:rPr>
          <w:sz w:val="20"/>
          <w:szCs w:val="20"/>
          <w:color w:val="auto"/>
        </w:rPr>
      </w:pPr>
      <w:r>
        <w:rPr>
          <w:rFonts w:ascii="Times New Roman" w:cs="Times New Roman" w:eastAsia="Times New Roman" w:hAnsi="Times New Roman"/>
          <w:sz w:val="18"/>
          <w:szCs w:val="18"/>
          <w:color w:val="auto"/>
        </w:rPr>
        <w:t xml:space="preserve">(ii)  substantially contemporaneously with the delivery of the Exercise Certificate, payment to the Company of the Aggregate Exercise Price in accordance with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in no event shall the Exercise Price be lower than the par value of a Warrant Share.</w:t>
      </w:r>
    </w:p>
    <w:p>
      <w:pPr>
        <w:spacing w:after="0" w:line="171"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Payment of the Aggregate Exercise Price</w:t>
      </w:r>
      <w:r>
        <w:rPr>
          <w:rFonts w:ascii="Times New Roman" w:cs="Times New Roman" w:eastAsia="Times New Roman" w:hAnsi="Times New Roman"/>
          <w:sz w:val="18"/>
          <w:szCs w:val="18"/>
          <w:color w:val="auto"/>
        </w:rPr>
        <w:t>. Payment of the Aggregate Exercise Price shall be made, at the option of the Holder as expressed in the Exercise Certificate, by any of the following methods:</w:t>
      </w:r>
    </w:p>
    <w:p>
      <w:pPr>
        <w:spacing w:after="0" w:line="160"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(i)  by wire transfer of immediately available funds to an account designated in writing by the Company, in the amount of such Aggregate Exercise Price;</w:t>
      </w:r>
    </w:p>
    <w:p>
      <w:pPr>
        <w:spacing w:after="0" w:line="162" w:lineRule="exact"/>
        <w:rPr>
          <w:sz w:val="20"/>
          <w:szCs w:val="20"/>
          <w:color w:val="auto"/>
        </w:rPr>
      </w:pPr>
    </w:p>
    <w:p>
      <w:pPr>
        <w:ind w:right="160" w:firstLine="982"/>
        <w:spacing w:after="0" w:line="278" w:lineRule="auto"/>
        <w:rPr>
          <w:sz w:val="20"/>
          <w:szCs w:val="20"/>
          <w:color w:val="auto"/>
        </w:rPr>
      </w:pPr>
      <w:r>
        <w:rPr>
          <w:rFonts w:ascii="Times New Roman" w:cs="Times New Roman" w:eastAsia="Times New Roman" w:hAnsi="Times New Roman"/>
          <w:sz w:val="18"/>
          <w:szCs w:val="18"/>
          <w:color w:val="auto"/>
        </w:rPr>
        <w:t>(ii)  by instructing the Company to withhold a number of Warrant Shares then issuable upon exercise of this Warrant Certificate with an aggregate Fair Market Value as of the Exercise Date equal to such Aggregate Exercise Price; or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4" w:right="499" w:bottom="1440" w:gutter="0" w:footer="0" w:header="0"/>
        </w:sectPr>
      </w:pPr>
    </w:p>
    <w:bookmarkStart w:id="409" w:name="page410"/>
    <w:bookmarkEnd w:id="40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(iii)   any combination of the foregoing.</w:t>
      </w:r>
    </w:p>
    <w:p>
      <w:pPr>
        <w:spacing w:after="0" w:line="2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the event of any withholding of Warrant Shares pursuant to </w:t>
      </w:r>
      <w:r>
        <w:rPr>
          <w:rFonts w:ascii="Times New Roman" w:cs="Times New Roman" w:eastAsia="Times New Roman" w:hAnsi="Times New Roman"/>
          <w:sz w:val="18"/>
          <w:szCs w:val="18"/>
          <w:b w:val="1"/>
          <w:bCs w:val="1"/>
          <w:color w:val="auto"/>
        </w:rPr>
        <w:t>Section 3(b)(ii)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(solely to the extent of such withholding,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xml:space="preserve">”) where the number of such shares whose value is equal to the Aggregate Exercise Price is not a whole number, the number of such shares withheld by the Company shall be rounded up to the nearest whole share and the Company shall make a cash payment to the Holder (by delivery of a certified or official bank check or by wire transfer of immediately available funds) in an amount calculated as provided pursuant to </w:t>
      </w:r>
      <w:r>
        <w:rPr>
          <w:rFonts w:ascii="Times New Roman" w:cs="Times New Roman" w:eastAsia="Times New Roman" w:hAnsi="Times New Roman"/>
          <w:sz w:val="18"/>
          <w:szCs w:val="18"/>
          <w:b w:val="1"/>
          <w:bCs w:val="1"/>
          <w:color w:val="auto"/>
        </w:rPr>
        <w:t>Section 3(e)</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To the extent permitted by applicable Law, for purposes of Rule 144, it is acknowledged and agreed that (i) the Warrant Shares issuable upon any exercise of this Warrant Certificate in any Cashless Exercise transaction shall be deemed to have been acquired on the Issue Date, and (ii) the holding period for any Warrant Shares issuable upon the exercise of this Warrant Certificate in any Cashless Exercise transaction shall be deemed to have commenced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regarding the commencement of the holding period of any Warrant Share.</w:t>
      </w:r>
    </w:p>
    <w:p>
      <w:pPr>
        <w:spacing w:after="0" w:line="180"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Automatic Cashless Exercise</w:t>
      </w:r>
      <w:r>
        <w:rPr>
          <w:rFonts w:ascii="Times New Roman" w:cs="Times New Roman" w:eastAsia="Times New Roman" w:hAnsi="Times New Roman"/>
          <w:sz w:val="18"/>
          <w:szCs w:val="18"/>
          <w:color w:val="auto"/>
        </w:rPr>
        <w:t>. To the extent this Warrant Certificate has not been exercised in full by the Holder prior to the date of any of the following events or circumstances, any portion of this Warrant Certificate that remains unexercised on such date shall be deemed to have been exercised automatically pursuant to a Cashless Exercise, in whole (and not in part), on the Business Day immediately preceding the earlier of (i) the occurrence of the Expiration Date, (ii) the occurrence of a Qualified IPO and (iii) the consummation of a Sale of the Company.</w:t>
      </w:r>
    </w:p>
    <w:p>
      <w:pPr>
        <w:spacing w:after="0" w:line="176" w:lineRule="exact"/>
        <w:rPr>
          <w:sz w:val="20"/>
          <w:szCs w:val="20"/>
          <w:color w:val="auto"/>
        </w:rPr>
      </w:pPr>
    </w:p>
    <w:p>
      <w:pPr>
        <w:ind w:righ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Delivery of Stock Certificates</w:t>
      </w:r>
      <w:r>
        <w:rPr>
          <w:rFonts w:ascii="Times New Roman" w:cs="Times New Roman" w:eastAsia="Times New Roman" w:hAnsi="Times New Roman"/>
          <w:sz w:val="18"/>
          <w:szCs w:val="18"/>
          <w:color w:val="auto"/>
        </w:rPr>
        <w:t xml:space="preserve">. With respect to any exercise of this Warrant Certificate by the Holder, upon receipt by the Company of an Exercise Certificate and delivery of the Aggregate Exercise Price, the Company shall, within five (5) Business Days, deliver in accordance with the terms hereof to or upon the order of the Holder that number of Warrant Shares for the portion of this Warrant Certificate so exercised on such date, together with cash in lieu of any fraction of a share, as provided in </w:t>
      </w:r>
      <w:r>
        <w:rPr>
          <w:rFonts w:ascii="Times New Roman" w:cs="Times New Roman" w:eastAsia="Times New Roman" w:hAnsi="Times New Roman"/>
          <w:sz w:val="18"/>
          <w:szCs w:val="18"/>
          <w:b w:val="1"/>
          <w:bCs w:val="1"/>
          <w:color w:val="auto"/>
        </w:rPr>
        <w:t>Section 3(e)</w:t>
      </w:r>
      <w:r>
        <w:rPr>
          <w:rFonts w:ascii="Times New Roman" w:cs="Times New Roman" w:eastAsia="Times New Roman" w:hAnsi="Times New Roman"/>
          <w:sz w:val="18"/>
          <w:szCs w:val="18"/>
          <w:color w:val="auto"/>
        </w:rPr>
        <w:t xml:space="preserve"> below. If such Warrant Shares are issued in certificated form, the Company shall deliver a certificate or certificates, to the extent possible, representing the number of Warrant Shares as the Holder shall request in the Exercise Certificate. If such Warrant Shares are issued in uncertificated form, the Company shall deliver upon request a confirmation evidencing the registration of such shares. Except as otherwise provided herein, upon any exercise hereof this Warrant Certificate shall be deemed to have been exercised and such certificate or certificates of Warrant Shares shall be deemed to have been issued, and the Holder shall be deemed to have become a holder of record of such Warrant Shares for all purposes, as of the Exercise Date.</w:t>
      </w:r>
    </w:p>
    <w:p>
      <w:pPr>
        <w:spacing w:after="0" w:line="184" w:lineRule="exact"/>
        <w:rPr>
          <w:sz w:val="20"/>
          <w:szCs w:val="20"/>
          <w:color w:val="auto"/>
        </w:rPr>
      </w:pPr>
    </w:p>
    <w:p>
      <w:pPr>
        <w:ind w:right="220" w:firstLine="436"/>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The Company shall not be required to issue a fractional Warrant Share upon exercise of any Warrant Certificate. As to any fraction of a Warrant Share that the Holder would otherwise be entitled upon such exercise, the Company shall pay to such Holder an amount in cash (by wire transfer of immediately available funds) equal to the product of (i) such fraction multiplied by (ii) the Fair Market Value of one Warrant Share on the Exercise Date.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7" w:right="519" w:bottom="1440" w:gutter="0" w:footer="0" w:header="0"/>
        </w:sectPr>
      </w:pPr>
    </w:p>
    <w:bookmarkStart w:id="410" w:name="page411"/>
    <w:bookmarkEnd w:id="4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(f)   </w:t>
      </w:r>
      <w:r>
        <w:rPr>
          <w:rFonts w:ascii="Times New Roman" w:cs="Times New Roman" w:eastAsia="Times New Roman" w:hAnsi="Times New Roman"/>
          <w:sz w:val="18"/>
          <w:szCs w:val="18"/>
          <w:b w:val="1"/>
          <w:bCs w:val="1"/>
          <w:color w:val="auto"/>
        </w:rPr>
        <w:t>Surrender of this Warrant Certificate; Delivery of New Warrant Certificate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982"/>
        <w:spacing w:after="0" w:line="267" w:lineRule="auto"/>
        <w:rPr>
          <w:sz w:val="20"/>
          <w:szCs w:val="20"/>
          <w:color w:val="auto"/>
        </w:rPr>
      </w:pPr>
      <w:r>
        <w:rPr>
          <w:rFonts w:ascii="Times New Roman" w:cs="Times New Roman" w:eastAsia="Times New Roman" w:hAnsi="Times New Roman"/>
          <w:sz w:val="17"/>
          <w:szCs w:val="17"/>
          <w:color w:val="auto"/>
        </w:rPr>
        <w:t xml:space="preserve">(i)  The Holder shall not be required to physically surrender this Warrant Certificate to the Company until this Warrant Certificate has been exercised in full, in which event,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issuable hereunder by an amount equal to the applicable number of Warrant Shares that have been issued hereunder as a result of previous exercises and withheld in connection with Cashless Exercises, in each case subject to adjustment as provided herein. The Holder and the Company shall maintain records showing the number of Warrant Shares issued and purchased, the date of such issuances and purchases and the number of Warrant Shares withheld in connection with Cashless Exercises. The Holder and any assignee, by acceptance of this Warrant Certificate, acknowledge and agree that, by reason of the provisions of this </w:t>
      </w:r>
      <w:r>
        <w:rPr>
          <w:rFonts w:ascii="Times New Roman" w:cs="Times New Roman" w:eastAsia="Times New Roman" w:hAnsi="Times New Roman"/>
          <w:sz w:val="17"/>
          <w:szCs w:val="17"/>
          <w:b w:val="1"/>
          <w:bCs w:val="1"/>
          <w:color w:val="auto"/>
        </w:rPr>
        <w:t>Section 3(f)</w:t>
      </w:r>
      <w:r>
        <w:rPr>
          <w:rFonts w:ascii="Times New Roman" w:cs="Times New Roman" w:eastAsia="Times New Roman" w:hAnsi="Times New Roman"/>
          <w:sz w:val="17"/>
          <w:szCs w:val="17"/>
          <w:color w:val="auto"/>
        </w:rPr>
        <w:t>, following the purchase of a portion of the Warrant Shares hereunder, the number of Warrant Shares available for purchase hereunder at any given time may be fewer than the amount stated on the face hereof.</w:t>
      </w:r>
    </w:p>
    <w:p>
      <w:pPr>
        <w:spacing w:after="0" w:line="179" w:lineRule="exact"/>
        <w:rPr>
          <w:sz w:val="20"/>
          <w:szCs w:val="20"/>
          <w:color w:val="auto"/>
        </w:rPr>
      </w:pPr>
    </w:p>
    <w:p>
      <w:pPr>
        <w:ind w:right="200" w:firstLine="982"/>
        <w:spacing w:after="0" w:line="254" w:lineRule="auto"/>
        <w:rPr>
          <w:sz w:val="20"/>
          <w:szCs w:val="20"/>
          <w:color w:val="auto"/>
        </w:rPr>
      </w:pPr>
      <w:r>
        <w:rPr>
          <w:rFonts w:ascii="Times New Roman" w:cs="Times New Roman" w:eastAsia="Times New Roman" w:hAnsi="Times New Roman"/>
          <w:sz w:val="18"/>
          <w:szCs w:val="18"/>
          <w:color w:val="auto"/>
        </w:rPr>
        <w:t xml:space="preserve">(ii)  Notwithstanding the foregoing, to the extent that there are unexpired and unexercised Warrant Shares remaining under the Warrant Certificate, the Holder may request that the Company (and the Company shall), at the time of delivery of the certificate or certificates representing the Warrant Shares being issued in accordance with </w:t>
      </w:r>
      <w:r>
        <w:rPr>
          <w:rFonts w:ascii="Times New Roman" w:cs="Times New Roman" w:eastAsia="Times New Roman" w:hAnsi="Times New Roman"/>
          <w:sz w:val="18"/>
          <w:szCs w:val="18"/>
          <w:b w:val="1"/>
          <w:bCs w:val="1"/>
          <w:color w:val="auto"/>
        </w:rPr>
        <w:t>Section 3(d)</w:t>
      </w:r>
      <w:r>
        <w:rPr>
          <w:rFonts w:ascii="Times New Roman" w:cs="Times New Roman" w:eastAsia="Times New Roman" w:hAnsi="Times New Roman"/>
          <w:sz w:val="18"/>
          <w:szCs w:val="18"/>
          <w:color w:val="auto"/>
        </w:rPr>
        <w:t xml:space="preserve"> and the surrender of this Warrant Certificate, deliver to the Holder a new Warrant Certificate evidencing the rights of the Holder to subscribe for the unexpired, unexercised and not withheld (in connection with Cashless Exercises) Warrant Shares called for by this Warrant Certificate. Unless otherwise agreed upon by the Holder in its sole discretion, such new Warrant Certificate shall in all other respects be identical to this Warrant Certificate.</w:t>
      </w:r>
    </w:p>
    <w:p>
      <w:pPr>
        <w:spacing w:after="0" w:line="18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Valid Issuance of Warrant Certificate and Warrant Shares; Payment of Taxes</w:t>
      </w:r>
      <w:r>
        <w:rPr>
          <w:rFonts w:ascii="Times New Roman" w:cs="Times New Roman" w:eastAsia="Times New Roman" w:hAnsi="Times New Roman"/>
          <w:sz w:val="18"/>
          <w:szCs w:val="18"/>
          <w:color w:val="auto"/>
        </w:rPr>
        <w:t>. With respect to the exercise of this Warrant Certificate, the Company hereby represents, warrants, covenants and agrees as follows:</w:t>
      </w:r>
    </w:p>
    <w:p>
      <w:pPr>
        <w:spacing w:after="0" w:line="160"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(i)  This Warrant Certificate is, and any Warrant Certificate issued in substitution for or replacement of this Warrant Certificate shall be, upon issuance, duly authorized.</w:t>
      </w:r>
    </w:p>
    <w:p>
      <w:pPr>
        <w:spacing w:after="0" w:line="162" w:lineRule="exact"/>
        <w:rPr>
          <w:sz w:val="20"/>
          <w:szCs w:val="20"/>
          <w:color w:val="auto"/>
        </w:rPr>
      </w:pPr>
    </w:p>
    <w:p>
      <w:pPr>
        <w:jc w:val="both"/>
        <w:ind w:right="100" w:firstLine="982"/>
        <w:spacing w:after="0" w:line="258" w:lineRule="auto"/>
        <w:rPr>
          <w:sz w:val="20"/>
          <w:szCs w:val="20"/>
          <w:color w:val="auto"/>
        </w:rPr>
      </w:pPr>
      <w:r>
        <w:rPr>
          <w:rFonts w:ascii="Times New Roman" w:cs="Times New Roman" w:eastAsia="Times New Roman" w:hAnsi="Times New Roman"/>
          <w:sz w:val="18"/>
          <w:szCs w:val="18"/>
          <w:color w:val="auto"/>
        </w:rPr>
        <w:t>(ii)  All Warrant Shares issuable upon the exercise of this Warrant Certificate (or any substitute or replacement Warrant Certificate) shall be, upon issuance, and the Company shall take all such actions as may be necessary or appropriate in order that such Warrant Shares are, validly issued, fully paid and non-assessable, issued without violation of any pre-emptive or similar rights of any shareholder of the Company and free and clear of all liens and charges.</w:t>
      </w:r>
    </w:p>
    <w:p>
      <w:pPr>
        <w:spacing w:after="0" w:line="180" w:lineRule="exact"/>
        <w:rPr>
          <w:sz w:val="20"/>
          <w:szCs w:val="20"/>
          <w:color w:val="auto"/>
        </w:rPr>
      </w:pPr>
    </w:p>
    <w:p>
      <w:pPr>
        <w:ind w:right="140" w:firstLine="982"/>
        <w:spacing w:after="0" w:line="263" w:lineRule="auto"/>
        <w:rPr>
          <w:sz w:val="20"/>
          <w:szCs w:val="20"/>
          <w:color w:val="auto"/>
        </w:rPr>
      </w:pPr>
      <w:r>
        <w:rPr>
          <w:rFonts w:ascii="Times New Roman" w:cs="Times New Roman" w:eastAsia="Times New Roman" w:hAnsi="Times New Roman"/>
          <w:sz w:val="18"/>
          <w:szCs w:val="18"/>
          <w:color w:val="auto"/>
        </w:rPr>
        <w:t>(iii)  The Company shall take all such actions as may be necessary to ensure that all such Warrant Shares are issued without violation by the Company of any applicable Law or any requirements of any U.S. or non-U.S. securities exchange upon which Warrant Shares may be listed at the time of such exercise (except for official notice of issuance which shall be immediately delivered by the Company upon each such issuance).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3" w:right="499" w:bottom="1440" w:gutter="0" w:footer="0" w:header="0"/>
        </w:sectPr>
      </w:pPr>
    </w:p>
    <w:bookmarkStart w:id="411" w:name="page412"/>
    <w:bookmarkEnd w:id="411"/>
    <w:p>
      <w:pPr>
        <w:ind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(iv)  The Company shall pay all applicable stamp, transfer, documentary, sales, use or other similar taxes or governmental charges that may be imposed with respect to, the issuance or delivery of Warrant Stock upon exercise of this Warrant Certificate; provided, that the Company shall not be required to pay any Tax or governmental charge that may be imposed with respect to any applicable withholding or the issuance or delivery of the Warrant Stock to any Person other than the Holder or one of its Affiliates, and no such issuance or delivery shall be made unless and until such other Person (other than the Holder or any of its Affiliates) requesting such issuance has paid to the Company the amount of any such Tax, or has established to the reasonable satisfaction of the Company (the determination thereof not to be unreasonably withheld, delayed or conditioned) that such Tax has been paid.</w:t>
      </w:r>
    </w:p>
    <w:p>
      <w:pPr>
        <w:spacing w:after="0" w:line="184" w:lineRule="exact"/>
        <w:rPr>
          <w:sz w:val="20"/>
          <w:szCs w:val="20"/>
          <w:color w:val="auto"/>
        </w:rPr>
      </w:pPr>
    </w:p>
    <w:p>
      <w:pPr>
        <w:ind w:right="100" w:firstLine="982"/>
        <w:spacing w:after="0" w:line="278" w:lineRule="auto"/>
        <w:rPr>
          <w:sz w:val="20"/>
          <w:szCs w:val="20"/>
          <w:color w:val="auto"/>
        </w:rPr>
      </w:pPr>
      <w:r>
        <w:rPr>
          <w:rFonts w:ascii="Times New Roman" w:cs="Times New Roman" w:eastAsia="Times New Roman" w:hAnsi="Times New Roman"/>
          <w:sz w:val="18"/>
          <w:szCs w:val="18"/>
          <w:color w:val="auto"/>
        </w:rPr>
        <w:t>(v)  The Company is a corporation duly organized and validly existing under the Laws of the State of Delaware and has the capacity and corporate power and authority to enter into this Warrant Certificate.</w:t>
      </w:r>
    </w:p>
    <w:p>
      <w:pPr>
        <w:spacing w:after="0" w:line="162" w:lineRule="exact"/>
        <w:rPr>
          <w:sz w:val="20"/>
          <w:szCs w:val="20"/>
          <w:color w:val="auto"/>
        </w:rPr>
      </w:pPr>
    </w:p>
    <w:p>
      <w:pPr>
        <w:ind w:right="360" w:firstLine="982"/>
        <w:spacing w:after="0" w:line="278" w:lineRule="auto"/>
        <w:rPr>
          <w:sz w:val="20"/>
          <w:szCs w:val="20"/>
          <w:color w:val="auto"/>
        </w:rPr>
      </w:pPr>
      <w:r>
        <w:rPr>
          <w:rFonts w:ascii="Times New Roman" w:cs="Times New Roman" w:eastAsia="Times New Roman" w:hAnsi="Times New Roman"/>
          <w:sz w:val="18"/>
          <w:szCs w:val="18"/>
          <w:color w:val="auto"/>
        </w:rPr>
        <w:t>(vi)  The Company has taken or caused to be taken all action required to be taken by it, any of its shareholders or any other Person to authorize the execution, delivery and performance of this Warrant Certificate and the issuance of the Warrant Shares.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   This Warrant Certificate has been duly executed by the Company.</w:t>
      </w:r>
    </w:p>
    <w:p>
      <w:pPr>
        <w:spacing w:after="0" w:line="221" w:lineRule="exact"/>
        <w:rPr>
          <w:sz w:val="20"/>
          <w:szCs w:val="20"/>
          <w:color w:val="auto"/>
        </w:rPr>
      </w:pPr>
    </w:p>
    <w:p>
      <w:pPr>
        <w:ind w:right="340" w:firstLine="982"/>
        <w:spacing w:after="0" w:line="278" w:lineRule="auto"/>
        <w:rPr>
          <w:sz w:val="20"/>
          <w:szCs w:val="20"/>
          <w:color w:val="auto"/>
        </w:rPr>
      </w:pPr>
      <w:r>
        <w:rPr>
          <w:rFonts w:ascii="Times New Roman" w:cs="Times New Roman" w:eastAsia="Times New Roman" w:hAnsi="Times New Roman"/>
          <w:sz w:val="18"/>
          <w:szCs w:val="18"/>
          <w:color w:val="auto"/>
        </w:rPr>
        <w:t>(viii)  The obligations of the Company under this Warrant Certificate are legal, valid and binding obligations, enforceable against the Company in accordance with the terms hereof.</w:t>
      </w:r>
    </w:p>
    <w:p>
      <w:pPr>
        <w:spacing w:after="0" w:line="158"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 xml:space="preserve">(ix) </w:t>
      </w:r>
      <w:r>
        <w:rPr>
          <w:sz w:val="20"/>
          <w:szCs w:val="20"/>
          <w:color w:val="auto"/>
        </w:rPr>
        <w:tab/>
      </w:r>
      <w:r>
        <w:rPr>
          <w:rFonts w:ascii="Times New Roman" w:cs="Times New Roman" w:eastAsia="Times New Roman" w:hAnsi="Times New Roman"/>
          <w:sz w:val="17"/>
          <w:szCs w:val="17"/>
          <w:color w:val="auto"/>
        </w:rPr>
        <w:t xml:space="preserve">The Company has complied with all obligations set forth in </w:t>
      </w:r>
      <w:r>
        <w:rPr>
          <w:rFonts w:ascii="Times New Roman" w:cs="Times New Roman" w:eastAsia="Times New Roman" w:hAnsi="Times New Roman"/>
          <w:sz w:val="17"/>
          <w:szCs w:val="17"/>
          <w:b w:val="1"/>
          <w:bCs w:val="1"/>
          <w:color w:val="auto"/>
        </w:rPr>
        <w:t>Section 3(i)</w:t>
      </w:r>
      <w:r>
        <w:rPr>
          <w:rFonts w:ascii="Times New Roman" w:cs="Times New Roman" w:eastAsia="Times New Roman" w:hAnsi="Times New Roman"/>
          <w:sz w:val="17"/>
          <w:szCs w:val="17"/>
          <w:color w:val="auto"/>
        </w:rPr>
        <w:t>, below.</w:t>
      </w:r>
    </w:p>
    <w:p>
      <w:pPr>
        <w:spacing w:after="0" w:line="221" w:lineRule="exact"/>
        <w:rPr>
          <w:sz w:val="20"/>
          <w:szCs w:val="20"/>
          <w:color w:val="auto"/>
        </w:rPr>
      </w:pPr>
    </w:p>
    <w:p>
      <w:pPr>
        <w:ind w:right="220" w:firstLine="436"/>
        <w:spacing w:after="0" w:line="259"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Conditional Exercise</w:t>
      </w:r>
      <w:r>
        <w:rPr>
          <w:rFonts w:ascii="Times New Roman" w:cs="Times New Roman" w:eastAsia="Times New Roman" w:hAnsi="Times New Roman"/>
          <w:sz w:val="18"/>
          <w:szCs w:val="18"/>
          <w:color w:val="auto"/>
        </w:rPr>
        <w:t>. Notwithstanding any other provision hereof, if an exercise of all or any portion of this Warrant Certificate is to be made in connection with a Public Offering, a Sale of the Company or other possible liquidity transaction, such exercise may, at the election of the Holder, be conditioned upon the consummation of such transaction, in which case such exercise shall not be deemed to be effective until immediately prior to the consummation of such transaction.</w:t>
      </w:r>
    </w:p>
    <w:p>
      <w:pPr>
        <w:spacing w:after="0" w:line="176"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Reservation of Shares</w:t>
      </w:r>
      <w:r>
        <w:rPr>
          <w:rFonts w:ascii="Times New Roman" w:cs="Times New Roman" w:eastAsia="Times New Roman" w:hAnsi="Times New Roman"/>
          <w:sz w:val="18"/>
          <w:szCs w:val="18"/>
          <w:color w:val="auto"/>
        </w:rPr>
        <w:t>. The Company shall at all times during the Exercise Period reserve and keep available out of its authorized but unissued Series D Preferred Stock or (if applicable) other Equity Interests constituting Warrant Shares (including its Common Stock or other Equity Interests) or into which Series D Preferred Stock may be exercised for or converted into, solely for the purpose of issuance upon the exercise of this Warrant Certificate, the maximum number of Warrant Shares or other Equity Interests issuable upon the exercise of this Warrant Certificate or the conversion or exchange of Warrant Shares issuable upon such exercise. The Company shall not increase the par value of any Warrant Shares receivable upon the exercise of this Warrant Certificate above the Exercise Price then in effect, and shall take all such actions within its power as may be necessary or appropriate in order that the Company may validly and legally issue fully paid and nonassessable Warrant Shares upon the exercise of this Warrant Certificate.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412" w:name="page413"/>
    <w:bookmarkEnd w:id="412"/>
    <w:p>
      <w:pPr>
        <w:ind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(j)  </w:t>
      </w:r>
      <w:r>
        <w:rPr>
          <w:rFonts w:ascii="Times New Roman" w:cs="Times New Roman" w:eastAsia="Times New Roman" w:hAnsi="Times New Roman"/>
          <w:sz w:val="18"/>
          <w:szCs w:val="18"/>
          <w:b w:val="1"/>
          <w:bCs w:val="1"/>
          <w:color w:val="auto"/>
        </w:rPr>
        <w:t>Rule 144 Compliance</w:t>
      </w:r>
      <w:r>
        <w:rPr>
          <w:rFonts w:ascii="Times New Roman" w:cs="Times New Roman" w:eastAsia="Times New Roman" w:hAnsi="Times New Roman"/>
          <w:sz w:val="18"/>
          <w:szCs w:val="18"/>
          <w:color w:val="auto"/>
        </w:rPr>
        <w:t>. At all times following the closing of a Public Offering, and with a view to making available to the Holder the benefits of Rule 144 and any other rule or regulation of the SEC that may at any time permit a holder to sell securities of the Company to the public without registration or pursuant to a Registration Statement, the Company shall:</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use reasonable commercial efforts to make and keep adequate public information available, as required by clause (c) of Rule 144;</w:t>
      </w:r>
    </w:p>
    <w:p>
      <w:pPr>
        <w:spacing w:after="0" w:line="221" w:lineRule="exact"/>
        <w:rPr>
          <w:sz w:val="20"/>
          <w:szCs w:val="20"/>
          <w:color w:val="auto"/>
        </w:rPr>
      </w:pPr>
    </w:p>
    <w:p>
      <w:pPr>
        <w:ind w:right="100" w:firstLine="982"/>
        <w:spacing w:after="0" w:line="278" w:lineRule="auto"/>
        <w:rPr>
          <w:sz w:val="20"/>
          <w:szCs w:val="20"/>
          <w:color w:val="auto"/>
        </w:rPr>
      </w:pPr>
      <w:r>
        <w:rPr>
          <w:rFonts w:ascii="Times New Roman" w:cs="Times New Roman" w:eastAsia="Times New Roman" w:hAnsi="Times New Roman"/>
          <w:sz w:val="18"/>
          <w:szCs w:val="18"/>
          <w:color w:val="auto"/>
        </w:rPr>
        <w:t>(ii)  use reasonable commercial efforts to file with the SEC in a timely manner all reports and other documents required of the Company under the Securities Act and the Exchange Act; and</w:t>
      </w:r>
    </w:p>
    <w:p>
      <w:pPr>
        <w:spacing w:after="0" w:line="162"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(iii)  furnish, or otherwise make available to the Holder so long as the Holder owns Warrant Shares, promptly upon request, a written statement by the Company as to its compliance with the reporting requirements of Rule 144 and the Exchange Act, a copy of the most recent annual or quarterly report of the Company, and such other reports and documents so filed or furnished by the Company as such holder may reasonably request in connection with the sale of Series D Preferred Stock without registration.</w:t>
      </w:r>
    </w:p>
    <w:p>
      <w:pPr>
        <w:spacing w:after="0" w:line="176"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Ownership Cap</w:t>
      </w:r>
      <w:r>
        <w:rPr>
          <w:rFonts w:ascii="Times New Roman" w:cs="Times New Roman" w:eastAsia="Times New Roman" w:hAnsi="Times New Roman"/>
          <w:sz w:val="18"/>
          <w:szCs w:val="18"/>
          <w:color w:val="auto"/>
        </w:rPr>
        <w:t>. The Company shall not knowingly effect the exercise of this Warrant Certificate, and the Initial Holder shall not have the right to exercise this Warrant Certificate to the extent that, after giving effect to such exercise, the Initial Holder (together with its Affiliates) would beneficially own in excess of 9.99% of the Equity Interests of the Company having ordinary voting rights outstanding immediately after giving effect to such exercise. For purposes of the foregoing sentence, the aggregate number of such voting Equity Interests beneficially owned by the Initial Holder and its Affiliates shall include the number of Warrant Shares issuable upon exercise of this Warrant Certificate with respect to which the determination of such aggregate number is being made, but shall exclude Warrant Shares that do not have ordinary voting rights or that would be issuable upon</w:t>
      </w:r>
    </w:p>
    <w:p>
      <w:pPr>
        <w:spacing w:after="0" w:line="3" w:lineRule="exact"/>
        <w:rPr>
          <w:sz w:val="20"/>
          <w:szCs w:val="20"/>
          <w:color w:val="auto"/>
        </w:rPr>
      </w:pPr>
    </w:p>
    <w:p>
      <w:pPr>
        <w:ind w:right="40" w:firstLine="7"/>
        <w:spacing w:after="0" w:line="249" w:lineRule="auto"/>
        <w:tabs>
          <w:tab w:leader="none" w:pos="21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remaining, unexercised portion of this Warrant Certificate beneficially owned by the Initial Holder and its Affiliates and (ii) exercise or conversion of the unexercised or unconverted portion of any other Equity Interests of the Company beneficially owned by the Initial Holder and its Affiliates (including, without limitation, any Convertible Securities) subject to a limitation on conversion or exercise analogous to the limitations contained herein. Except as set forth in the preceding sentence, for purposes of this </w:t>
      </w:r>
      <w:r>
        <w:rPr>
          <w:rFonts w:ascii="Times New Roman" w:cs="Times New Roman" w:eastAsia="Times New Roman" w:hAnsi="Times New Roman"/>
          <w:sz w:val="18"/>
          <w:szCs w:val="18"/>
          <w:b w:val="1"/>
          <w:bCs w:val="1"/>
          <w:color w:val="auto"/>
        </w:rPr>
        <w:t>Section 3(k)</w:t>
      </w:r>
      <w:r>
        <w:rPr>
          <w:rFonts w:ascii="Times New Roman" w:cs="Times New Roman" w:eastAsia="Times New Roman" w:hAnsi="Times New Roman"/>
          <w:sz w:val="18"/>
          <w:szCs w:val="18"/>
          <w:color w:val="auto"/>
        </w:rPr>
        <w:t>, beneficial ownership shall be calculated in accordance with Section 13(d) of the Exchange Act. For purposes of this Warrant Certificate, in determining the number of outstanding Equity Interests of the Company having ordinary voting rights the Initial Holder of this Warrant Certificate may rely on the number of such outstanding Equity Interests as reflected in the most recent of (i) if available, the Company’s Form 10-K, Form 10-Q or other public filing with the SEC, as the case may be, (ii) a more recent public announcement by the Company, or (iii) any other notice by the Company or its transfer agent setting forth the number of such Equity Interests outstanding. In addition, upon the written request of the Initial Holder, the Company shall, within five (5) Business Days, confirm to the Initial Holder the number of its shares of Equity Interests having ordinary voting rights then outstanding.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4" w:right="519" w:bottom="1440" w:gutter="0" w:footer="0" w:header="0"/>
        </w:sectPr>
      </w:pPr>
    </w:p>
    <w:bookmarkStart w:id="413" w:name="page414"/>
    <w:bookmarkEnd w:id="413"/>
    <w:p>
      <w:pPr>
        <w:ind w:right="240"/>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Adjustment to Number of Warrant Shares, Exercise Price, etc</w:t>
      </w:r>
      <w:r>
        <w:rPr>
          <w:rFonts w:ascii="Times New Roman" w:cs="Times New Roman" w:eastAsia="Times New Roman" w:hAnsi="Times New Roman"/>
          <w:sz w:val="18"/>
          <w:szCs w:val="18"/>
          <w:color w:val="auto"/>
        </w:rPr>
        <w:t>. The number of Warrant Shares issuable upon exercise of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shall be subject to adjustment from time to time as provided in this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Adjustment to Number of Warrant Shares Upon Reorganizations, Reclassifications, etc.</w:t>
      </w:r>
      <w:r>
        <w:rPr>
          <w:rFonts w:ascii="Times New Roman" w:cs="Times New Roman" w:eastAsia="Times New Roman" w:hAnsi="Times New Roman"/>
          <w:sz w:val="18"/>
          <w:szCs w:val="18"/>
          <w:color w:val="auto"/>
        </w:rPr>
        <w:t xml:space="preserve"> Except with respect to any Share Reorganization that will occur after giving effect to an automatic Cashless Exercise pursuant to </w:t>
      </w:r>
      <w:r>
        <w:rPr>
          <w:rFonts w:ascii="Times New Roman" w:cs="Times New Roman" w:eastAsia="Times New Roman" w:hAnsi="Times New Roman"/>
          <w:sz w:val="18"/>
          <w:szCs w:val="18"/>
          <w:b w:val="1"/>
          <w:bCs w:val="1"/>
          <w:color w:val="auto"/>
        </w:rPr>
        <w:t>Section 3(c)</w:t>
      </w:r>
      <w:r>
        <w:rPr>
          <w:rFonts w:ascii="Times New Roman" w:cs="Times New Roman" w:eastAsia="Times New Roman" w:hAnsi="Times New Roman"/>
          <w:sz w:val="18"/>
          <w:szCs w:val="18"/>
          <w:color w:val="auto"/>
        </w:rPr>
        <w:t xml:space="preserve"> above in connection with a Sale of the Company, in the event of any changes in the number of Warrant Shares Deemed Outstanding (or the number of outstanding Equity Interests into which Warrant Shares may be exercisable or convertible into) by reason of redemptions, recapitalizations, reclassifications, combinations or exchanges of shares, splits or reverse splits, separations, reorganizations, liquidations, substitutions, replacements or the like (any of the foregoing or combination thereof being a “</w:t>
      </w:r>
      <w:r>
        <w:rPr>
          <w:rFonts w:ascii="Times New Roman" w:cs="Times New Roman" w:eastAsia="Times New Roman" w:hAnsi="Times New Roman"/>
          <w:sz w:val="18"/>
          <w:szCs w:val="18"/>
          <w:b w:val="1"/>
          <w:bCs w:val="1"/>
          <w:i w:val="1"/>
          <w:iCs w:val="1"/>
          <w:color w:val="auto"/>
        </w:rPr>
        <w:t>Share Reorganization</w:t>
      </w:r>
      <w:r>
        <w:rPr>
          <w:rFonts w:ascii="Times New Roman" w:cs="Times New Roman" w:eastAsia="Times New Roman" w:hAnsi="Times New Roman"/>
          <w:sz w:val="18"/>
          <w:szCs w:val="18"/>
          <w:color w:val="auto"/>
        </w:rPr>
        <w:t>”), the number and class of Warrant Shares available upon exercise of this Warrant Certificate in the aggregate and the Exercise Price per share shall be correspondingly adjusted as may be necessary in order to give the Holder of this Warrant Certificate, upon exercise, the total number, class, and kind of shares as the Holder would have owned (or would have had the right to own upon exercise hereof) had this Warrant Certificate been exercised prior to any such event and had the Holder continued to hold such Warrant Shares until after the event requiring adjustment. The form of this Warrant Certificate need not be changed because of any adjustment in the number of Warrant Shares subject to this Warrant Certificate.</w:t>
      </w:r>
    </w:p>
    <w:p>
      <w:pPr>
        <w:spacing w:after="0" w:line="187"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Adjustment to Exercise Price.</w:t>
      </w:r>
      <w:r>
        <w:rPr>
          <w:rFonts w:ascii="Times New Roman" w:cs="Times New Roman" w:eastAsia="Times New Roman" w:hAnsi="Times New Roman"/>
          <w:sz w:val="18"/>
          <w:szCs w:val="18"/>
          <w:color w:val="auto"/>
        </w:rPr>
        <w:t xml:space="preserve"> The Exercise Price applicable to the Warrant Shares issuable upon exercise of this Warrant Certificate shall be adjusted as and when the Conversion Price (as defined in the Certificate of Incorporation) of the Company’s Series D Preferred Stock is adjusted in accordance with and subject to the terms of the Certificate of Incorporation, only with respect to the portion of this Warrant Certificate that has not been exercised as of the date of such adjustment.</w:t>
      </w:r>
    </w:p>
    <w:p>
      <w:pPr>
        <w:spacing w:after="0" w:line="176" w:lineRule="exact"/>
        <w:rPr>
          <w:sz w:val="20"/>
          <w:szCs w:val="20"/>
          <w:color w:val="auto"/>
        </w:rPr>
      </w:pPr>
    </w:p>
    <w:p>
      <w:pPr>
        <w:ind w:right="80" w:firstLine="436"/>
        <w:spacing w:after="0" w:line="272"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Adjustment to Number of Warrant Shares Upon Certain Dividends, etc</w:t>
      </w:r>
      <w:r>
        <w:rPr>
          <w:rFonts w:ascii="Times New Roman" w:cs="Times New Roman" w:eastAsia="Times New Roman" w:hAnsi="Times New Roman"/>
          <w:sz w:val="17"/>
          <w:szCs w:val="17"/>
          <w:color w:val="auto"/>
        </w:rPr>
        <w:t>. If the Company declares or pays a dividend or distribution on the outstanding shares of its Series D Preferred Stock payable in cash, Equity Interests or other property (or prior to the exercise of this Warrant Certificate in full the holders of Series D Preferred Stock become entitled to receive any such dividend or distribution payable in respect of any Equity Interests into which the Series D Preferred Stock is convertible or exchangeable), then upon exercise of this Warrant Certificate, for each Warrant Share acquired, the Holder shall receive, without additional cost to the Holder, the total amount, number and kind of cash, Equity Interests or other property which the Holder would have received had the Holder owned the Warrant Shares of record as of the date such dividend or distribution occurred.</w:t>
      </w:r>
    </w:p>
    <w:p>
      <w:pPr>
        <w:spacing w:after="0" w:line="169"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Changes to Conversion Rate or Conversion Price of Series D Preferred Stock</w:t>
      </w:r>
      <w:r>
        <w:rPr>
          <w:rFonts w:ascii="Times New Roman" w:cs="Times New Roman" w:eastAsia="Times New Roman" w:hAnsi="Times New Roman"/>
          <w:sz w:val="18"/>
          <w:szCs w:val="18"/>
          <w:color w:val="auto"/>
        </w:rPr>
        <w:t xml:space="preserve">. Without limiting the foregoing, but without duplication of any adjustment to be made pursuant to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4(b)</w:t>
      </w:r>
      <w:r>
        <w:rPr>
          <w:rFonts w:ascii="Times New Roman" w:cs="Times New Roman" w:eastAsia="Times New Roman" w:hAnsi="Times New Roman"/>
          <w:sz w:val="18"/>
          <w:szCs w:val="18"/>
          <w:color w:val="auto"/>
        </w:rPr>
        <w:t xml:space="preserve"> above, in the event of any changes to the Series D Preferred Stock Conversion Rate or Conversion Price pursuant to the terms of (and as defined in) the Certificate of Incorporation, then upon exercise of this Warrant Certificate, each Warrant Share acquired as a result of such exercise, without additional cost to the Holder, shall be subject to the Conversion Rate or Conversion Price last in effect for the Series D Preferred Stock, as if the Holder had owned the Warrant Shares of record as of the date of such change.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4" w:right="519" w:bottom="1440" w:gutter="0" w:footer="0" w:header="0"/>
        </w:sectPr>
      </w:pPr>
    </w:p>
    <w:bookmarkStart w:id="414" w:name="page415"/>
    <w:bookmarkEnd w:id="414"/>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color w:val="auto"/>
        </w:rPr>
        <w:t>Mandatory Conversion of Series D Preferred Stock</w:t>
      </w:r>
      <w:r>
        <w:rPr>
          <w:rFonts w:ascii="Times New Roman" w:cs="Times New Roman" w:eastAsia="Times New Roman" w:hAnsi="Times New Roman"/>
          <w:sz w:val="18"/>
          <w:szCs w:val="18"/>
          <w:color w:val="auto"/>
        </w:rPr>
        <w:t>. In the event that, pursuant to the provisions of the Certificate of Incorporation, all outstanding shares of Series D Preferred Stock are converted, automatically or by action of the holders thereof, into Common Stock (or other Equity Interests), then from and after the date on which all outstanding shares of Series D Preferred Stock have been so converted, this Warrant Certificate shall be exercisable for such number of shares of Common Stock (or other Equity Interests) into which the Warrant Shares would have been converted had the Holder held such Warrant Shares on the date of such conversion, and the Exercise Price shall equal the Exercise Price in effect as of immediately prior to such conversion divided by the number of shares of Common Stock (or other Equity Interests) into which one Warrant Share would have been converted, all subject to further adjustment thereafter from time to time in accordance with the provisions of this Warrant Certificate.</w:t>
      </w:r>
    </w:p>
    <w:p>
      <w:pPr>
        <w:spacing w:after="0" w:line="291" w:lineRule="exact"/>
        <w:rPr>
          <w:sz w:val="20"/>
          <w:szCs w:val="20"/>
          <w:color w:val="auto"/>
        </w:rPr>
      </w:pPr>
    </w:p>
    <w:p>
      <w:pPr>
        <w:ind w:left="660" w:hanging="216"/>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Certificate as to Adjustment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(i)  As promptly as reasonably practicable following any change or adjustment of the type described above in this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but in any event not later than five (5) Business Days thereafter, the Company shall furnish to the Holder a certificate of a Responsible Officer setting forth in reasonable detail such change or adjustment and the facts upon which it is based and certifying the calculation thereof.</w:t>
      </w:r>
    </w:p>
    <w:p>
      <w:pPr>
        <w:spacing w:after="0" w:line="174" w:lineRule="exact"/>
        <w:rPr>
          <w:sz w:val="20"/>
          <w:szCs w:val="20"/>
          <w:color w:val="auto"/>
        </w:rPr>
      </w:pPr>
    </w:p>
    <w:p>
      <w:pPr>
        <w:ind w:right="80" w:firstLine="982"/>
        <w:spacing w:after="0" w:line="263" w:lineRule="auto"/>
        <w:rPr>
          <w:sz w:val="20"/>
          <w:szCs w:val="20"/>
          <w:color w:val="auto"/>
        </w:rPr>
      </w:pPr>
      <w:r>
        <w:rPr>
          <w:rFonts w:ascii="Times New Roman" w:cs="Times New Roman" w:eastAsia="Times New Roman" w:hAnsi="Times New Roman"/>
          <w:sz w:val="18"/>
          <w:szCs w:val="18"/>
          <w:color w:val="auto"/>
        </w:rPr>
        <w:t>(ii)  As promptly as reasonably practicable following the receipt by the Company of a written request by the Holder, but in any event not later than five (5) Business Days thereafter, the Company shall furnish to the Holder a certificate of a Responsible Officer certifying the number of Warrant Shares or the amount, if any, of other Equity Interests, securities or assets then issuable upon exercise of the Warrant Certificate.</w:t>
      </w:r>
    </w:p>
    <w:p>
      <w:pPr>
        <w:spacing w:after="0" w:line="171" w:lineRule="exact"/>
        <w:rPr>
          <w:sz w:val="20"/>
          <w:szCs w:val="20"/>
          <w:color w:val="auto"/>
        </w:rPr>
      </w:pPr>
    </w:p>
    <w:p>
      <w:pPr>
        <w:ind w:right="260" w:firstLine="436"/>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In the event that, at any time during the Exercise Period the Company shall take a record of the holders of its outstanding capital stock (or other Equity Interests at the time issuable upon exercise of this Warrant Certificate) for the purpose of:</w:t>
      </w:r>
    </w:p>
    <w:p>
      <w:pPr>
        <w:spacing w:after="0" w:line="160"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(i)  entitling or enabling such holders to receive any dividend or other distribution, to receive any right to subscribe for or purchase any shares of capital stock of any class or any other securities, or to receive any other security;</w:t>
      </w:r>
    </w:p>
    <w:p>
      <w:pPr>
        <w:spacing w:after="0" w:line="162" w:lineRule="exact"/>
        <w:rPr>
          <w:sz w:val="20"/>
          <w:szCs w:val="20"/>
          <w:color w:val="auto"/>
        </w:rPr>
      </w:pPr>
    </w:p>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t>(ii)  (x) any capital reorganization of the Company, any reclassification of any outstanding securities, any consolidation or merger of the Company with or into another Person, any Public Offering of the Company’s Equity Interests, (y) a sale of all or substantially all of the Company’s assets to another Person or (z) any liquidation, bankruptcy, dissolution, winding-up or any similar event of the Company; or</w:t>
      </w:r>
    </w:p>
    <w:p>
      <w:pPr>
        <w:spacing w:after="0" w:line="175"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(iii)  the voluntary or involuntary dissolution, liquidation or winding-up of the Company (including by way of a bankruptcy or equivalent insolvency proceeding);</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4" w:right="539" w:bottom="1440" w:gutter="0" w:footer="0" w:header="0"/>
        </w:sectPr>
      </w:pPr>
    </w:p>
    <w:bookmarkStart w:id="415" w:name="page416"/>
    <w:bookmarkEnd w:id="415"/>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then, and in each such case, the Company shall send or cause to be sent to the Holder at least five (5) Business Days prior to the applicable record date or the applicable expected effective date, as the case may be, for the event, a written notice specifying, as the case may be, (A) the record date for such dividend, distribution or other right or action, and a description of such dividend, distribution or other right or action,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its capital stock (or such other Equity Interests at the time issuable upon exercise of the Warrant Certificate) shall be entitled to exchange their shares of capital stock (or such other Equity Interests), for securities or other property deliverable upon such reorganization, reclassification, consolidation, merger, sale, dissolution, liquidation or winding-up, and the amount per share and character of such exchange applicable to the Warrant Certificate and the Warrant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[Reserved].</w:t>
      </w:r>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Warrant Register</w:t>
      </w:r>
      <w:r>
        <w:rPr>
          <w:rFonts w:ascii="Times New Roman" w:cs="Times New Roman" w:eastAsia="Times New Roman" w:hAnsi="Times New Roman"/>
          <w:sz w:val="18"/>
          <w:szCs w:val="18"/>
          <w:color w:val="auto"/>
        </w:rPr>
        <w:t>. The Company shall keep and properly maintain at its principal executive offices a register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Transfer of Warrant Certificate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Section 11 </w:t>
      </w:r>
      <w:r>
        <w:rPr>
          <w:rFonts w:ascii="Times New Roman" w:cs="Times New Roman" w:eastAsia="Times New Roman" w:hAnsi="Times New Roman"/>
          <w:sz w:val="18"/>
          <w:szCs w:val="18"/>
          <w:color w:val="auto"/>
        </w:rPr>
        <w:t>hereof, this Warrant Certificate and all rights hereunder are transferable, in 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in part, by the Holder without charge to the Holder, upon surrender of this Warrant Certificate to the Company at its then principal executive offices with a properly completed and duly executed instrument of assignment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Upon such compliance, surrender and delivery, the Company shall execute and deliver a new Warrant Certificate or Warrant Certificates in the name of the assignee or assignees and in the denominations specified in such Assignment, and shall issue to the assignor a new Warrant Certificate evidencing the portion of this Warrant Certificate, if any, not so assigned, and this Warrant Certificate shall promptly be cancelled.</w:t>
      </w:r>
    </w:p>
    <w:p>
      <w:pPr>
        <w:spacing w:after="0" w:line="17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The Holder Not Deemed a Shareholder; Limitations on Liability</w:t>
      </w:r>
      <w:r>
        <w:rPr>
          <w:rFonts w:ascii="Times New Roman" w:cs="Times New Roman" w:eastAsia="Times New Roman" w:hAnsi="Times New Roman"/>
          <w:sz w:val="18"/>
          <w:szCs w:val="18"/>
          <w:color w:val="auto"/>
        </w:rPr>
        <w:t>. Except as otherwise specifically provided herein (including in</w:t>
      </w:r>
      <w:r>
        <w:rPr>
          <w:rFonts w:ascii="Times New Roman" w:cs="Times New Roman" w:eastAsia="Times New Roman" w:hAnsi="Times New Roman"/>
          <w:sz w:val="18"/>
          <w:szCs w:val="18"/>
          <w:b w:val="1"/>
          <w:bCs w:val="1"/>
          <w:color w:val="auto"/>
        </w:rPr>
        <w:t xml:space="preserve"> Section 4(c) </w:t>
      </w:r>
      <w:r>
        <w:rPr>
          <w:rFonts w:ascii="Times New Roman" w:cs="Times New Roman" w:eastAsia="Times New Roman" w:hAnsi="Times New Roman"/>
          <w:sz w:val="18"/>
          <w:szCs w:val="18"/>
          <w:color w:val="auto"/>
        </w:rPr>
        <w:t>above), (i) prior to the Exercise Date, the Holder shall not be entitled to receive dividends, nor shall anything contained in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be construed to confer upon the Holder, as such, any of the rights of a shareholder of the Company or any right to receive dividends or subscription rights, and (ii) prior to the registration of the Holder in the share register of the Company with respect to the Warrant Shares to which the Holder is then entitled to receive upon the due exercise of this Warrant Certificate, the Holder shall not be entitled to vote, nor shall anything contained in this Warrant Certificate be construed to confer upon the Holder, as such, any right to vote, give or withhold consent to any corporate action (whether any reorganization, issue of stock, reclassification of</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416" w:name="page417"/>
    <w:bookmarkEnd w:id="41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stock, consolidation, merger, conveyance or otherwise) or receive notice of meetings. In addition, nothing contained in this Warrant Certificate shall be construed as imposing any liabilities on the Holder to purchase any securities (upon exercise of this Warrant Certificate or otherwise) or as a shareholder of the Company, whether such liabilities are asserted by the Company or by creditors of the Company. Notwithstanding this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the Company shall provide the Holder with copies of the same notices and other information given to all stockholders of the Company generally, contemporaneously with the giving thereof to such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Replacement on Loss; Division and Combination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Replacement of Warrant Certificate on Loss</w:t>
      </w:r>
      <w:r>
        <w:rPr>
          <w:rFonts w:ascii="Times New Roman" w:cs="Times New Roman" w:eastAsia="Times New Roman" w:hAnsi="Times New Roman"/>
          <w:sz w:val="18"/>
          <w:szCs w:val="18"/>
          <w:color w:val="auto"/>
        </w:rPr>
        <w:t xml:space="preserve">. Subject to any further requirements in relation to the cancellation of this Warrant Certificate pursuant to applicable Law,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mutilation, no indemnity shall be required if this Warrant Certificate in identifiable form is surrendered to the Company for cancellation.</w:t>
      </w:r>
    </w:p>
    <w:p>
      <w:pPr>
        <w:spacing w:after="0" w:line="18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Division and Combination of Warrant Certificate</w:t>
      </w:r>
      <w:r>
        <w:rPr>
          <w:rFonts w:ascii="Times New Roman" w:cs="Times New Roman" w:eastAsia="Times New Roman" w:hAnsi="Times New Roman"/>
          <w:sz w:val="18"/>
          <w:szCs w:val="18"/>
          <w:color w:val="auto"/>
        </w:rPr>
        <w:t>. Subject to compliance with the applicable provisions of this 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each applicable Holder or its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Disputes; No Impairment, etc</w:t>
      </w:r>
      <w:r>
        <w:rPr>
          <w:rFonts w:ascii="Times New Roman" w:cs="Times New Roman" w:eastAsia="Times New Roman" w:hAnsi="Times New Roman"/>
          <w:sz w:val="18"/>
          <w:szCs w:val="18"/>
          <w:color w:val="auto"/>
        </w:rPr>
        <w:t>. The parties hereto agree as follows:</w:t>
      </w:r>
    </w:p>
    <w:p>
      <w:pPr>
        <w:spacing w:after="0" w:line="114"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Disputes</w:t>
      </w:r>
      <w:r>
        <w:rPr>
          <w:rFonts w:ascii="Times New Roman" w:cs="Times New Roman" w:eastAsia="Times New Roman" w:hAnsi="Times New Roman"/>
          <w:sz w:val="18"/>
          <w:szCs w:val="18"/>
          <w:color w:val="auto"/>
        </w:rPr>
        <w:t>. In the event of any dispute which arises between the Holder and the Company (including the Board of the Company) with respect to the calculation or determination of the adjusted Exercise Price, the number of Warrant Shares, other Equity Interests, Fair Market Value, cash or other property issuable upon exercise of this Warrant Certificate, the amount or type of consideration due to the Holder in connection with any event, transaction or other matter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417" w:name="page418"/>
    <w:bookmarkEnd w:id="417"/>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described in </w:t>
      </w:r>
      <w:r>
        <w:rPr>
          <w:rFonts w:ascii="Times New Roman" w:cs="Times New Roman" w:eastAsia="Times New Roman" w:hAnsi="Times New Roman"/>
          <w:sz w:val="17"/>
          <w:szCs w:val="17"/>
          <w:b w:val="1"/>
          <w:bCs w:val="1"/>
          <w:color w:val="auto"/>
        </w:rPr>
        <w:t>Section 4</w:t>
      </w:r>
      <w:r>
        <w:rPr>
          <w:rFonts w:ascii="Times New Roman" w:cs="Times New Roman" w:eastAsia="Times New Roman" w:hAnsi="Times New Roman"/>
          <w:sz w:val="17"/>
          <w:szCs w:val="17"/>
          <w:color w:val="auto"/>
        </w:rPr>
        <w:t xml:space="preserve"> above or any other matter involving this Warrant Certificate or the Warrant Shares that is not resolved by the parties after good faith discussions and efforts to reach resolution, upon the request of the Holder the disputed issue(s) shall be submitted to a firm of independent investment bankers or public accountants of recognized national standing, which shall be chosen by the Company and be reasonably satisfactory to the Holder (a “</w:t>
      </w:r>
      <w:r>
        <w:rPr>
          <w:rFonts w:ascii="Times New Roman" w:cs="Times New Roman" w:eastAsia="Times New Roman" w:hAnsi="Times New Roman"/>
          <w:sz w:val="17"/>
          <w:szCs w:val="17"/>
          <w:b w:val="1"/>
          <w:bCs w:val="1"/>
          <w:i w:val="1"/>
          <w:iCs w:val="1"/>
          <w:color w:val="auto"/>
        </w:rPr>
        <w:t>Valuation Advisor</w:t>
      </w:r>
      <w:r>
        <w:rPr>
          <w:rFonts w:ascii="Times New Roman" w:cs="Times New Roman" w:eastAsia="Times New Roman" w:hAnsi="Times New Roman"/>
          <w:sz w:val="17"/>
          <w:szCs w:val="17"/>
          <w:color w:val="auto"/>
        </w:rPr>
        <w:t>”), for determination, and such determination by the Valuation Advisor shall be binding upon the Company and the Holder with respect to this Warrant, any Warrant Shares issued or issuable in connection herewith, the Exercise Price therefor, or any other matter in dispute, as the case may be, absent manifest error. Costs and expenses of the Independent Advisor shall be shared 50/50 by the Company and the Holder.</w:t>
      </w:r>
    </w:p>
    <w:p>
      <w:pPr>
        <w:spacing w:after="0" w:line="169"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Equitable Equivalent</w:t>
      </w:r>
      <w:r>
        <w:rPr>
          <w:rFonts w:ascii="Times New Roman" w:cs="Times New Roman" w:eastAsia="Times New Roman" w:hAnsi="Times New Roman"/>
          <w:sz w:val="18"/>
          <w:szCs w:val="18"/>
          <w:color w:val="auto"/>
        </w:rPr>
        <w:t xml:space="preserve">. In case any event shall occur as to which the provisions of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 xml:space="preserve"> above are not strictly applicable but the failure to make any adjustment would not, in the reasonable, good faith opinion of the Holder, fairly protect the rights and benefits of the Holder represented by this Warrant Certificate in accordance with the essential intent and principles of </w:t>
      </w:r>
      <w:r>
        <w:rPr>
          <w:rFonts w:ascii="Times New Roman" w:cs="Times New Roman" w:eastAsia="Times New Roman" w:hAnsi="Times New Roman"/>
          <w:sz w:val="18"/>
          <w:szCs w:val="18"/>
          <w:b w:val="1"/>
          <w:bCs w:val="1"/>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10(a)</w:t>
      </w:r>
      <w:r>
        <w:rPr>
          <w:rFonts w:ascii="Times New Roman" w:cs="Times New Roman" w:eastAsia="Times New Roman" w:hAnsi="Times New Roman"/>
          <w:sz w:val="18"/>
          <w:szCs w:val="18"/>
          <w:color w:val="auto"/>
        </w:rPr>
        <w:t xml:space="preserve">, then, in any such case, at the request of the Holder, the Company shall submit the matter and issues raised by the Holder to an Independent Advisor, which shall give its opinion upon the adjustment, if any, on a basis consistent with the essential intent and principles established in </w:t>
      </w:r>
      <w:r>
        <w:rPr>
          <w:rFonts w:ascii="Times New Roman" w:cs="Times New Roman" w:eastAsia="Times New Roman" w:hAnsi="Times New Roman"/>
          <w:sz w:val="18"/>
          <w:szCs w:val="18"/>
          <w:b w:val="1"/>
          <w:bCs w:val="1"/>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10(a)</w:t>
      </w:r>
      <w:r>
        <w:rPr>
          <w:rFonts w:ascii="Times New Roman" w:cs="Times New Roman" w:eastAsia="Times New Roman" w:hAnsi="Times New Roman"/>
          <w:sz w:val="18"/>
          <w:szCs w:val="18"/>
          <w:color w:val="auto"/>
        </w:rPr>
        <w:t>, to the extent necessary to preserve, without dilution, the rights and benefits represented by this Warrant Certificate. Upon receipt of such opinion, the Company will promptly mail a copy thereof to the Holder and shall make the adjustments described therein, if any. Costs and expenses of the Independent Advisor shall be shared 50/50 by the Company and the Holder.</w:t>
      </w:r>
    </w:p>
    <w:p>
      <w:pPr>
        <w:spacing w:after="0" w:line="18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Avoidance</w:t>
      </w:r>
      <w:r>
        <w:rPr>
          <w:rFonts w:ascii="Times New Roman" w:cs="Times New Roman" w:eastAsia="Times New Roman" w:hAnsi="Times New Roman"/>
          <w:sz w:val="18"/>
          <w:szCs w:val="18"/>
          <w:color w:val="auto"/>
        </w:rPr>
        <w:t>. The Company shall not, by way of amendment of any of its Organic Documents or through any consolidation, merger, reorganization, transfer of assets, dissolution, issue or sale of securities or any other voluntary action, avoid or seek to avoid the observance, performance or intended results of any of the terms or provisions of this Warrant Certificate, but will at all times in good faith assist in the carrying out of all such terms or provisions and in the taking of all such action as may be necessary or appropriate in order to protect the rights of the Holder against dilution or other impairment as if the Holder was a shareholder of the Company entitled to the benefit of fiduciary duties afforded to shareholders under Delaware law.</w:t>
      </w:r>
    </w:p>
    <w:p>
      <w:pPr>
        <w:spacing w:after="0" w:line="178" w:lineRule="exact"/>
        <w:rPr>
          <w:sz w:val="20"/>
          <w:szCs w:val="20"/>
          <w:color w:val="auto"/>
        </w:rPr>
      </w:pPr>
    </w:p>
    <w:p>
      <w:pPr>
        <w:ind w:right="2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Structural Dilution</w:t>
      </w:r>
      <w:r>
        <w:rPr>
          <w:rFonts w:ascii="Times New Roman" w:cs="Times New Roman" w:eastAsia="Times New Roman" w:hAnsi="Times New Roman"/>
          <w:sz w:val="18"/>
          <w:szCs w:val="18"/>
          <w:color w:val="auto"/>
        </w:rPr>
        <w:t xml:space="preserve">. In the event the Credit Agreement is no longer in full force and effect, so long as this Warrant Certificate remains outstanding the Company shall not permit any of its Subsidiaries to issue, sell, distribute or otherwise grant in any manner (including by assumption) any rights to subscribe for or to purchase, or any warrants or options for the purchase of any Equity Interests of such Subsidiary or any securities convertible into or exchangeable for such Equity Interests (or any rights to subscribe for or to purchase, or any warrants or options for the purchase of any such convertible or exchangeable securities), whether or not immediately exercisable or exercisable prior to the Expiration Date or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prohibit the Company from forming a Subsidiary after the Issue Date while the Credit Agreement is in effect if such formation and any Investments in such Subsidiary comply with the terms of the Credit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Compliance with the Securities Act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Agreement to Comply with the Securities Act, etc.</w:t>
      </w:r>
    </w:p>
    <w:p>
      <w:pPr>
        <w:spacing w:after="0" w:line="114"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Legend</w:t>
      </w:r>
      <w:r>
        <w:rPr>
          <w:rFonts w:ascii="Times New Roman" w:cs="Times New Roman" w:eastAsia="Times New Roman" w:hAnsi="Times New Roman"/>
          <w:sz w:val="18"/>
          <w:szCs w:val="18"/>
          <w:color w:val="auto"/>
        </w:rPr>
        <w:t xml:space="preserve">. The Holder, by acceptance of this Warrant Certificate, agrees to comply in all respects with the provisions of this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and the restrictive legend requirements set forth on the face of this Warrant Certificate and further agrees that it shall not offer, sell or otherwise dispose of this Warrant Certificate or any Warrant Shares to be issued upon exercise hereof except under circumstances that will not result in a violation of any applicable federal or state securities laws, including the Securities Act. Subject to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below, this Warrant Certificate and all Warrant Shares issued upon exercise of this Warrant Certificate (unless registered under the Securities Act) shall be stamped or imprinted with a legend in substantially the form as set forth on the face hereof.</w:t>
      </w:r>
    </w:p>
    <w:p>
      <w:pPr>
        <w:spacing w:after="0" w:line="178" w:lineRule="exact"/>
        <w:rPr>
          <w:sz w:val="20"/>
          <w:szCs w:val="20"/>
          <w:color w:val="auto"/>
        </w:rPr>
      </w:pPr>
    </w:p>
    <w:p>
      <w:pPr>
        <w:ind w:right="120" w:firstLine="982"/>
        <w:spacing w:after="0" w:line="253"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b w:val="1"/>
          <w:bCs w:val="1"/>
          <w:color w:val="auto"/>
        </w:rPr>
        <w:t>Removal of Restrictive Legends</w:t>
      </w:r>
      <w:r>
        <w:rPr>
          <w:rFonts w:ascii="Times New Roman" w:cs="Times New Roman" w:eastAsia="Times New Roman" w:hAnsi="Times New Roman"/>
          <w:sz w:val="18"/>
          <w:szCs w:val="18"/>
          <w:color w:val="auto"/>
        </w:rPr>
        <w:t xml:space="preserve">. Neither this Warrant Certificate nor any certificates evidencing Warrant Shares issuable or deliverable under or in connection with this Warrant Certificate shall contain any legend restricting the transfer thereof (including the legend required above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in any of the following circumstances: (A) following any sale of this Warrant Certificate or any Warrant Shares issued or delivered to the Holder under or in connection herewith pursuant to Rule 144, (B) if this Warrant Certificate or Warrant Shares are eligible for sale under clause (b)(1) of Rule 144, or (C) if such legend is not required under applicable requirements of the Securities Act (including judicial interpretations and pronouncements issued by the staff of the SEC) (collectively, the “</w:t>
      </w:r>
      <w:r>
        <w:rPr>
          <w:rFonts w:ascii="Times New Roman" w:cs="Times New Roman" w:eastAsia="Times New Roman" w:hAnsi="Times New Roman"/>
          <w:sz w:val="18"/>
          <w:szCs w:val="18"/>
          <w:b w:val="1"/>
          <w:bCs w:val="1"/>
          <w:i w:val="1"/>
          <w:iCs w:val="1"/>
          <w:color w:val="auto"/>
        </w:rPr>
        <w:t>Unrestricted Conditions</w:t>
      </w:r>
      <w:r>
        <w:rPr>
          <w:rFonts w:ascii="Times New Roman" w:cs="Times New Roman" w:eastAsia="Times New Roman" w:hAnsi="Times New Roman"/>
          <w:sz w:val="18"/>
          <w:szCs w:val="18"/>
          <w:color w:val="auto"/>
        </w:rPr>
        <w:t>”). This Warrant Certificate or Warrant Shares, as the case may be, shall be issued free of all legends if the Unrestricted Conditions are met at the time of issuance.</w:t>
      </w:r>
    </w:p>
    <w:p>
      <w:pPr>
        <w:spacing w:after="0" w:line="184" w:lineRule="exact"/>
        <w:rPr>
          <w:sz w:val="20"/>
          <w:szCs w:val="20"/>
          <w:color w:val="auto"/>
        </w:rPr>
      </w:pPr>
    </w:p>
    <w:p>
      <w:pPr>
        <w:jc w:val="both"/>
        <w:ind w:right="2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b w:val="1"/>
          <w:bCs w:val="1"/>
          <w:color w:val="auto"/>
        </w:rPr>
        <w:t>Replacement Warrant Certificate</w:t>
      </w:r>
      <w:r>
        <w:rPr>
          <w:rFonts w:ascii="Times New Roman" w:cs="Times New Roman" w:eastAsia="Times New Roman" w:hAnsi="Times New Roman"/>
          <w:sz w:val="18"/>
          <w:szCs w:val="18"/>
          <w:color w:val="auto"/>
        </w:rPr>
        <w:t>. The Company agrees that at such time as the Unrestricted Conditions have been satisfied it shall promptly (but in any event within ten (10) Business Days) following written request from the Holder issue a replacement Warrant Certificate or replacement Warrant Shares, as the case may be, free of all restrictive legends.</w:t>
      </w:r>
    </w:p>
    <w:p>
      <w:pPr>
        <w:spacing w:after="0" w:line="170"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b w:val="1"/>
          <w:bCs w:val="1"/>
          <w:color w:val="auto"/>
        </w:rPr>
        <w:t>Sale of Unlegended Shares</w:t>
      </w:r>
      <w:r>
        <w:rPr>
          <w:rFonts w:ascii="Times New Roman" w:cs="Times New Roman" w:eastAsia="Times New Roman" w:hAnsi="Times New Roman"/>
          <w:sz w:val="18"/>
          <w:szCs w:val="18"/>
          <w:color w:val="auto"/>
        </w:rPr>
        <w:t xml:space="preserve">. The Holder agrees that the removal of the restrictive legend from this Warrant Certificate and any certificates representing securities as set forth in </w:t>
      </w: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 xml:space="preserve"> 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spacing w:after="0" w:line="180" w:lineRule="exact"/>
        <w:rPr>
          <w:sz w:val="20"/>
          <w:szCs w:val="20"/>
          <w:color w:val="auto"/>
        </w:rPr>
      </w:pPr>
    </w:p>
    <w:p>
      <w:pPr>
        <w:ind w:right="200" w:firstLine="436"/>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Representations of the Holder</w:t>
      </w:r>
      <w:r>
        <w:rPr>
          <w:rFonts w:ascii="Times New Roman" w:cs="Times New Roman" w:eastAsia="Times New Roman" w:hAnsi="Times New Roman"/>
          <w:sz w:val="18"/>
          <w:szCs w:val="18"/>
          <w:color w:val="auto"/>
        </w:rPr>
        <w:t>. In connection with the issuance of this Warrant Certificate, the Holder represents, as of the Issue Date, to the Company by acceptance of this Warrant Certificate as follows:</w:t>
      </w:r>
    </w:p>
    <w:p>
      <w:pPr>
        <w:spacing w:after="0" w:line="160"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(i)  The Holder is an “accredited investor” as defined in Rule 501 of Regulation D promulgated under the Securities Act. The Holder is acquiring this Warrant Certificate and the Warrant Shares to be issued upon exercise hereof for investment for its own</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480" w:top="264" w:right="539" w:bottom="1440" w:gutter="0" w:footer="0" w:header="0"/>
        </w:sectPr>
      </w:pPr>
    </w:p>
    <w:bookmarkStart w:id="419" w:name="page420"/>
    <w:bookmarkEnd w:id="419"/>
    <w:p>
      <w:pPr>
        <w:ind w:right="3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account and not as a nominee for any other party, and not with a view towards, or for resale in connection with, the public sale or distribution of this Warrant Certificate or the Warrant Shares, except pursuant to sales registered or exempted under the Securities Act.</w:t>
      </w:r>
    </w:p>
    <w:p>
      <w:pPr>
        <w:spacing w:after="0" w:line="162"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(ii)  The Holder understands and acknowledges that this Warrant Certificate and the Warrant Shares to be issued upon exercise hereof are “restricted securities” under the Securities Act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as presently in effect, and understands the resale limitations imposed thereby and by the Securities Act.</w:t>
      </w:r>
    </w:p>
    <w:p>
      <w:pPr>
        <w:spacing w:after="0" w:line="184"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color w:val="auto"/>
        </w:rPr>
        <w:t>(iii)  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Shares. The Holder has received such information about the Company and has had an opportunity to ask questions and receive answers from the Company regarding the terms and conditions of the offering of this Warrant Certificate and the business, properties, prospects and financial condition of the Company, in each case to the extent Holder deems reasonable and necessary.</w:t>
      </w:r>
    </w:p>
    <w:p>
      <w:pPr>
        <w:spacing w:after="0" w:line="184" w:lineRule="exact"/>
        <w:rPr>
          <w:sz w:val="20"/>
          <w:szCs w:val="20"/>
          <w:color w:val="auto"/>
        </w:rPr>
      </w:pPr>
    </w:p>
    <w:p>
      <w:pPr>
        <w:ind w:right="260" w:firstLine="982"/>
        <w:spacing w:after="0" w:line="263" w:lineRule="auto"/>
        <w:rPr>
          <w:sz w:val="20"/>
          <w:szCs w:val="20"/>
          <w:color w:val="auto"/>
        </w:rPr>
      </w:pPr>
      <w:r>
        <w:rPr>
          <w:rFonts w:ascii="Times New Roman" w:cs="Times New Roman" w:eastAsia="Times New Roman" w:hAnsi="Times New Roman"/>
          <w:sz w:val="18"/>
          <w:szCs w:val="18"/>
          <w:color w:val="auto"/>
        </w:rPr>
        <w:t>(iv)  The Holder is aware that this Warrant Certificate and the shares of Warrant Shares are being, or will be, issued to the Holder in reliance upon the Holder’s representations in this Section 11(b) and that such securities are restricted securities that cannot be publicly sold except in certain prescribed situations.</w:t>
      </w:r>
    </w:p>
    <w:p>
      <w:pPr>
        <w:spacing w:after="0" w:line="17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Notices</w:t>
      </w:r>
      <w:r>
        <w:rPr>
          <w:rFonts w:ascii="Times New Roman" w:cs="Times New Roman" w:eastAsia="Times New Roman" w:hAnsi="Times New Roman"/>
          <w:sz w:val="17"/>
          <w:szCs w:val="17"/>
          <w:color w:val="auto"/>
        </w:rPr>
        <w:t>. All notices, requests, consents, claims, demands, waivers and other communications hereunder shall be in writing and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deemed to have been given: (i) when delivered by hand (with written confirmation of receipt); (ii) when received by the addressee if sent by a nationally recognized overnight courier (receipt requested); (iii) on the date sent by facsimile or e-mail of a PDF document (with confirmation of transmission) if sent during normal business hours of the recipient, and on the next Business Day if sent after normal business hours of the recipient; or (iv)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480" w:top="268" w:right="53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Omada Health, Inc.</w:t>
            </w:r>
          </w:p>
        </w:tc>
      </w:tr>
      <w:tr>
        <w:trPr>
          <w:trHeight w:val="214"/>
        </w:trPr>
        <w:tc>
          <w:tcPr>
            <w:tcW w:w="1640" w:type="dxa"/>
            <w:vAlign w:val="bottom"/>
          </w:tcPr>
          <w:p>
            <w:pPr>
              <w:spacing w:after="0"/>
              <w:rPr>
                <w:sz w:val="18"/>
                <w:szCs w:val="18"/>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500 Sansome St. #200</w:t>
            </w:r>
          </w:p>
        </w:tc>
      </w:tr>
      <w:tr>
        <w:trPr>
          <w:trHeight w:val="227"/>
        </w:trPr>
        <w:tc>
          <w:tcPr>
            <w:tcW w:w="1640" w:type="dxa"/>
            <w:vAlign w:val="bottom"/>
          </w:tcPr>
          <w:p>
            <w:pPr>
              <w:spacing w:after="0"/>
              <w:rPr>
                <w:sz w:val="19"/>
                <w:szCs w:val="19"/>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San Francisco, CA 94111</w:t>
            </w:r>
          </w:p>
        </w:tc>
      </w:tr>
      <w:tr>
        <w:trPr>
          <w:trHeight w:val="214"/>
        </w:trPr>
        <w:tc>
          <w:tcPr>
            <w:tcW w:w="1640" w:type="dxa"/>
            <w:vAlign w:val="bottom"/>
          </w:tcPr>
          <w:p>
            <w:pPr>
              <w:spacing w:after="0"/>
              <w:rPr>
                <w:sz w:val="18"/>
                <w:szCs w:val="18"/>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Attn: Chief Financial Officer</w:t>
            </w:r>
          </w:p>
        </w:tc>
      </w:tr>
      <w:tr>
        <w:trPr>
          <w:trHeight w:val="233"/>
        </w:trPr>
        <w:tc>
          <w:tcPr>
            <w:tcW w:w="1640" w:type="dxa"/>
            <w:vAlign w:val="bottom"/>
          </w:tcPr>
          <w:p>
            <w:pPr>
              <w:spacing w:after="0"/>
              <w:rPr>
                <w:sz w:val="20"/>
                <w:szCs w:val="20"/>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E-mail:  ###</w:t>
            </w:r>
          </w:p>
        </w:tc>
      </w:tr>
      <w:tr>
        <w:trPr>
          <w:trHeight w:val="30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      with a copy to:</w:t>
            </w: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Fenwick &amp; West LLP</w:t>
            </w:r>
          </w:p>
        </w:tc>
      </w:tr>
      <w:tr>
        <w:trPr>
          <w:trHeight w:val="214"/>
        </w:trPr>
        <w:tc>
          <w:tcPr>
            <w:tcW w:w="164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801 California St</w:t>
            </w:r>
          </w:p>
        </w:tc>
      </w:tr>
      <w:tr>
        <w:trPr>
          <w:trHeight w:val="214"/>
        </w:trPr>
        <w:tc>
          <w:tcPr>
            <w:tcW w:w="164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Mountain View, CA 94041</w:t>
            </w:r>
          </w:p>
        </w:tc>
      </w:tr>
      <w:tr>
        <w:trPr>
          <w:trHeight w:val="227"/>
        </w:trPr>
        <w:tc>
          <w:tcPr>
            <w:tcW w:w="1640" w:type="dxa"/>
            <w:vAlign w:val="bottom"/>
          </w:tcPr>
          <w:p>
            <w:pPr>
              <w:spacing w:after="0"/>
              <w:rPr>
                <w:sz w:val="19"/>
                <w:szCs w:val="19"/>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Attn: Michael Esquivel</w:t>
            </w:r>
          </w:p>
        </w:tc>
      </w:tr>
      <w:tr>
        <w:trPr>
          <w:trHeight w:val="233"/>
        </w:trPr>
        <w:tc>
          <w:tcPr>
            <w:tcW w:w="1640" w:type="dxa"/>
            <w:vAlign w:val="bottom"/>
          </w:tcPr>
          <w:p>
            <w:pPr>
              <w:spacing w:after="0"/>
              <w:rPr>
                <w:sz w:val="20"/>
                <w:szCs w:val="20"/>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30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Perceptive Credit Holdings III, LP</w:t>
            </w:r>
          </w:p>
        </w:tc>
      </w:tr>
      <w:tr>
        <w:trPr>
          <w:trHeight w:val="214"/>
        </w:trPr>
        <w:tc>
          <w:tcPr>
            <w:tcW w:w="1640" w:type="dxa"/>
            <w:vAlign w:val="bottom"/>
          </w:tcPr>
          <w:p>
            <w:pPr>
              <w:spacing w:after="0"/>
              <w:rPr>
                <w:sz w:val="18"/>
                <w:szCs w:val="18"/>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 Perceptive Advisors LLC</w:t>
            </w:r>
          </w:p>
        </w:tc>
      </w:tr>
      <w:tr>
        <w:trPr>
          <w:trHeight w:val="214"/>
        </w:trPr>
        <w:tc>
          <w:tcPr>
            <w:tcW w:w="1640" w:type="dxa"/>
            <w:vAlign w:val="bottom"/>
          </w:tcPr>
          <w:p>
            <w:pPr>
              <w:spacing w:after="0"/>
              <w:rPr>
                <w:sz w:val="18"/>
                <w:szCs w:val="18"/>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51 Astor Place, 10th Floor</w:t>
            </w:r>
          </w:p>
        </w:tc>
      </w:tr>
      <w:tr>
        <w:trPr>
          <w:trHeight w:val="214"/>
        </w:trPr>
        <w:tc>
          <w:tcPr>
            <w:tcW w:w="1640" w:type="dxa"/>
            <w:vAlign w:val="bottom"/>
          </w:tcPr>
          <w:p>
            <w:pPr>
              <w:spacing w:after="0"/>
              <w:rPr>
                <w:sz w:val="18"/>
                <w:szCs w:val="18"/>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York, NY 10003</w:t>
            </w:r>
          </w:p>
        </w:tc>
      </w:tr>
      <w:tr>
        <w:trPr>
          <w:trHeight w:val="227"/>
        </w:trPr>
        <w:tc>
          <w:tcPr>
            <w:tcW w:w="1640" w:type="dxa"/>
            <w:vAlign w:val="bottom"/>
          </w:tcPr>
          <w:p>
            <w:pPr>
              <w:spacing w:after="0"/>
              <w:rPr>
                <w:sz w:val="19"/>
                <w:szCs w:val="19"/>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Attention: Sandeep Dixit</w:t>
            </w:r>
          </w:p>
        </w:tc>
      </w:tr>
      <w:tr>
        <w:trPr>
          <w:trHeight w:val="233"/>
        </w:trPr>
        <w:tc>
          <w:tcPr>
            <w:tcW w:w="1640" w:type="dxa"/>
            <w:vAlign w:val="bottom"/>
          </w:tcPr>
          <w:p>
            <w:pPr>
              <w:spacing w:after="0"/>
              <w:rPr>
                <w:sz w:val="20"/>
                <w:szCs w:val="20"/>
                <w:color w:val="auto"/>
              </w:rPr>
            </w:pPr>
          </w:p>
        </w:tc>
        <w:tc>
          <w:tcPr>
            <w:tcW w:w="3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E-mail:  ###</w:t>
            </w:r>
          </w:p>
        </w:tc>
      </w:tr>
      <w:tr>
        <w:trPr>
          <w:trHeight w:val="30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      with a copy to:</w:t>
            </w: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Morrison &amp; Foerster LLP</w:t>
            </w:r>
          </w:p>
        </w:tc>
      </w:tr>
      <w:tr>
        <w:trPr>
          <w:trHeight w:val="214"/>
        </w:trPr>
        <w:tc>
          <w:tcPr>
            <w:tcW w:w="164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250 West 55th Street</w:t>
            </w:r>
          </w:p>
        </w:tc>
      </w:tr>
      <w:tr>
        <w:trPr>
          <w:trHeight w:val="227"/>
        </w:trPr>
        <w:tc>
          <w:tcPr>
            <w:tcW w:w="1640" w:type="dxa"/>
            <w:vAlign w:val="bottom"/>
          </w:tcPr>
          <w:p>
            <w:pPr>
              <w:spacing w:after="0"/>
              <w:rPr>
                <w:sz w:val="19"/>
                <w:szCs w:val="19"/>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New York, NY 10019</w:t>
            </w:r>
          </w:p>
        </w:tc>
      </w:tr>
      <w:tr>
        <w:trPr>
          <w:trHeight w:val="214"/>
        </w:trPr>
        <w:tc>
          <w:tcPr>
            <w:tcW w:w="164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   Attention: Mark Wojciechowski, Esq.</w:t>
            </w:r>
          </w:p>
        </w:tc>
      </w:tr>
      <w:tr>
        <w:trPr>
          <w:trHeight w:val="227"/>
        </w:trPr>
        <w:tc>
          <w:tcPr>
            <w:tcW w:w="1640" w:type="dxa"/>
            <w:vAlign w:val="bottom"/>
          </w:tcPr>
          <w:p>
            <w:pPr>
              <w:spacing w:after="0"/>
              <w:rPr>
                <w:sz w:val="19"/>
                <w:szCs w:val="19"/>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Facsimile: (212) 468-7900</w:t>
            </w:r>
          </w:p>
        </w:tc>
      </w:tr>
      <w:tr>
        <w:trPr>
          <w:trHeight w:val="233"/>
        </w:trPr>
        <w:tc>
          <w:tcPr>
            <w:tcW w:w="1640" w:type="dxa"/>
            <w:vAlign w:val="bottom"/>
          </w:tcPr>
          <w:p>
            <w:pPr>
              <w:spacing w:after="0"/>
              <w:rPr>
                <w:sz w:val="20"/>
                <w:szCs w:val="20"/>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E-mail:  ###</w:t>
            </w: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right="260"/>
        <w:spacing w:after="0" w:line="265" w:lineRule="auto"/>
        <w:rPr>
          <w:sz w:val="20"/>
          <w:szCs w:val="20"/>
          <w:color w:val="auto"/>
        </w:rPr>
      </w:pP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Cumulative Remedies</w:t>
      </w:r>
      <w:r>
        <w:rPr>
          <w:rFonts w:ascii="Times New Roman" w:cs="Times New Roman" w:eastAsia="Times New Roman" w:hAnsi="Times New Roman"/>
          <w:sz w:val="18"/>
          <w:szCs w:val="18"/>
          <w:color w:val="auto"/>
        </w:rPr>
        <w:t>. Except to the extent expressly provided in</w:t>
      </w:r>
      <w:r>
        <w:rPr>
          <w:rFonts w:ascii="Times New Roman" w:cs="Times New Roman" w:eastAsia="Times New Roman" w:hAnsi="Times New Roman"/>
          <w:sz w:val="18"/>
          <w:szCs w:val="18"/>
          <w:b w:val="1"/>
          <w:bCs w:val="1"/>
          <w:color w:val="auto"/>
        </w:rPr>
        <w:t xml:space="preserve"> Section 7 </w:t>
      </w:r>
      <w:r>
        <w:rPr>
          <w:rFonts w:ascii="Times New Roman" w:cs="Times New Roman" w:eastAsia="Times New Roman" w:hAnsi="Times New Roman"/>
          <w:sz w:val="18"/>
          <w:szCs w:val="18"/>
          <w:color w:val="auto"/>
        </w:rPr>
        <w:t>to the contrary, the rights and remedies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are cumulative and are not exclusive of, and are in addition to and not in substitution for, any other rights or remedies available at Law, in equity or otherwise.</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Entire Agreement</w:t>
      </w:r>
      <w:r>
        <w:rPr>
          <w:rFonts w:ascii="Times New Roman" w:cs="Times New Roman" w:eastAsia="Times New Roman" w:hAnsi="Times New Roman"/>
          <w:sz w:val="18"/>
          <w:szCs w:val="18"/>
          <w:color w:val="auto"/>
        </w:rPr>
        <w:t>. This Warrant Certificate constitutes the sole and entire agreement of the parties to this Warrant Certificate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subject matter contained herein and supersedes all prior and contemporaneous understandings and agreements, both written and oral, with respect to such subject matter.</w:t>
      </w:r>
    </w:p>
    <w:p>
      <w:pPr>
        <w:spacing w:after="0" w:line="17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Successor and Assigns</w:t>
      </w:r>
      <w:r>
        <w:rPr>
          <w:rFonts w:ascii="Times New Roman" w:cs="Times New Roman" w:eastAsia="Times New Roman" w:hAnsi="Times New Roman"/>
          <w:sz w:val="18"/>
          <w:szCs w:val="18"/>
          <w:color w:val="auto"/>
        </w:rPr>
        <w:t>. This Warrant Certificate and the rights evidenced hereby shall be binding upon and shall inure to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and the successors of the Company and the successors and permitted assigns of the Holder. Such successor or permitted assign of the Holder shall be deemed to be the “Holder” for all purposes hereunder.</w:t>
      </w:r>
    </w:p>
    <w:p>
      <w:pPr>
        <w:spacing w:after="0" w:line="17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Third-Party Beneficiaries</w:t>
      </w:r>
      <w:r>
        <w:rPr>
          <w:rFonts w:ascii="Times New Roman" w:cs="Times New Roman" w:eastAsia="Times New Roman" w:hAnsi="Times New Roman"/>
          <w:sz w:val="18"/>
          <w:szCs w:val="18"/>
          <w:color w:val="auto"/>
        </w:rPr>
        <w:t>. This Warrant Certificate is for the sole benefit of the Company and the Holder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8" w:right="49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Headings</w:t>
      </w:r>
      <w:r>
        <w:rPr>
          <w:rFonts w:ascii="Times New Roman" w:cs="Times New Roman" w:eastAsia="Times New Roman" w:hAnsi="Times New Roman"/>
          <w:sz w:val="17"/>
          <w:szCs w:val="17"/>
          <w:color w:val="auto"/>
        </w:rPr>
        <w:t>. The headings in this Warrant Certificate are for reference only and shall not affect the interpretation of this Warrant Certificate.</w:t>
      </w:r>
    </w:p>
    <w:p>
      <w:pPr>
        <w:spacing w:after="0" w:line="2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Amendment and Modification; Waiver</w:t>
      </w:r>
      <w:r>
        <w:rPr>
          <w:rFonts w:ascii="Times New Roman" w:cs="Times New Roman" w:eastAsia="Times New Roman" w:hAnsi="Times New Roman"/>
          <w:sz w:val="18"/>
          <w:szCs w:val="18"/>
          <w:color w:val="auto"/>
        </w:rPr>
        <w:t>. Except as otherwise provided herein, this Warrant Certificate may only be amended,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4"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b w:val="1"/>
          <w:bCs w:val="1"/>
          <w:color w:val="auto"/>
        </w:rPr>
        <w:t>Section 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Severability</w:t>
      </w:r>
      <w:r>
        <w:rPr>
          <w:rFonts w:ascii="Times New Roman" w:cs="Times New Roman" w:eastAsia="Times New Roman" w:hAnsi="Times New Roman"/>
          <w:sz w:val="18"/>
          <w:szCs w:val="18"/>
          <w:color w:val="auto"/>
        </w:rPr>
        <w:t>. If any term or provision of this Warrant Certificate is invalid, illegal or unenforceable in any jurisdiction, such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illegality or unenforceability shall not affect any other term or provision of this Warrant Certificate or invalidate or render unenforceable such term or provision in any other jurisdiction.</w:t>
      </w:r>
    </w:p>
    <w:p>
      <w:pPr>
        <w:spacing w:after="0" w:line="17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color w:val="auto"/>
        </w:rPr>
        <w:t>Section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Governing Law</w:t>
      </w:r>
      <w:r>
        <w:rPr>
          <w:rFonts w:ascii="Times New Roman" w:cs="Times New Roman" w:eastAsia="Times New Roman" w:hAnsi="Times New Roman"/>
          <w:sz w:val="18"/>
          <w:szCs w:val="18"/>
          <w:color w:val="auto"/>
        </w:rPr>
        <w:t>. This Warrant Certificate shall be governed by and construed in accordance with the internal Laws of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without effect to any choice or conflict of Law provision or rule (whether of the State of New York or any other jurisdiction) that would cause the application of Laws of any jurisdiction other than those of the State of New York.</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Submission to Jurisdiction</w:t>
      </w:r>
      <w:r>
        <w:rPr>
          <w:rFonts w:ascii="Times New Roman" w:cs="Times New Roman" w:eastAsia="Times New Roman" w:hAnsi="Times New Roman"/>
          <w:sz w:val="18"/>
          <w:szCs w:val="18"/>
          <w:color w:val="auto"/>
        </w:rPr>
        <w:t>. Any legal suit, action or proceeding arising out of or based on this Warrant Certificate or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contemplated hereby may be instituted in the federal courts of the United States or the courts of the State of New York, in each case located in the city and county of New York. Each party irrevocably submits to the exclusive jurisdiction of such courts in any such suit, action or proceeding. Service of process, summons, notice or other document by certified or registered mail to such party’s address set forth in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shall be effective service of process for any suit, action or other proceeding, and the parties irrevocably and unconditionally waive any objection to the laying of venue of any suit, action or other proceeding in such courts and irrevocably waive and agree not to plead or claim in any such court that any such suit, action or proceeding has been brought in an inconvenient forum.</w:t>
      </w:r>
    </w:p>
    <w:p>
      <w:pPr>
        <w:spacing w:after="0" w:line="18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Counterparts</w:t>
      </w:r>
      <w:r>
        <w:rPr>
          <w:rFonts w:ascii="Times New Roman" w:cs="Times New Roman" w:eastAsia="Times New Roman" w:hAnsi="Times New Roman"/>
          <w:sz w:val="18"/>
          <w:szCs w:val="18"/>
          <w:color w:val="auto"/>
        </w:rPr>
        <w:t>. This Warrant Certificate may be executed in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Strict Construction</w:t>
      </w:r>
      <w:r>
        <w:rPr>
          <w:rFonts w:ascii="Times New Roman" w:cs="Times New Roman" w:eastAsia="Times New Roman" w:hAnsi="Times New Roman"/>
          <w:sz w:val="18"/>
          <w:szCs w:val="18"/>
          <w:color w:val="auto"/>
        </w:rPr>
        <w:t>. This Warrant Certificate shall be construed without regard to any presumption or rule requiring construction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against the party drafting an instrument or causing any instrument to be drafted.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4" w:right="51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Company has duly executed this Warrant Certificate on the Issue Date.</w:t>
      </w:r>
    </w:p>
    <w:p>
      <w:pPr>
        <w:spacing w:after="0" w:line="24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 /s/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15875</wp:posOffset>
            </wp:positionV>
            <wp:extent cx="25476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Name: Sean Duffy</w:t>
      </w:r>
    </w:p>
    <w:p>
      <w:pPr>
        <w:spacing w:after="0" w:line="26" w:lineRule="exact"/>
        <w:rPr>
          <w:sz w:val="20"/>
          <w:szCs w:val="20"/>
          <w:color w:val="auto"/>
        </w:rPr>
      </w:pPr>
    </w:p>
    <w:p>
      <w:pPr>
        <w:jc w:val="both"/>
        <w:ind w:left="6460"/>
        <w:spacing w:after="0"/>
        <w:tabs>
          <w:tab w:leader="none" w:pos="70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to Warrant Certificate]</w:t>
      </w:r>
    </w:p>
    <w:p>
      <w:pPr>
        <w:sectPr>
          <w:pgSz w:w="11900" w:h="16838" w:orient="portrait"/>
          <w:cols w:equalWidth="0" w:num="1">
            <w:col w:w="9539"/>
          </w:cols>
          <w:pgMar w:left="920" w:top="268" w:right="1440"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III, LP</w:t>
      </w:r>
    </w:p>
    <w:p>
      <w:pPr>
        <w:spacing w:after="0" w:line="217" w:lineRule="exact"/>
        <w:rPr>
          <w:sz w:val="20"/>
          <w:szCs w:val="20"/>
          <w:color w:val="auto"/>
        </w:rPr>
      </w:pPr>
    </w:p>
    <w:p>
      <w:pPr>
        <w:ind w:right="4319"/>
        <w:spacing w:after="0" w:line="514" w:lineRule="auto"/>
        <w:rPr>
          <w:sz w:val="20"/>
          <w:szCs w:val="20"/>
          <w:color w:val="auto"/>
        </w:rPr>
      </w:pPr>
      <w:r>
        <w:rPr>
          <w:rFonts w:ascii="Times New Roman" w:cs="Times New Roman" w:eastAsia="Times New Roman" w:hAnsi="Times New Roman"/>
          <w:sz w:val="18"/>
          <w:szCs w:val="18"/>
          <w:color w:val="auto"/>
        </w:rPr>
        <w:t>By:  PERCEPTIVE CREDIT OPPORTUNITIES GP,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its general partner Title: Chief Credit Officer</w:t>
      </w:r>
    </w:p>
    <w:tbl>
      <w:tblPr>
        <w:tblLayout w:type="fixed"/>
        <w:tblInd w:w="0" w:type="dxa"/>
        <w:tblCellMar>
          <w:top w:w="0" w:type="dxa"/>
          <w:left w:w="0" w:type="dxa"/>
          <w:bottom w:w="0" w:type="dxa"/>
          <w:right w:w="0" w:type="dxa"/>
        </w:tblCellMar>
      </w:tblPr>
      <w:tr>
        <w:trPr>
          <w:trHeight w:val="2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Sandeep Dixit</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Sandeep Dixit</w:t>
            </w:r>
          </w:p>
        </w:tc>
        <w:tc>
          <w:tcPr>
            <w:tcW w:w="2500" w:type="dxa"/>
            <w:vAlign w:val="bottom"/>
          </w:tcPr>
          <w:p>
            <w:pPr>
              <w:spacing w:after="0"/>
              <w:rPr>
                <w:sz w:val="17"/>
                <w:szCs w:val="17"/>
                <w:color w:val="auto"/>
              </w:rPr>
            </w:pP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Credit Officer</w:t>
            </w: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Sam Chawla</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Sam Chawla</w:t>
            </w:r>
          </w:p>
        </w:tc>
        <w:tc>
          <w:tcPr>
            <w:tcW w:w="2500" w:type="dxa"/>
            <w:vAlign w:val="bottom"/>
          </w:tcPr>
          <w:p>
            <w:pPr>
              <w:spacing w:after="0"/>
              <w:rPr>
                <w:sz w:val="17"/>
                <w:szCs w:val="17"/>
                <w:color w:val="auto"/>
              </w:rPr>
            </w:pP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Portfolio Manager</w:t>
            </w:r>
          </w:p>
        </w:tc>
      </w:tr>
      <w:tr>
        <w:trPr>
          <w:trHeight w:val="361"/>
        </w:trPr>
        <w:tc>
          <w:tcPr>
            <w:tcW w:w="620" w:type="dxa"/>
            <w:vAlign w:val="bottom"/>
          </w:tcPr>
          <w:p>
            <w:pPr>
              <w:spacing w:after="0"/>
              <w:rPr>
                <w:sz w:val="24"/>
                <w:szCs w:val="24"/>
                <w:color w:val="auto"/>
              </w:rPr>
            </w:pPr>
          </w:p>
        </w:tc>
        <w:tc>
          <w:tcPr>
            <w:tcW w:w="624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w w:val="97"/>
              </w:rPr>
              <w:t>[Signature Page to Warrant Certificate]</w:t>
            </w:r>
          </w:p>
        </w:tc>
      </w:tr>
    </w:tbl>
    <w:p>
      <w:pPr>
        <w:sectPr>
          <w:pgSz w:w="11900" w:h="16838" w:orient="portrait"/>
          <w:cols w:equalWidth="0" w:num="1">
            <w:col w:w="9979"/>
          </w:cols>
          <w:pgMar w:left="480" w:top="268" w:right="1440" w:bottom="1440" w:gutter="0" w:footer="0" w:header="0"/>
        </w:sectPr>
      </w:pPr>
    </w:p>
    <w:bookmarkStart w:id="424" w:name="page425"/>
    <w:bookmarkEnd w:id="4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Warrant Certificate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CERTIFICATE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 Certificate)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Omada Health, Inc.</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500 Sansome Street #200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202" w:lineRule="exact"/>
        <w:rPr>
          <w:sz w:val="20"/>
          <w:szCs w:val="20"/>
          <w:color w:val="auto"/>
        </w:rPr>
      </w:pPr>
    </w:p>
    <w:p>
      <w:pPr>
        <w:ind w:right="380" w:firstLine="436"/>
        <w:spacing w:after="0" w:line="263" w:lineRule="auto"/>
        <w:rPr>
          <w:sz w:val="20"/>
          <w:szCs w:val="20"/>
          <w:color w:val="auto"/>
        </w:rPr>
      </w:pPr>
      <w:r>
        <w:rPr>
          <w:rFonts w:ascii="Times New Roman" w:cs="Times New Roman" w:eastAsia="Times New Roman" w:hAnsi="Times New Roman"/>
          <w:sz w:val="18"/>
          <w:szCs w:val="18"/>
          <w:color w:val="auto"/>
        </w:rPr>
        <w:t>Reference is made to that certain Warrant Certificate, having an issue date of May 18, 2020 and bearing Warrant Certificate No. PDW-01 (the “</w:t>
      </w:r>
      <w:r>
        <w:rPr>
          <w:rFonts w:ascii="Times New Roman" w:cs="Times New Roman" w:eastAsia="Times New Roman" w:hAnsi="Times New Roman"/>
          <w:sz w:val="18"/>
          <w:szCs w:val="18"/>
          <w:b w:val="1"/>
          <w:bCs w:val="1"/>
          <w:i w:val="1"/>
          <w:iCs w:val="1"/>
          <w:color w:val="auto"/>
        </w:rPr>
        <w:t>Warrant Certificate</w:t>
      </w:r>
      <w:r>
        <w:rPr>
          <w:rFonts w:ascii="Times New Roman" w:cs="Times New Roman" w:eastAsia="Times New Roman" w:hAnsi="Times New Roman"/>
          <w:sz w:val="18"/>
          <w:szCs w:val="18"/>
          <w:color w:val="auto"/>
        </w:rPr>
        <w:t>”), issued by Omada Health,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[Name of Holder]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Unless otherwise defined herein, capitalized terms used herein have the meanings ascribed thereto in the Warrant Certificate.</w:t>
      </w:r>
    </w:p>
    <w:p>
      <w:pPr>
        <w:spacing w:after="0" w:line="175" w:lineRule="exact"/>
        <w:rPr>
          <w:sz w:val="20"/>
          <w:szCs w:val="20"/>
          <w:color w:val="auto"/>
        </w:rPr>
      </w:pPr>
    </w:p>
    <w:p>
      <w:pPr>
        <w:ind w:right="180" w:firstLine="436"/>
        <w:spacing w:after="0" w:line="274" w:lineRule="auto"/>
        <w:rPr>
          <w:sz w:val="20"/>
          <w:szCs w:val="20"/>
          <w:color w:val="auto"/>
        </w:rPr>
      </w:pPr>
      <w:r>
        <w:rPr>
          <w:rFonts w:ascii="Times New Roman" w:cs="Times New Roman" w:eastAsia="Times New Roman" w:hAnsi="Times New Roman"/>
          <w:sz w:val="17"/>
          <w:szCs w:val="17"/>
          <w:color w:val="auto"/>
        </w:rPr>
        <w:t>The undersigned, as holder of a right to purchase Warrant Shares (as defined in the Warrant Certificate) of the Company pursuant to the terms of the Warrant Certificate, a copy of which is attached to this Exercise Certificate, hereby irrevocably elects to exercise the purchase right represented by</w:t>
      </w:r>
    </w:p>
    <w:tbl>
      <w:tblPr>
        <w:tblLayout w:type="fixed"/>
        <w:tblInd w:w="0" w:type="dxa"/>
        <w:tblCellMar>
          <w:top w:w="0" w:type="dxa"/>
          <w:left w:w="0" w:type="dxa"/>
          <w:bottom w:w="0" w:type="dxa"/>
          <w:right w:w="0" w:type="dxa"/>
        </w:tblCellMar>
      </w:tblPr>
      <w:tr>
        <w:trPr>
          <w:trHeight w:val="174"/>
        </w:trPr>
        <w:tc>
          <w:tcPr>
            <w:tcW w:w="4200" w:type="dxa"/>
            <w:vAlign w:val="bottom"/>
            <w:gridSpan w:val="7"/>
          </w:tcPr>
          <w:p>
            <w:pPr>
              <w:spacing w:after="0" w:line="174" w:lineRule="exact"/>
              <w:rPr>
                <w:sz w:val="20"/>
                <w:szCs w:val="20"/>
                <w:color w:val="auto"/>
              </w:rPr>
            </w:pPr>
            <w:r>
              <w:rPr>
                <w:rFonts w:ascii="Times New Roman" w:cs="Times New Roman" w:eastAsia="Times New Roman" w:hAnsi="Times New Roman"/>
                <w:sz w:val="18"/>
                <w:szCs w:val="18"/>
                <w:color w:val="auto"/>
                <w:w w:val="94"/>
              </w:rPr>
              <w:t>such Warrant Certificate for, and to purchase thereunder, [ </w:t>
            </w:r>
          </w:p>
        </w:tc>
        <w:tc>
          <w:tcPr>
            <w:tcW w:w="840" w:type="dxa"/>
            <w:vAlign w:val="bottom"/>
            <w:gridSpan w:val="2"/>
          </w:tcPr>
          <w:p>
            <w:pPr>
              <w:jc w:val="center"/>
              <w:ind w:right="20"/>
              <w:spacing w:after="0" w:line="174" w:lineRule="exact"/>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020" w:type="dxa"/>
            <w:vAlign w:val="bottom"/>
            <w:gridSpan w:val="19"/>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      )] Warrant Shares of the Company and herewith makes payment</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42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 xml:space="preserve">with respect to this Exercise Certificate of [                </w:t>
            </w:r>
          </w:p>
        </w:tc>
        <w:tc>
          <w:tcPr>
            <w:tcW w:w="84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rPr>
              <w:t xml:space="preserve">Dollars ($ </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000" w:type="dxa"/>
            <w:vAlign w:val="bottom"/>
            <w:gridSpan w:val="10"/>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w w:val="95"/>
              </w:rPr>
              <w:t>   )] therefor by the following method.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49"/>
        </w:trPr>
        <w:tc>
          <w:tcPr>
            <w:tcW w:w="120" w:type="dxa"/>
            <w:vAlign w:val="bottom"/>
          </w:tcPr>
          <w:p>
            <w:pPr>
              <w:spacing w:after="0"/>
              <w:rPr>
                <w:sz w:val="24"/>
                <w:szCs w:val="24"/>
                <w:color w:val="auto"/>
              </w:rPr>
            </w:pPr>
          </w:p>
        </w:tc>
        <w:tc>
          <w:tcPr>
            <w:tcW w:w="3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(Check all that apply):</w:t>
            </w:r>
          </w:p>
        </w:tc>
        <w:tc>
          <w:tcPr>
            <w:tcW w:w="10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120" w:type="dxa"/>
            <w:vAlign w:val="bottom"/>
          </w:tcPr>
          <w:p>
            <w:pPr>
              <w:spacing w:after="0"/>
              <w:rPr>
                <w:sz w:val="24"/>
                <w:szCs w:val="24"/>
                <w:color w:val="auto"/>
              </w:rPr>
            </w:pPr>
          </w:p>
        </w:tc>
        <w:tc>
          <w:tcPr>
            <w:tcW w:w="5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280" w:type="dxa"/>
            <w:vAlign w:val="bottom"/>
            <w:gridSpan w:val="15"/>
          </w:tcPr>
          <w:p>
            <w:pPr>
              <w:ind w:left="120"/>
              <w:spacing w:after="0"/>
              <w:rPr>
                <w:sz w:val="20"/>
                <w:szCs w:val="20"/>
                <w:color w:val="auto"/>
              </w:rPr>
            </w:pPr>
            <w:r>
              <w:rPr>
                <w:rFonts w:ascii="Times New Roman" w:cs="Times New Roman" w:eastAsia="Times New Roman" w:hAnsi="Times New Roman"/>
                <w:sz w:val="18"/>
                <w:szCs w:val="18"/>
                <w:color w:val="auto"/>
                <w:w w:val="97"/>
              </w:rPr>
              <w:t>The undersigned hereby elects to make payment of the Aggregate Exercise Price of [ 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Dollars ($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6"/>
              </w:rPr>
              <w:t>)] for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r>
      <w:tr>
        <w:trPr>
          <w:trHeight w:val="235"/>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shares of</w:t>
            </w:r>
          </w:p>
        </w:tc>
        <w:tc>
          <w:tcPr>
            <w:tcW w:w="618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 xml:space="preserve">Series D Preferred Stock using the method described in </w:t>
            </w:r>
            <w:r>
              <w:rPr>
                <w:rFonts w:ascii="Times New Roman" w:cs="Times New Roman" w:eastAsia="Times New Roman" w:hAnsi="Times New Roman"/>
                <w:sz w:val="18"/>
                <w:szCs w:val="18"/>
                <w:b w:val="1"/>
                <w:bCs w:val="1"/>
                <w:color w:val="auto"/>
              </w:rPr>
              <w:t>Section 3(b)(i)</w:t>
            </w: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387"/>
        </w:trPr>
        <w:tc>
          <w:tcPr>
            <w:tcW w:w="120" w:type="dxa"/>
            <w:vAlign w:val="bottom"/>
          </w:tcPr>
          <w:p>
            <w:pPr>
              <w:spacing w:after="0"/>
              <w:rPr>
                <w:sz w:val="24"/>
                <w:szCs w:val="24"/>
                <w:color w:val="auto"/>
              </w:rPr>
            </w:pPr>
          </w:p>
        </w:tc>
        <w:tc>
          <w:tcPr>
            <w:tcW w:w="5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280" w:type="dxa"/>
            <w:vAlign w:val="bottom"/>
            <w:gridSpan w:val="15"/>
          </w:tcPr>
          <w:p>
            <w:pPr>
              <w:ind w:left="120"/>
              <w:spacing w:after="0"/>
              <w:rPr>
                <w:sz w:val="20"/>
                <w:szCs w:val="20"/>
                <w:color w:val="auto"/>
              </w:rPr>
            </w:pPr>
            <w:r>
              <w:rPr>
                <w:rFonts w:ascii="Times New Roman" w:cs="Times New Roman" w:eastAsia="Times New Roman" w:hAnsi="Times New Roman"/>
                <w:sz w:val="18"/>
                <w:szCs w:val="18"/>
                <w:color w:val="auto"/>
                <w:w w:val="97"/>
              </w:rPr>
              <w:t>The undersigned hereby elects to make payment of the Aggregate Exercise Price of [ 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Dollars ($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6"/>
              </w:rPr>
              <w:t>)] for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r>
      <w:tr>
        <w:trPr>
          <w:trHeight w:val="235"/>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shares of</w:t>
            </w:r>
          </w:p>
        </w:tc>
        <w:tc>
          <w:tcPr>
            <w:tcW w:w="618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 xml:space="preserve">Series D Preferred Stock using the method described in </w:t>
            </w:r>
            <w:r>
              <w:rPr>
                <w:rFonts w:ascii="Times New Roman" w:cs="Times New Roman" w:eastAsia="Times New Roman" w:hAnsi="Times New Roman"/>
                <w:sz w:val="18"/>
                <w:szCs w:val="18"/>
                <w:b w:val="1"/>
                <w:bCs w:val="1"/>
                <w:color w:val="auto"/>
              </w:rPr>
              <w:t>Section 3(b)(ii)</w:t>
            </w: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387"/>
        </w:trPr>
        <w:tc>
          <w:tcPr>
            <w:tcW w:w="120" w:type="dxa"/>
            <w:vAlign w:val="bottom"/>
          </w:tcPr>
          <w:p>
            <w:pPr>
              <w:spacing w:after="0"/>
              <w:rPr>
                <w:sz w:val="24"/>
                <w:szCs w:val="24"/>
                <w:color w:val="auto"/>
              </w:rPr>
            </w:pPr>
          </w:p>
        </w:tc>
        <w:tc>
          <w:tcPr>
            <w:tcW w:w="5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6280" w:type="dxa"/>
            <w:vAlign w:val="bottom"/>
            <w:gridSpan w:val="15"/>
          </w:tcPr>
          <w:p>
            <w:pPr>
              <w:ind w:left="120"/>
              <w:spacing w:after="0"/>
              <w:rPr>
                <w:sz w:val="20"/>
                <w:szCs w:val="20"/>
                <w:color w:val="auto"/>
              </w:rPr>
            </w:pPr>
            <w:r>
              <w:rPr>
                <w:rFonts w:ascii="Times New Roman" w:cs="Times New Roman" w:eastAsia="Times New Roman" w:hAnsi="Times New Roman"/>
                <w:sz w:val="18"/>
                <w:szCs w:val="18"/>
                <w:color w:val="auto"/>
                <w:w w:val="97"/>
              </w:rPr>
              <w:t>The undersigned hereby elects to make payment of the Aggregate Exercise Price of [ 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Dollars ($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for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648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auto"/>
                <w:w w:val="99"/>
              </w:rPr>
              <w:t xml:space="preserve">      )] shares of Series D Preferred Stock using the method described in </w:t>
            </w:r>
            <w:r>
              <w:rPr>
                <w:rFonts w:ascii="Times New Roman" w:cs="Times New Roman" w:eastAsia="Times New Roman" w:hAnsi="Times New Roman"/>
                <w:sz w:val="18"/>
                <w:szCs w:val="18"/>
                <w:b w:val="1"/>
                <w:bCs w:val="1"/>
                <w:color w:val="auto"/>
                <w:w w:val="99"/>
              </w:rPr>
              <w:t>Section 3(b)(iii)</w:t>
            </w:r>
            <w:r>
              <w:rPr>
                <w:rFonts w:ascii="Times New Roman" w:cs="Times New Roman" w:eastAsia="Times New Roman" w:hAnsi="Times New Roman"/>
                <w:sz w:val="18"/>
                <w:szCs w:val="18"/>
                <w:color w:val="auto"/>
                <w:w w:val="99"/>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5"/>
        </w:trPr>
        <w:tc>
          <w:tcPr>
            <w:tcW w:w="120" w:type="dxa"/>
            <w:vAlign w:val="bottom"/>
          </w:tcPr>
          <w:p>
            <w:pPr>
              <w:spacing w:after="0"/>
              <w:rPr>
                <w:sz w:val="24"/>
                <w:szCs w:val="24"/>
                <w:color w:val="auto"/>
              </w:rPr>
            </w:pPr>
          </w:p>
        </w:tc>
        <w:tc>
          <w:tcPr>
            <w:tcW w:w="40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 xml:space="preserve">  DATED:              </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[NAME OF HOLDER]</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15875</wp:posOffset>
            </wp:positionV>
            <wp:extent cx="3116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1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0920"/>
          </w:cols>
          <w:pgMar w:left="480" w:top="264" w:right="499" w:bottom="1440" w:gutter="0" w:footer="0" w:header="0"/>
        </w:sectPr>
      </w:pPr>
    </w:p>
    <w:bookmarkStart w:id="425" w:name="page426"/>
    <w:bookmarkEnd w:id="4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Warrant Certificate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ASSIGNMENT]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that certain Warrant Certificate, having an issue date of May 18, 2020 and bearing Warrant Certificate No. PDW-01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Warrant Certificate</w:t>
      </w:r>
      <w:r>
        <w:rPr>
          <w:rFonts w:ascii="Times New Roman" w:cs="Times New Roman" w:eastAsia="Times New Roman" w:hAnsi="Times New Roman"/>
          <w:sz w:val="17"/>
          <w:szCs w:val="17"/>
          <w:color w:val="auto"/>
        </w:rPr>
        <w:t>”), issued by Omada Health,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to the undersigned (the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Unless otherwise defined herein, capitalized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herein have the meanings ascribed thereto in the Warrant Certificate.</w:t>
      </w:r>
    </w:p>
    <w:p>
      <w:pPr>
        <w:spacing w:after="0" w:line="202"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THE UNDERSIGNED, [NAME OF HOLDER], is the holder of the Warrant Certificate and is entitled to purchase up to 660,000 Warrant Shares pursuant to the terms thereof. A copy of the Warrant Certificate is attached hereto.</w:t>
      </w:r>
    </w:p>
    <w:p>
      <w:pPr>
        <w:spacing w:after="0" w:line="158"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FOR VALUE RECEIVED, the Holder hereby sells, assigns and transfers to [NAME OF ASSIGNEE] (the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xml:space="preserve">”) the right to acquire [all Warrant Shares entitled to be purchased upon exercise of the Warrant Certificate] [      of the Warrant Shares entitled to be purchased upon exercise of the Warrant Certificate]. In furtherance of the foregoing assignment, the Holder hereby irrevocably instructs the Company to (i) memorialize such assignment in the Warrant Register as required pursuant to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of the Warrant Certificate, and (ii)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of the Warrant Certificate, execute and deliver to the Assignee [and the Holder][a new Warrant Certificate][new Warrant Certificates] reflecting the foregoing assignment ([each] a “</w:t>
      </w:r>
      <w:r>
        <w:rPr>
          <w:rFonts w:ascii="Times New Roman" w:cs="Times New Roman" w:eastAsia="Times New Roman" w:hAnsi="Times New Roman"/>
          <w:sz w:val="18"/>
          <w:szCs w:val="18"/>
          <w:b w:val="1"/>
          <w:bCs w:val="1"/>
          <w:i w:val="1"/>
          <w:iCs w:val="1"/>
          <w:color w:val="auto"/>
        </w:rPr>
        <w:t>Substitute Warrant Certificate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-576580</wp:posOffset>
            </wp:positionV>
            <wp:extent cx="33972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162"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w:t>
      </w:r>
    </w:p>
    <w:p>
      <w:pPr>
        <w:spacing w:after="0" w:line="180"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To the extent required pursuant to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 xml:space="preserve"> of the Warrant Certificate, the Assignee acknowledges and agrees that a restrictive legend shall be applied to the Assignee’s Substitute Warrant and the Warrant Shares issuable upon exercise of such certificate substantially consistent with the legend required pursuant to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 xml:space="preserve"> of the Warrant Certificate.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0920"/>
          </w:cols>
          <w:pgMar w:left="480" w:top="264" w:right="499" w:bottom="1440" w:gutter="0" w:footer="0" w:header="0"/>
        </w:sectPr>
      </w:pPr>
    </w:p>
    <w:bookmarkStart w:id="426" w:name="page427"/>
    <w:bookmarkEnd w:id="4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hereto agree as set forth above as of the date first written above.</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[NAME OF HOLDER]</w:t>
      </w:r>
    </w:p>
    <w:p>
      <w:pPr>
        <w:spacing w:after="0" w:line="232"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15875</wp:posOffset>
            </wp:positionV>
            <wp:extent cx="259842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14" w:lineRule="exact"/>
        <w:rPr>
          <w:sz w:val="20"/>
          <w:szCs w:val="20"/>
          <w:color w:val="auto"/>
        </w:rPr>
      </w:pPr>
    </w:p>
    <w:p>
      <w:pPr>
        <w:jc w:val="center"/>
        <w:ind w:left="318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48" w:lineRule="exact"/>
        <w:rPr>
          <w:sz w:val="20"/>
          <w:szCs w:val="20"/>
          <w:color w:val="auto"/>
        </w:rPr>
      </w:pPr>
    </w:p>
    <w:p>
      <w:pPr>
        <w:jc w:val="center"/>
        <w:ind w:right="8899"/>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25730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14" w:lineRule="exact"/>
        <w:rPr>
          <w:sz w:val="20"/>
          <w:szCs w:val="20"/>
          <w:color w:val="auto"/>
        </w:rPr>
      </w:pPr>
    </w:p>
    <w:p>
      <w:pPr>
        <w:jc w:val="center"/>
        <w:ind w:right="8879"/>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Exhibit B-2</w:t>
      </w:r>
    </w:p>
    <w:p>
      <w:pPr>
        <w:sectPr>
          <w:pgSz w:w="11900" w:h="16838" w:orient="portrait"/>
          <w:cols w:equalWidth="0" w:num="1">
            <w:col w:w="9979"/>
          </w:cols>
          <w:pgMar w:left="480" w:top="268" w:right="1440"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69297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222250</wp:posOffset>
            </wp:positionV>
            <wp:extent cx="69297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SECURITY AND GUARANTY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June 2,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PHYSERA,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as Borrower and any additional borrower that hereafter becomes party hereto, each as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Borrower, and collectively as Borrowers,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any guarantor that hereafter becomes party hereto, each as Guarantor, and collectively as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MIDCAP FUNDING IV TRUST,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Agent,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MIDCAP FINANCIAL TRUST,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Term Loan Servicer,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LENDERS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689610</wp:posOffset>
            </wp:positionV>
            <wp:extent cx="69297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732155</wp:posOffset>
            </wp:positionV>
            <wp:extent cx="69297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171450</wp:posOffset>
            </wp:positionV>
            <wp:extent cx="1936115" cy="34798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936115"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117" w:right="499" w:bottom="1440" w:gutter="0" w:footer="0" w:header="0"/>
        </w:sectPr>
      </w:pPr>
    </w:p>
    <w:bookmarkStart w:id="428" w:name="page429"/>
    <w:bookmarkEnd w:id="4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 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Defined Terms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Terms and Determinations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Definitional and Interpretive Provisions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and Funding Mechanics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is of the Essence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of Day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1"/>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 LOANS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Interest Calculations and Certain Fees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Provisions Regarding Payment; Loan Accounts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Maximum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Capital Adequacy: Increased Costs; Inability to Determine Rates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of Borrower Representative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Joint and Several Liability; Rights of Contribution; Subordination and Subrogation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Collections and Lockbox Account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Restriction on Termination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1"/>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 REPRESENTATIONS AND WARRANTIES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 and Power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 and Governmental Authorization; No Contravention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of Property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Matters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Company Act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Margin Regulations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 Anti-Terrorism Laws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ERISA</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Consummation of Financing Documents; Brokers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Environmental Requirements; No Hazardous Materials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 and License Agreements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ectPr>
          <w:pgSz w:w="11900" w:h="16838" w:orient="portrait"/>
          <w:cols w:equalWidth="0" w:num="1">
            <w:col w:w="10860"/>
          </w:cols>
          <w:pgMar w:left="480" w:top="264" w:right="559" w:bottom="1440" w:gutter="0" w:footer="0" w:header="0"/>
        </w:sectPr>
      </w:pPr>
    </w:p>
    <w:bookmarkStart w:id="429" w:name="page430"/>
    <w:bookmarkEnd w:id="4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 Disclosure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Accuracy of Schedules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Eligible Accounts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3.27</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Indebtedness Status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Practice Entity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1"/>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 AFFIRMATIVE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Other Reports and Notices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and Performance of Obligations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Existence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 and Material Contracts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 of Property, Books and Records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 of Material Contracts, Litigation and Defaults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Hazardous Materials; Remediation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 Joinder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 of Attorney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 Base Collateral Administration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Schedule Updates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 and Licensing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4.17</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Practice Entity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1"/>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 NEGATIVE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Contingent Obligations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Restrictive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and Modifications of Subordinated Debt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Consolidations, Mergers and Sales of Assets; Change in Control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Assets, Investments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Modification of Organizational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Sale and Leaseback Transactions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Accounts and Securities Accounts; Payroll and Benefits Accounts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Anti-Terrorism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Accounting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Company Act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Agreements Regarding Receivables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5.19</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Foreign Subsidiaries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5.20</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PCs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ectPr>
          <w:pgSz w:w="11900" w:h="16838" w:orient="portrait"/>
          <w:cols w:equalWidth="0" w:num="1">
            <w:col w:w="10860"/>
          </w:cols>
          <w:pgMar w:left="480" w:top="268" w:right="559" w:bottom="1440" w:gutter="0" w:footer="0" w:header="0"/>
        </w:sectPr>
      </w:pPr>
    </w:p>
    <w:bookmarkStart w:id="430" w:name="page431"/>
    <w:bookmarkEnd w:id="4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 FINANCIAL COVENANT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2"/>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Minimum Net Revenue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3"/>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Evidence of Compliance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1"/>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 CONDITIONS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2"/>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Closing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Each Loan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Searches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3"/>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Post-Closing Requirements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1"/>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 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1"/>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 SECURITY AGREEMENT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02"/>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Generally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3"/>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 and Covenants Relating to Collateral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1"/>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 EVENTS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02"/>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Acceleration and Suspension or Termination of Revolving Loan Commitment and Term Loan Commitment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UCC Remedies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Protective 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 Rate of Interest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Setoff Rights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Proceeds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Injunctive Relief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3"/>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Marshalling; Payments Set Aside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1"/>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02"/>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Agents and Affiliates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Action by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Consultation with Experts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Liability of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11.7</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to Request and Act on Instructions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11.8</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Decision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11.9</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11.10</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Agency for Perfection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11.11</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11.12</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 by Agent; Resignation of Agent; Successor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11.13</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and Sharing of Payment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11.14</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to Perform, Preserve and Protect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11.15</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Titled Agents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11.16</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11.17</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3"/>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11.18</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Funding and Settlement Provisions Applicable When Non-Funding Lenders Exist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ectPr>
          <w:pgSz w:w="11900" w:h="16838" w:orient="portrait"/>
          <w:cols w:equalWidth="0" w:num="1">
            <w:col w:w="10860"/>
          </w:cols>
          <w:pgMar w:left="480" w:top="268" w:right="559" w:bottom="1440" w:gutter="0" w:footer="0" w:header="0"/>
        </w:sectPr>
      </w:pPr>
    </w:p>
    <w:bookmarkStart w:id="431" w:name="page432"/>
    <w:bookmarkEnd w:id="4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 GUARANTY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02"/>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Amounts Owed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12.3</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Waivers by Guarantor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12.4</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Guarantor’s Obligations Not Affected by Modifications of Financing Documents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12.5</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 Deficiency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12.6</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Subordination of Borrowers’ Obligations to Guarantors; Claims in Bankruptcy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12.7</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Maximum Liability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12.8</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Guarantor’s Investigation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12.9</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12.10</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Representative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3"/>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 Acknowledgement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1"/>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 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02"/>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13.3</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13.4</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13.5</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13.6</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13.7</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Consequential and Other Damages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13.8</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13.9</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13.10</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Publication; Advertisement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Integration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13.12</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Strict Construction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13.13</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Lender Approvals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13.14</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Indemnity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13.15</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13.16</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13.17</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13.18</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 Notification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13.19</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3"/>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13.21</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ectPr>
          <w:pgSz w:w="11900" w:h="16838" w:orient="portrait"/>
          <w:cols w:equalWidth="0" w:num="1">
            <w:col w:w="10860"/>
          </w:cols>
          <w:pgMar w:left="480" w:top="375" w:right="559" w:bottom="1440" w:gutter="0" w:footer="0" w:header="0"/>
        </w:sectPr>
      </w:pPr>
    </w:p>
    <w:bookmarkStart w:id="432" w:name="page433"/>
    <w:bookmarkEnd w:id="4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CREDIT, SECURITY AND GUARANTY AGREEMENT</w:t>
      </w:r>
    </w:p>
    <w:p>
      <w:pPr>
        <w:spacing w:after="0" w:line="221"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CREDIT, SECURITY AND GUARANTY AGREEMENT</w:t>
      </w:r>
      <w:r>
        <w:rPr>
          <w:rFonts w:ascii="Times New Roman" w:cs="Times New Roman" w:eastAsia="Times New Roman" w:hAnsi="Times New Roman"/>
          <w:sz w:val="18"/>
          <w:szCs w:val="18"/>
          <w:color w:val="auto"/>
        </w:rPr>
        <w:t xml:space="preserve"> (as the same may be amended, supplemented, restated or otherwise modified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dated as of June 2, 2023 by and among </w:t>
      </w:r>
      <w:r>
        <w:rPr>
          <w:rFonts w:ascii="Times New Roman" w:cs="Times New Roman" w:eastAsia="Times New Roman" w:hAnsi="Times New Roman"/>
          <w:sz w:val="18"/>
          <w:szCs w:val="18"/>
          <w:b w:val="1"/>
          <w:bCs w:val="1"/>
          <w:color w:val="auto"/>
        </w:rPr>
        <w:t>OMADA HEALTH,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PHYSERA, INC., </w:t>
      </w:r>
      <w:r>
        <w:rPr>
          <w:rFonts w:ascii="Times New Roman" w:cs="Times New Roman" w:eastAsia="Times New Roman" w:hAnsi="Times New Roman"/>
          <w:sz w:val="18"/>
          <w:szCs w:val="18"/>
          <w:color w:val="auto"/>
        </w:rPr>
        <w:t>a Delaware corporation (“</w:t>
      </w:r>
      <w:r>
        <w:rPr>
          <w:rFonts w:ascii="Times New Roman" w:cs="Times New Roman" w:eastAsia="Times New Roman" w:hAnsi="Times New Roman"/>
          <w:sz w:val="18"/>
          <w:szCs w:val="18"/>
          <w:b w:val="1"/>
          <w:bCs w:val="1"/>
          <w:color w:val="auto"/>
        </w:rPr>
        <w:t>Physera</w:t>
      </w:r>
      <w:r>
        <w:rPr>
          <w:rFonts w:ascii="Times New Roman" w:cs="Times New Roman" w:eastAsia="Times New Roman" w:hAnsi="Times New Roman"/>
          <w:sz w:val="18"/>
          <w:szCs w:val="18"/>
          <w:color w:val="auto"/>
        </w:rPr>
        <w:t>”), and any additional borrower that may hereafter be added to this Agreement and each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permitted assigns (together with Parent and Physera, each individually as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any entities that become party hereto as Guarantors and each of their successors and permitted assigns (each individually, 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collectively, with each of their successors and assigns,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MIDCAP FUNDING IV TRUST</w:t>
      </w:r>
      <w:r>
        <w:rPr>
          <w:rFonts w:ascii="Times New Roman" w:cs="Times New Roman" w:eastAsia="Times New Roman" w:hAnsi="Times New Roman"/>
          <w:sz w:val="18"/>
          <w:szCs w:val="18"/>
          <w:color w:val="auto"/>
        </w:rPr>
        <w:t xml:space="preserve">, as Agent, </w:t>
      </w:r>
      <w:r>
        <w:rPr>
          <w:rFonts w:ascii="Times New Roman" w:cs="Times New Roman" w:eastAsia="Times New Roman" w:hAnsi="Times New Roman"/>
          <w:sz w:val="18"/>
          <w:szCs w:val="18"/>
          <w:b w:val="1"/>
          <w:bCs w:val="1"/>
          <w:color w:val="auto"/>
        </w:rPr>
        <w:t>MIDCAP FINANCIAL TRUST,</w:t>
      </w:r>
      <w:r>
        <w:rPr>
          <w:rFonts w:ascii="Times New Roman" w:cs="Times New Roman" w:eastAsia="Times New Roman" w:hAnsi="Times New Roman"/>
          <w:sz w:val="18"/>
          <w:szCs w:val="18"/>
          <w:color w:val="auto"/>
        </w:rPr>
        <w:t xml:space="preserve"> as Term Loan Servicer, and the financial institutions or other entities from time to time parties hereto, each as a Lender.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340" w:firstLine="436"/>
        <w:spacing w:after="0" w:line="278" w:lineRule="auto"/>
        <w:rPr>
          <w:sz w:val="20"/>
          <w:szCs w:val="20"/>
          <w:color w:val="auto"/>
        </w:rPr>
      </w:pPr>
      <w:r>
        <w:rPr>
          <w:rFonts w:ascii="Times New Roman" w:cs="Times New Roman" w:eastAsia="Times New Roman" w:hAnsi="Times New Roman"/>
          <w:sz w:val="18"/>
          <w:szCs w:val="18"/>
          <w:color w:val="auto"/>
        </w:rPr>
        <w:t>The Credit Parties have requested that Lenders make available to Borrowers the financing facilities as described herein. Lenders are willing to extend such credit to Borrowers under the terms and conditions herein set forth.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1" w:lineRule="exact"/>
        <w:rPr>
          <w:sz w:val="20"/>
          <w:szCs w:val="20"/>
          <w:color w:val="auto"/>
        </w:rPr>
      </w:pPr>
    </w:p>
    <w:p>
      <w:pPr>
        <w:ind w:right="1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agreements, provisions and covenants herein contained, Credit Parties,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Term Loan Servicer agree as follows:</w:t>
      </w:r>
    </w:p>
    <w:p>
      <w:pPr>
        <w:spacing w:after="0" w:line="3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ARTICLE 1 - 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The following terms have the following meanings:</w:t>
      </w:r>
    </w:p>
    <w:p>
      <w:pPr>
        <w:spacing w:after="0" w:line="217"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Acceleration Event</w:t>
      </w:r>
      <w:r>
        <w:rPr>
          <w:rFonts w:ascii="Times New Roman" w:cs="Times New Roman" w:eastAsia="Times New Roman" w:hAnsi="Times New Roman"/>
          <w:sz w:val="18"/>
          <w:szCs w:val="18"/>
          <w:color w:val="auto"/>
        </w:rPr>
        <w:t>” means the occurrence of an Event of Default (a) in respect of which Agent has declared all or any portion of the Obligations to be immediately due and payable pursuant to Section 10.2, (b) pursuant to Section 10.1(a), and in respect of which Agent has suspended or terminated the Revolving Loan Commitment or Term Loan Commitment pursuant to Section 10.2, and/or (c) pursuant to either Section 10.1(e) and/or Section 10.1(f).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“account debtor”, as defined in Article 9 of the UCC, and any other obligor in respect of an Account.</w:t>
      </w:r>
    </w:p>
    <w:p>
      <w:pPr>
        <w:spacing w:after="0" w:line="221" w:lineRule="exact"/>
        <w:rPr>
          <w:sz w:val="20"/>
          <w:szCs w:val="20"/>
          <w:color w:val="auto"/>
        </w:rPr>
      </w:pPr>
    </w:p>
    <w:p>
      <w:pPr>
        <w:ind w:firstLine="43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Accounts</w:t>
      </w:r>
      <w:r>
        <w:rPr>
          <w:rFonts w:ascii="Times New Roman" w:cs="Times New Roman" w:eastAsia="Times New Roman" w:hAnsi="Times New Roman"/>
          <w:sz w:val="17"/>
          <w:szCs w:val="17"/>
          <w:color w:val="auto"/>
        </w:rPr>
        <w:t>” 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and (d) all Proceeds of any of the foregoing.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33" w:name="page434"/>
    <w:bookmarkEnd w:id="433"/>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(a) the acquisition (including through licensing) of all or substantially all of the assets of a Person, or of any business, line of business or division or other unit of operation of a Person, (b) the acquisition of fifty percent (50%) or more of the Equity Interests of any Person, whether or not involving a merger or consolidation with such other Person, or otherwise causing any Person to become a Subsidiary of a Credit Party, (c) any merger or consolidation or any other combination with another Person or (d) the acquisition (including through licensing) of any Product, Product line or Intellectual Property of or from any other Person (but in each case excluding in-bound licenses of, and purchases of, over-the-counter and other software that is commercially available to the public and open source licenses in the Ordinary Course of Business) or any assets constituting a business unit, line of business or division of such other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Titled Agents</w:t>
      </w:r>
      <w:r>
        <w:rPr>
          <w:rFonts w:ascii="Times New Roman" w:cs="Times New Roman" w:eastAsia="Times New Roman" w:hAnsi="Times New Roman"/>
          <w:sz w:val="18"/>
          <w:szCs w:val="18"/>
          <w:color w:val="auto"/>
        </w:rPr>
        <w:t>” has the meaning set forth in Section 11.15.</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Lenders</w:t>
      </w:r>
      <w:r>
        <w:rPr>
          <w:rFonts w:ascii="Times New Roman" w:cs="Times New Roman" w:eastAsia="Times New Roman" w:hAnsi="Times New Roman"/>
          <w:sz w:val="18"/>
          <w:szCs w:val="18"/>
          <w:color w:val="auto"/>
        </w:rPr>
        <w:t>” has the meaning set forth in Section 11.17(c).</w:t>
      </w:r>
    </w:p>
    <w:p>
      <w:pPr>
        <w:spacing w:after="0" w:line="221"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As used in this definition, the term “control” of a Person means the possession, directly or indirectly, of the power to vote twenty percent (20%) or more of any class of voting securities of such Person or to direct or cause the direction of the management or policies of a Person, whether through the ownership of voting securities, by contract or otherwise.</w:t>
      </w:r>
    </w:p>
    <w:p>
      <w:pPr>
        <w:spacing w:after="0" w:line="180" w:lineRule="exact"/>
        <w:rPr>
          <w:sz w:val="20"/>
          <w:szCs w:val="20"/>
          <w:color w:val="auto"/>
        </w:rPr>
      </w:pPr>
    </w:p>
    <w:p>
      <w:pPr>
        <w:ind w:right="7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MidCap Funding IV Trust, in its capacity as administrative agent for itself and for Lenders hereunder, as such capacity is established in, and subject to the provisions of, Article 11, and the successors and assigns of MidCap Funding IV Trust in such capacity.</w:t>
      </w:r>
    </w:p>
    <w:p>
      <w:pPr>
        <w:spacing w:after="0" w:line="156" w:lineRule="exact"/>
        <w:rPr>
          <w:sz w:val="20"/>
          <w:szCs w:val="20"/>
          <w:color w:val="auto"/>
        </w:rPr>
      </w:pPr>
    </w:p>
    <w:p>
      <w:pPr>
        <w:ind w:right="2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any Laws relating to terrorism or money laundering, including, without limitation, Executive Order No. 13224 (effective September 24, 2001), the USA PATRIOT Act, the Laws comprising or implementing the Bank Secrecy Act, and the Laws or general or specific licenses administered by OFAC.</w:t>
      </w:r>
    </w:p>
    <w:p>
      <w:pPr>
        <w:spacing w:after="0" w:line="170" w:lineRule="exact"/>
        <w:rPr>
          <w:sz w:val="20"/>
          <w:szCs w:val="20"/>
          <w:color w:val="auto"/>
        </w:rPr>
      </w:pPr>
    </w:p>
    <w:p>
      <w:pPr>
        <w:ind w:right="7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(a) with respect to Revolving Loans, four percent (4.00%) and (b) with respect to Term Loans and all other Obligations, seven percent (7.00%).</w:t>
      </w:r>
    </w:p>
    <w:p>
      <w:pPr>
        <w:spacing w:after="0" w:line="156"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Minimum Net Revenue Threshold</w:t>
      </w:r>
      <w:r>
        <w:rPr>
          <w:rFonts w:ascii="Times New Roman" w:cs="Times New Roman" w:eastAsia="Times New Roman" w:hAnsi="Times New Roman"/>
          <w:sz w:val="18"/>
          <w:szCs w:val="18"/>
          <w:color w:val="auto"/>
        </w:rPr>
        <w:t xml:space="preserve">” means the minimum Net Revenue amount set forth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attached hereto for such Defined Period.</w:t>
      </w:r>
    </w:p>
    <w:p>
      <w:pPr>
        <w:spacing w:after="0" w:line="156" w:lineRule="exact"/>
        <w:rPr>
          <w:sz w:val="20"/>
          <w:szCs w:val="20"/>
          <w:color w:val="auto"/>
        </w:rPr>
      </w:pPr>
    </w:p>
    <w:p>
      <w:pPr>
        <w:ind w:right="10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34" w:name="page435"/>
    <w:bookmarkEnd w:id="434"/>
    <w:p>
      <w:pPr>
        <w:jc w:val="both"/>
        <w:ind w:right="100" w:firstLine="43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Asset Disposition</w:t>
      </w:r>
      <w:r>
        <w:rPr>
          <w:rFonts w:ascii="Times New Roman" w:cs="Times New Roman" w:eastAsia="Times New Roman" w:hAnsi="Times New Roman"/>
          <w:sz w:val="18"/>
          <w:szCs w:val="18"/>
          <w:color w:val="auto"/>
        </w:rPr>
        <w:t>” means any sale, lease, license, transfer, assignment or other disposition (including by merger, allocation of assets (including allocation of assets to any series of a limited liability company), division, consolidation or amalgamation, but excluding dispositions resulting from any casualty or other damage to, or any eminent domain, condemnation or similar proceeding with respect to, any property or asset) by any Credit Party or any Subsidiary thereof of any asset of such Credit Party or such Subsidiary.</w:t>
      </w:r>
    </w:p>
    <w:p>
      <w:pPr>
        <w:spacing w:after="0" w:line="176" w:lineRule="exact"/>
        <w:rPr>
          <w:sz w:val="20"/>
          <w:szCs w:val="20"/>
          <w:color w:val="auto"/>
        </w:rPr>
      </w:pPr>
    </w:p>
    <w:p>
      <w:pPr>
        <w:ind w:right="5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means an assignment agreement in substantially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or such other form that is acceptable to Agent and, as applicable, Borrower Representative.</w:t>
      </w:r>
    </w:p>
    <w:p>
      <w:pPr>
        <w:spacing w:after="0" w:line="156" w:lineRule="exact"/>
        <w:rPr>
          <w:sz w:val="20"/>
          <w:szCs w:val="20"/>
          <w:color w:val="auto"/>
        </w:rPr>
      </w:pPr>
    </w:p>
    <w:p>
      <w:pPr>
        <w:ind w:right="160" w:firstLine="43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Available Tenor</w:t>
      </w:r>
      <w:r>
        <w:rPr>
          <w:rFonts w:ascii="Times New Roman" w:cs="Times New Roman" w:eastAsia="Times New Roman" w:hAnsi="Times New Roman"/>
          <w:sz w:val="17"/>
          <w:szCs w:val="17"/>
          <w:color w:val="auto"/>
        </w:rPr>
        <w:t>” means, as of any date of determination with respect to the then-current Benchmark, (a) if such Benchmark is a term rate, any tenor for such Benchmark (or component thereof) that is or may be used for determining the length of an interest period pursuant to this Agreement or</w:t>
      </w:r>
    </w:p>
    <w:p>
      <w:pPr>
        <w:spacing w:after="0" w:line="1" w:lineRule="exact"/>
        <w:rPr>
          <w:sz w:val="20"/>
          <w:szCs w:val="20"/>
          <w:color w:val="auto"/>
        </w:rPr>
      </w:pPr>
    </w:p>
    <w:p>
      <w:pPr>
        <w:ind w:right="100" w:firstLine="7"/>
        <w:spacing w:after="0" w:line="270" w:lineRule="auto"/>
        <w:tabs>
          <w:tab w:leader="none" w:pos="252"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or similar term pursuant to Section 2.2(o). For the avoidance of doubt, “Available Tenor” with respect to Term SOFR shall mean a 1-month period.</w:t>
      </w:r>
    </w:p>
    <w:p>
      <w:pPr>
        <w:spacing w:after="0" w:line="167"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the same may be amended, modified or supplemented from time to time, and any successor statute thereto.</w:t>
      </w:r>
    </w:p>
    <w:p>
      <w:pPr>
        <w:spacing w:after="0" w:line="15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a per annum rate of interest equal to the greater of (a) the Floor and (b) a per annum rate of interest equal to the rate of interest announced, from time to time, within Wells Fargo Bank, National Association (“</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Agent may, upon prior written notice to Borrower, choose a reasonably comparable index or source to use as the basis for the Base Rate.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Loan that bears interest at a rate based on the Base Rate.</w:t>
      </w:r>
    </w:p>
    <w:p>
      <w:pPr>
        <w:spacing w:after="0" w:line="221"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2.2(o).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35" w:name="page436"/>
    <w:bookmarkEnd w:id="435"/>
    <w:p>
      <w:pPr>
        <w:ind w:right="2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by Agent and the Borrower Representative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w:t>
      </w:r>
    </w:p>
    <w:p>
      <w:pPr>
        <w:spacing w:after="0" w:line="3" w:lineRule="exact"/>
        <w:rPr>
          <w:sz w:val="20"/>
          <w:szCs w:val="20"/>
          <w:color w:val="auto"/>
        </w:rPr>
      </w:pPr>
    </w:p>
    <w:p>
      <w:pPr>
        <w:ind w:right="20" w:firstLine="7"/>
        <w:spacing w:after="0" w:line="256" w:lineRule="auto"/>
        <w:tabs>
          <w:tab w:leader="none" w:pos="2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Benchmark Replacement Adjustment; provided that, if such Benchmark Replacement as so determined would be less than the Floor, such Benchmark Replacement will be deemed to be the Floor for the purposes of this Agreement and the other Financing Documents.</w:t>
      </w:r>
    </w:p>
    <w:p>
      <w:pPr>
        <w:spacing w:after="0" w:line="178"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the Borrower Representative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 at such time.</w:t>
      </w:r>
    </w:p>
    <w:p>
      <w:pPr>
        <w:spacing w:after="0" w:line="178"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7"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 Transition Event</w:t>
      </w:r>
      <w:r>
        <w:rPr>
          <w:rFonts w:ascii="Times New Roman" w:cs="Times New Roman" w:eastAsia="Times New Roman" w:hAnsi="Times New Roman"/>
          <w:sz w:val="17"/>
          <w:szCs w:val="17"/>
          <w:color w:val="auto"/>
        </w:rPr>
        <w: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or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36" w:name="page437"/>
    <w:bookmarkEnd w:id="43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ind w:right="20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ind w:right="1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Financing Document in accordance with Section 2.2(o) and (b) ending at the time that a Benchmark Replacement has replaced the then-current Benchmark for all purposes hereunder and under any Financing Document in accordance with Section 2.2(o).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means any Person: (a) listed in the annex to, or is otherwise subject to the provisions of, Executive Order No. 13224,</w:t>
      </w:r>
    </w:p>
    <w:p>
      <w:pPr>
        <w:spacing w:after="0" w:line="30" w:lineRule="exact"/>
        <w:rPr>
          <w:sz w:val="20"/>
          <w:szCs w:val="20"/>
          <w:color w:val="auto"/>
        </w:rPr>
      </w:pPr>
    </w:p>
    <w:p>
      <w:pPr>
        <w:ind w:right="120" w:firstLine="7"/>
        <w:spacing w:after="0" w:line="249" w:lineRule="auto"/>
        <w:tabs>
          <w:tab w:leader="none" w:pos="25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(e) that is named a “specially designated national” or “blocked person” on the most current list published by OFAC or other similar sanctions list or is named as a “listed person” or “listed entity” on other lists made under any Anti-Terrorism Law, or (f) any Person resident in, organized under the laws of or incorporated in a Sanctioned Country.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has the meaning set forth in the introductory paragraph hereto.</w:t>
      </w:r>
    </w:p>
    <w:p>
      <w:pPr>
        <w:spacing w:after="0" w:line="221" w:lineRule="exact"/>
        <w:rPr>
          <w:sz w:val="20"/>
          <w:szCs w:val="20"/>
          <w:color w:val="auto"/>
        </w:rPr>
      </w:pPr>
    </w:p>
    <w:p>
      <w:pPr>
        <w:ind w:right="1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means Omada Health, Inc., in its capacity as Borrower Representative pursuant to the provisions of Section 2.9, or any successor Borrower Representative selected by Borrowers and approved by Agent.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means, the sum of:</w:t>
      </w:r>
    </w:p>
    <w:p>
      <w:pPr>
        <w:spacing w:after="0" w:line="116" w:lineRule="exact"/>
        <w:rPr>
          <w:sz w:val="20"/>
          <w:szCs w:val="20"/>
          <w:color w:val="auto"/>
        </w:rPr>
      </w:pPr>
    </w:p>
    <w:p>
      <w:pPr>
        <w:ind w:firstLine="990"/>
        <w:spacing w:after="0" w:line="280" w:lineRule="auto"/>
        <w:tabs>
          <w:tab w:leader="none" w:pos="122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(i) eighty-five percent (85%)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aggregate net amount (as determined in accordance with the definition of Eligible Accounts) at such time of the Eligible Accounts; </w:t>
      </w:r>
      <w:r>
        <w:rPr>
          <w:rFonts w:ascii="Times New Roman" w:cs="Times New Roman" w:eastAsia="Times New Roman" w:hAnsi="Times New Roman"/>
          <w:sz w:val="18"/>
          <w:szCs w:val="18"/>
          <w:i w:val="1"/>
          <w:iCs w:val="1"/>
          <w:color w:val="auto"/>
        </w:rPr>
        <w:t>plus</w:t>
      </w:r>
    </w:p>
    <w:p>
      <w:pPr>
        <w:spacing w:after="0" w:line="51" w:lineRule="exact"/>
        <w:rPr>
          <w:rFonts w:ascii="Times New Roman" w:cs="Times New Roman" w:eastAsia="Times New Roman" w:hAnsi="Times New Roman"/>
          <w:sz w:val="18"/>
          <w:szCs w:val="18"/>
          <w:color w:val="auto"/>
        </w:rPr>
      </w:pPr>
    </w:p>
    <w:p>
      <w:pPr>
        <w:ind w:right="220" w:firstLine="990"/>
        <w:spacing w:after="0" w:line="264" w:lineRule="auto"/>
        <w:tabs>
          <w:tab w:leader="none" w:pos="12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forty percent (40%)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Orderly Liquidation Value of the Eligible Inventory, or (ii) forty percent (40%)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value of the Eligible Inventory, valued at the lower of first-in-first-out cost or market cost, and after factoring in all rebates,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discounts and other incentives or rewards associated with the purchase of the applicable Inventory; </w:t>
      </w:r>
      <w:r>
        <w:rPr>
          <w:rFonts w:ascii="Times New Roman" w:cs="Times New Roman" w:eastAsia="Times New Roman" w:hAnsi="Times New Roman"/>
          <w:sz w:val="18"/>
          <w:szCs w:val="18"/>
          <w:i w:val="1"/>
          <w:iCs w:val="1"/>
          <w:color w:val="auto"/>
        </w:rPr>
        <w:t>minus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37" w:name="page438"/>
    <w:bookmarkEnd w:id="4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 the amount of any Reserves and/or other adjustments provided for in this Agreement;</w:t>
      </w:r>
    </w:p>
    <w:p>
      <w:pPr>
        <w:spacing w:after="0" w:line="11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Borrowing Base shall automatically be adjusted down, if necessary, such that (i) the aggregate availability from Eligible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never exceed an amount equal to forty percent (40%) of the Revolving Loan Limit, as of any date of determination.</w:t>
      </w:r>
    </w:p>
    <w:p>
      <w:pPr>
        <w:spacing w:after="0" w:line="54" w:lineRule="exact"/>
        <w:rPr>
          <w:sz w:val="20"/>
          <w:szCs w:val="20"/>
          <w:color w:val="auto"/>
        </w:rPr>
      </w:pPr>
    </w:p>
    <w:p>
      <w:pPr>
        <w:ind w:right="80" w:firstLine="436"/>
        <w:spacing w:after="0" w:line="251" w:lineRule="auto"/>
        <w:rPr>
          <w:sz w:val="20"/>
          <w:szCs w:val="20"/>
          <w:color w:val="auto"/>
        </w:rPr>
      </w:pPr>
      <w:r>
        <w:rPr>
          <w:rFonts w:ascii="Times New Roman" w:cs="Times New Roman" w:eastAsia="Times New Roman" w:hAnsi="Times New Roman"/>
          <w:sz w:val="18"/>
          <w:szCs w:val="18"/>
          <w:color w:val="auto"/>
        </w:rPr>
        <w:t>The Borrowing Base at any time shall be determined by reference to the most recent Borrowing Base Certificate delivered to the Agent in accordance with this Agreement. The establishment or increase of any Reserve will be limited to the exercise by the Agent of its Permitted Discretion, upon at least two (2) Business Days’ prior written notice to the Borrower Representative (which notice will include a reasonably detailed description of the Reserve being established); provided, that, (x) no such notice shall be required if an Event of Default has occurred and is continuing, and (y) upon such notice, the Borrowers will not be permitted to borrow so as to exceed the Borrowing Base after giving effect to such new or modified Reserves. During such two (2) Business Day period, Agent will, if requested, discuss any such new or modified Reserve with the Borrower Representative, and the Borrower Representative may take such action as may be required so that the event, condition or matter that is the basis for such new or modified Reserve no longer exists or exists in a manner that would result in the establishment of a lower Reserve, in each case, in a manner and to the extent reasonably satisfactory to the Agent.</w:t>
      </w:r>
    </w:p>
    <w:p>
      <w:pPr>
        <w:spacing w:after="0" w:line="188"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 Certificate</w:t>
      </w:r>
      <w:r>
        <w:rPr>
          <w:rFonts w:ascii="Times New Roman" w:cs="Times New Roman" w:eastAsia="Times New Roman" w:hAnsi="Times New Roman"/>
          <w:sz w:val="18"/>
          <w:szCs w:val="18"/>
          <w:color w:val="auto"/>
        </w:rPr>
        <w:t xml:space="preserve">” means a certificate, duly executed by a Responsible Officer of Borrower Representative, appropriately completed and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156" w:lineRule="exact"/>
        <w:rPr>
          <w:sz w:val="20"/>
          <w:szCs w:val="20"/>
          <w:color w:val="auto"/>
        </w:rPr>
      </w:pPr>
    </w:p>
    <w:p>
      <w:pPr>
        <w:ind w:right="3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except a Saturday, Sunday or other day on which either the New York Stock Exchange is closed, or on which commercial banks in New York City are authorized by Law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when used in the context of a SOFR Loan, the term “Business Day” shall also exclude any day that is not also a SOFR Business Day.</w:t>
      </w:r>
    </w:p>
    <w:p>
      <w:pPr>
        <w:spacing w:after="0" w:line="170"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of any Person means any lease of any property by such Person as lessee which would, in accordance with GAAP, be required to be accounted for as a capital lease or finance lease on the balance sheet of such Person.</w:t>
      </w:r>
    </w:p>
    <w:p>
      <w:pPr>
        <w:spacing w:after="0" w:line="156"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Dominion Event</w:t>
      </w:r>
      <w:r>
        <w:rPr>
          <w:rFonts w:ascii="Times New Roman" w:cs="Times New Roman" w:eastAsia="Times New Roman" w:hAnsi="Times New Roman"/>
          <w:sz w:val="18"/>
          <w:szCs w:val="18"/>
          <w:color w:val="auto"/>
        </w:rPr>
        <w:t>” means (a) the occurrence and continuance of any Event of Default or (b) the Revolving Loan Outstandings are greater than 70% of the Revolving Loan Limit for a period of three (3) consecutive Business Days.</w:t>
      </w:r>
    </w:p>
    <w:p>
      <w:pPr>
        <w:spacing w:after="0" w:line="156"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Dominion Period</w:t>
      </w:r>
      <w:r>
        <w:rPr>
          <w:rFonts w:ascii="Times New Roman" w:cs="Times New Roman" w:eastAsia="Times New Roman" w:hAnsi="Times New Roman"/>
          <w:sz w:val="18"/>
          <w:szCs w:val="18"/>
          <w:color w:val="auto"/>
        </w:rPr>
        <w:t>” means each period beginning immediately upon the occurrence of a Cash Dominion Event and ending on the date that both (a) no Event of Default exists and is continuing and (b) Agent has received satisfactory evidence that Revolving Loan Outstandings are less than or equal to 70% of the Revolving Loan Limit on each day for a period of fifteen (15) consecutive days following the occurrence of the applicable Cash Dominion Event.</w:t>
      </w:r>
    </w:p>
    <w:p>
      <w:pPr>
        <w:spacing w:after="0" w:line="17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(c) commercial paper maturing no more than one (1) year from the date of creation</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38" w:name="page439"/>
    <w:bookmarkEnd w:id="438"/>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thereof and having, at the time of the acquisition thereof, a rating of at least A-1 from S&amp;P or at least P-1 from Moody’s, or carrying an equivalent rating by a nationally recognized rating agency, if both of the two named rating agencies cease publishing ratings of commercial paper issuers generally;</w:t>
      </w:r>
    </w:p>
    <w:p>
      <w:pPr>
        <w:ind w:right="80" w:firstLine="7"/>
        <w:spacing w:after="0" w:line="249" w:lineRule="auto"/>
        <w:tabs>
          <w:tab w:leader="none" w:pos="25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or bankers’ acceptances maturing within one (1) year after such date and issued or accepted by any Lender or by any commercial bank organized under the laws of the United States or any state thereof or the District of Columbia that (i) 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clauses (a) and (b) above, (ii) has net assets of not less than $500,000,000, and (iii) has the highest rating obtainable from either S&amp;P or Moody’s.</w:t>
      </w:r>
    </w:p>
    <w:p>
      <w:pPr>
        <w:spacing w:after="0" w:line="187" w:lineRule="exact"/>
        <w:rPr>
          <w:sz w:val="20"/>
          <w:szCs w:val="20"/>
          <w:color w:val="auto"/>
        </w:rPr>
      </w:pPr>
    </w:p>
    <w:p>
      <w:pPr>
        <w:ind w:right="3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xml:space="preserve">” means the Comprehensive Environmental Response, Compensation and Liability Act of 1980, 42 U.S.C.A.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the same may be amended from time to time.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1"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of the following events: (a) any “person” or “group” (as such terms are used in Sections 13(d) and 14(d) of the Securities Exchange Act of 1934)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more than forty-nine percent (49%) of the combined voting power of all voting stock of Parent on a fully-diluted basis (and taking into account all such securities that such person or group has the right to acquire pursuant to any option right); (b) during any period of twelve (12) consecutive months, a majority of the members of the board of directors or other equivalent governing body of Parent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any Credit Party ceases to own, directly or indirectly, 100% of the capital stock of any of its Subsidiaries (with the exception of any Subsidiaries permitted to be dissolved, merged or otherwise disposed of to the extent otherwise permitted by this Agreement); or (d) the occurrence of a “Change of Control”, “Fundamental Change”, “Change in Control”, “Deemed Liquidation Event” or terms of similar import under any document or instrument governing or relating to Debt of or Equity Interests of such Person. As used herein, “beneficial ownership” shall have the meaning provided in Rule 13d-3 of the SEC under the Securities Exchange Act of 1934.</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of this Agreement.</w:t>
      </w:r>
    </w:p>
    <w:p>
      <w:pPr>
        <w:spacing w:after="0" w:line="221"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any successor statutes thereto, and applicable U.S. Department of Treasury regulations issued pursuant thereto in currently effective temporary or final form.</w:t>
      </w:r>
    </w:p>
    <w:p>
      <w:pPr>
        <w:spacing w:after="0" w:line="156"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means all property, other than Excluded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Times New Roman" w:cs="Times New Roman" w:eastAsia="Times New Roman" w:hAnsi="Times New Roman"/>
          <w:sz w:val="18"/>
          <w:szCs w:val="18"/>
          <w:u w:val="single" w:color="auto"/>
          <w:color w:val="auto"/>
        </w:rPr>
        <w:t>Schedule 9.1</w:t>
      </w:r>
      <w:r>
        <w:rPr>
          <w:rFonts w:ascii="Times New Roman" w:cs="Times New Roman" w:eastAsia="Times New Roman" w:hAnsi="Times New Roman"/>
          <w:sz w:val="18"/>
          <w:szCs w:val="18"/>
          <w:color w:val="auto"/>
        </w:rPr>
        <w:t xml:space="preserve"> hereto.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39" w:name="page440"/>
    <w:bookmarkEnd w:id="439"/>
    <w:p>
      <w:pPr>
        <w:ind w:right="260" w:firstLine="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Collateral Assignment of Practice Entity Documents</w:t>
      </w:r>
      <w:r>
        <w:rPr>
          <w:rFonts w:ascii="Times New Roman" w:cs="Times New Roman" w:eastAsia="Times New Roman" w:hAnsi="Times New Roman"/>
          <w:sz w:val="18"/>
          <w:szCs w:val="18"/>
          <w:color w:val="auto"/>
        </w:rPr>
        <w:t>” means each of (a) that certain Collateral Assignment of Practice Entity Documents, dated as of the Closing Date, by and among Parent, Physera Physical Therapy Group, PC and Agent, and (b) each collateral assignment of Practice Entity Documents entered into between a Credit Party and Agent following the Closing Date pursuant to which a Credit Party collaterally assigns its rights under each Practice Entity Document entered into following the Closing Date, each of which collateral assignment agreements shall be in form and substance reasonably satisfactory to Agent.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Annex</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Agreement.</w:t>
      </w:r>
    </w:p>
    <w:p>
      <w:pPr>
        <w:spacing w:after="0" w:line="221"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at any time of determination, any Person engaged in the same or substantially the same line of business as the Borrower and the other Credit Parties.</w:t>
      </w:r>
    </w:p>
    <w:p>
      <w:pPr>
        <w:spacing w:after="0" w:line="156"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certificate, duly executed by a Responsible Officer of Borrower Representative, appropriately completed and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56" w:lineRule="exact"/>
        <w:rPr>
          <w:sz w:val="20"/>
          <w:szCs w:val="20"/>
          <w:color w:val="auto"/>
        </w:rPr>
      </w:pPr>
    </w:p>
    <w:p>
      <w:pPr>
        <w:ind w:right="120" w:firstLine="43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Conforming Changes</w:t>
      </w:r>
      <w:r>
        <w:rPr>
          <w:rFonts w:ascii="Times New Roman" w:cs="Times New Roman" w:eastAsia="Times New Roman" w:hAnsi="Times New Roman"/>
          <w:sz w:val="17"/>
          <w:szCs w:val="17"/>
          <w:color w:val="auto"/>
        </w:rPr>
        <w:t>” means, with respect to either the use or administration of Term SOFR or the use, administration, adoption or implementation of any Benchmark Replacement, any technical, administrative or operational changes (including (a) changes to the definition of “Base Rate”, “Business Day”, “Interest Period”,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2.8 (Taxes; Capital Adequacy; Increased Costs; Inability to Determine Rates; Illegality) and</w:t>
      </w:r>
    </w:p>
    <w:p>
      <w:pPr>
        <w:spacing w:after="0" w:line="1" w:lineRule="exact"/>
        <w:rPr>
          <w:sz w:val="20"/>
          <w:szCs w:val="20"/>
          <w:color w:val="auto"/>
        </w:rPr>
      </w:pPr>
    </w:p>
    <w:p>
      <w:pPr>
        <w:ind w:firstLine="7"/>
        <w:spacing w:after="0" w:line="250" w:lineRule="auto"/>
        <w:tabs>
          <w:tab w:leader="none" w:pos="24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technical, administrative or operational matters) that Agent decides may be 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spacing w:after="0" w:line="183" w:lineRule="exact"/>
        <w:rPr>
          <w:sz w:val="20"/>
          <w:szCs w:val="20"/>
          <w:color w:val="auto"/>
        </w:rPr>
      </w:pPr>
    </w:p>
    <w:p>
      <w:pPr>
        <w:ind w:right="5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GAAP Revenue</w:t>
      </w:r>
      <w:r>
        <w:rPr>
          <w:rFonts w:ascii="Times New Roman" w:cs="Times New Roman" w:eastAsia="Times New Roman" w:hAnsi="Times New Roman"/>
          <w:sz w:val="18"/>
          <w:szCs w:val="18"/>
          <w:color w:val="auto"/>
        </w:rPr>
        <w:t>” means, for any applicable Defined Period, the consolidated revenue of Borrowers and their Consolidated Subsidiaries (other than the PCs) for such Defined Period, as determined in accordance with GAAP.</w:t>
      </w:r>
    </w:p>
    <w:p>
      <w:pPr>
        <w:spacing w:after="0" w:line="156"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Subsidiary</w:t>
      </w:r>
      <w:r>
        <w:rPr>
          <w:rFonts w:ascii="Times New Roman" w:cs="Times New Roman" w:eastAsia="Times New Roman" w:hAnsi="Times New Roman"/>
          <w:sz w:val="18"/>
          <w:szCs w:val="18"/>
          <w:color w:val="auto"/>
        </w:rPr>
        <w:t>” means, at any date, any Subsidiary (including, solely for the purposes of this definition of “Consolidated Subsidiary” the PCs) the accounts of which would be consolidated with those of Parent (or any other Person, as the context may require hereunder) in its consolidated financial statements if such statements were prepared as of such date.</w:t>
      </w:r>
    </w:p>
    <w:p>
      <w:pPr>
        <w:spacing w:after="0" w:line="170"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with respect to any Person, any direct or indirect liability of such Person: (a) with respect to any Debt of another Person (a “</w:t>
      </w:r>
      <w:r>
        <w:rPr>
          <w:rFonts w:ascii="Times New Roman" w:cs="Times New Roman" w:eastAsia="Times New Roman" w:hAnsi="Times New Roman"/>
          <w:sz w:val="18"/>
          <w:szCs w:val="18"/>
          <w:b w:val="1"/>
          <w:bCs w:val="1"/>
          <w:color w:val="auto"/>
        </w:rPr>
        <w:t>Third Party Obligation</w:t>
      </w:r>
      <w:r>
        <w:rPr>
          <w:rFonts w:ascii="Times New Roman" w:cs="Times New Roman" w:eastAsia="Times New Roman" w:hAnsi="Times New Roman"/>
          <w:sz w:val="18"/>
          <w:szCs w:val="18"/>
          <w:color w:val="auto"/>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(e) any breakup fee or similar fee included in any purchase agreement, sale agreement or similar agreement (“</w:t>
      </w:r>
      <w:r>
        <w:rPr>
          <w:rFonts w:ascii="Times New Roman" w:cs="Times New Roman" w:eastAsia="Times New Roman" w:hAnsi="Times New Roman"/>
          <w:sz w:val="18"/>
          <w:szCs w:val="18"/>
          <w:b w:val="1"/>
          <w:bCs w:val="1"/>
          <w:color w:val="auto"/>
        </w:rPr>
        <w:t>Breakup Fees</w:t>
      </w:r>
      <w:r>
        <w:rPr>
          <w:rFonts w:ascii="Times New Roman" w:cs="Times New Roman" w:eastAsia="Times New Roman" w:hAnsi="Times New Roman"/>
          <w:sz w:val="18"/>
          <w:szCs w:val="18"/>
          <w:color w:val="auto"/>
        </w:rPr>
        <w:t>”), or (e) for any obligations of another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40" w:name="page441"/>
    <w:bookmarkEnd w:id="440"/>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spacing w:after="0" w:line="176"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Group</w:t>
      </w:r>
      <w:r>
        <w:rPr>
          <w:rFonts w:ascii="Times New Roman" w:cs="Times New Roman" w:eastAsia="Times New Roman" w:hAnsi="Times New Roman"/>
          <w:sz w:val="18"/>
          <w:szCs w:val="18"/>
          <w:color w:val="auto"/>
        </w:rPr>
        <w:t>” means all members of a group of corporations and all members of a group of trades or businesses (whether or not incorporated) under common control which, together with the Credit Parties, are treated as a single employer under Section 414(b), (c), (m) or (o) of the Code or Section 4001(b) of ERISA and, solely for purposes of Section 412 and 436 of the Code, Section 414(m) or (o) of the Code.</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Card Cash Collateral Account</w:t>
      </w:r>
      <w:r>
        <w:rPr>
          <w:rFonts w:ascii="Times New Roman" w:cs="Times New Roman" w:eastAsia="Times New Roman" w:hAnsi="Times New Roman"/>
          <w:sz w:val="18"/>
          <w:szCs w:val="18"/>
          <w:color w:val="auto"/>
        </w:rPr>
        <w:t xml:space="preserve">” means, collectively, each segregated Deposit Account from time to time identified to Agent in writing established by Borrower for the sole purpose of securing Borrower’s obligations under clause (k) of the definition Permitted Debt and containing only such cash or Cash Equivalents that have been required to be pledged to secure such obligations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cash or Cash Equivalents deposited in all such Credit Card Cash Collateral Account(s) does not, at any time, exceed Five Hundred Thousand Dollars ($500,000) in the aggregate.</w:t>
      </w:r>
    </w:p>
    <w:p>
      <w:pPr>
        <w:spacing w:after="0" w:line="180"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each Borrower and each Guarantor; and “</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xml:space="preserve">” means all such Persons, collectively;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the avoidance of doubt, in no event shall any Restricted Foreign Subsidiary or PC be deemed to be or otherwise required to be a “</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for purposes of this Agreement or the other Financing Documents unless and until, in the case of any Restricted Foreign Subsidiary, such Person becomes a Credit Party pursuant to the provisions of Section 4.11(e).</w:t>
      </w:r>
    </w:p>
    <w:p>
      <w:pPr>
        <w:spacing w:after="0" w:line="176" w:lineRule="exact"/>
        <w:rPr>
          <w:sz w:val="20"/>
          <w:szCs w:val="20"/>
          <w:color w:val="auto"/>
        </w:rPr>
      </w:pPr>
    </w:p>
    <w:p>
      <w:pPr>
        <w:ind w:right="26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 Unrestricted Cash</w:t>
      </w:r>
      <w:r>
        <w:rPr>
          <w:rFonts w:ascii="Times New Roman" w:cs="Times New Roman" w:eastAsia="Times New Roman" w:hAnsi="Times New Roman"/>
          <w:sz w:val="18"/>
          <w:szCs w:val="18"/>
          <w:color w:val="auto"/>
        </w:rPr>
        <w:t>” means unrestricted cash and Cash Equivalents of the Credit Parties that (a) are held in the name of a Credit Party in a Deposit Account or Securities Account located in the United States that is subject to a Deposit Account Control Agreement or Securities Account Control Agreement, as applicable, in favor of Agent and are otherwise subject to Agent’s first priority perfected security interest, (b) is not subject to any other Lien (other than Permitted Liens), and (c) are not funds for the payment of a drawn or committed but unpaid draft, ACH or EFT transaction.</w:t>
      </w:r>
    </w:p>
    <w:p>
      <w:pPr>
        <w:spacing w:after="0" w:line="180"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in the Ordinary Course of Business other than Overdue Trade Payables, (d) all Capital Leases of such Person, (e) all non-contingent obligations of such Person to reimburse any bank or other Person in respect of amounts paid under a letter of credit, banker’s acceptance or similar instrument, (f) all Disqualified Equity Interests, (g) 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provided that “earnouts” and other similar payment obligations shall only constitute Debt to the extent required to be reflected on the balance sheet of such Person as a liability in accordance with GAAP, (i) all Debt of others Guaranteed by such Person and (j) all monetary obligations under any synthetic lease, tax ownership/operating lease, off-balance sheet financing or similar financing. Without duplication of any of the foregoing, Debt of Credit Parties shall include any and all Loans.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41" w:name="page442"/>
    <w:bookmarkEnd w:id="441"/>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condition or event which with the giving of notice or lapse of time or both would, unless cured or waived, become an Event of Default.</w:t>
      </w:r>
    </w:p>
    <w:p>
      <w:pPr>
        <w:spacing w:after="0" w:line="156"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Lender</w:t>
      </w:r>
      <w:r>
        <w:rPr>
          <w:rFonts w:ascii="Times New Roman" w:cs="Times New Roman" w:eastAsia="Times New Roman" w:hAnsi="Times New Roman"/>
          <w:sz w:val="18"/>
          <w:szCs w:val="18"/>
          <w:color w:val="auto"/>
        </w:rPr>
        <w:t>” means, (i) so long as such failure shall remain in existence and uncured, any Lender which shall have failed to make any Loan or other credit accommodation, disbursement, settlement or reimbursement required pursuant to the terms of any Financing Document, (ii) any Lender that has notified the Credit Parties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or (iii) any Lender that has, or has a direct or indirect parent company that has, (a) become the subject of any proceeding under the Bankruptcy Code or any other insolvency, debtor relief or debt adjustment or similar law (whether state, provincial, territorial, federal or foreign),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(c) become the subject of a Bail-In Action; provided, that a Lender shall not be a Defaulted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Defaulted Lender under any one or more of clauses (i) through (iii) above shall be conclusive and binding absent manifest error, and such Lender shall be deemed to be a Defaulted Lender upon delivery of written notice of such determination to Agent and each Lender.</w:t>
      </w:r>
    </w:p>
    <w:p>
      <w:pPr>
        <w:spacing w:after="0" w:line="186" w:lineRule="exact"/>
        <w:rPr>
          <w:sz w:val="20"/>
          <w:szCs w:val="20"/>
          <w:color w:val="auto"/>
        </w:rPr>
      </w:pPr>
    </w:p>
    <w:p>
      <w:pPr>
        <w:jc w:val="both"/>
        <w:ind w:right="1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Defined Period</w:t>
      </w:r>
      <w:r>
        <w:rPr>
          <w:rFonts w:ascii="Times New Roman" w:cs="Times New Roman" w:eastAsia="Times New Roman" w:hAnsi="Times New Roman"/>
          <w:sz w:val="18"/>
          <w:szCs w:val="18"/>
          <w:color w:val="auto"/>
        </w:rPr>
        <w:t>” means for any given calendar month or date of determination, the immediately preceding twelve (12) month period ending on the last day of such calendar month or if such date of determination is not the last day of a calendar month, the twelve (12) month period immediately preceding any such date of determination.</w:t>
      </w:r>
    </w:p>
    <w:p>
      <w:pPr>
        <w:spacing w:after="0" w:line="170"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 “deposit account” (as defined in Article 9 of the UCC), an investment account, or other account in which funds are held or invested for credit to or for the benefit of any Credit Party.</w:t>
      </w:r>
    </w:p>
    <w:p>
      <w:pPr>
        <w:spacing w:after="0" w:line="156" w:lineRule="exact"/>
        <w:rPr>
          <w:sz w:val="20"/>
          <w:szCs w:val="20"/>
          <w:color w:val="auto"/>
        </w:rPr>
      </w:pPr>
    </w:p>
    <w:p>
      <w:pPr>
        <w:ind w:right="28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 Control Agreement</w:t>
      </w:r>
      <w:r>
        <w:rPr>
          <w:rFonts w:ascii="Times New Roman" w:cs="Times New Roman" w:eastAsia="Times New Roman" w:hAnsi="Times New Roman"/>
          <w:sz w:val="18"/>
          <w:szCs w:val="18"/>
          <w:color w:val="auto"/>
        </w:rPr>
        <w:t>” means an agreement, in form and substance reasonably satisfactory to Agent, among Agent, any applicable Credit Party and each financial institution in which such Credit Party maintains a Deposit Account (which is not an Excluded Account), which agreement provides that such financial institution shall comply with instructions originated by Agent directing disposition of the funds in such Deposit Account without further consent by the applicable Credit Party, including as to any such agreement pertaining to any Lockbox Account, providing that, solely with respect to any Lockbox or Lockbox Account, during any Cash Dominion Period, such financial institution shall, at the direction of Agent, wire, or otherwise transfer, in immediately available funds, on a daily basis to the Revolving Loan Payment Account all funds received or deposited into such Lockbox or Lockbox Account.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42" w:name="page443"/>
    <w:bookmarkEnd w:id="442"/>
    <w:p>
      <w:pPr>
        <w:ind w:firstLine="436"/>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Disqualified Equity Interests</w:t>
      </w:r>
      <w:r>
        <w:rPr>
          <w:rFonts w:ascii="Times New Roman" w:cs="Times New Roman" w:eastAsia="Times New Roman" w:hAnsi="Times New Roman"/>
          <w:sz w:val="17"/>
          <w:szCs w:val="17"/>
          <w:color w:val="auto"/>
        </w:rPr>
        <w:t xml:space="preserve">” means, with respect to any Person, any Equity Interest in such Person that, within less than 91 days after the Maturity Date, either by its terms (or by the terms of any security or any other Equity Interests into which it is convertible or for which it is exchangeable) or upon the happening of any event or condition, (a) matures or is mandatorily redeemable (other than solely for Permitted Debt or other Equity Interests in such Person or of Parent that do not constitute Disqualified Equity Interests and cash in lieu of fractional shares of such Equity Interests), pursuant to a sinking fund obligation or otherwise (except as a result of a change of control or asset sale so long as any rights of the holders thereof upon the occurrence of a change of control or asset sale event shall be subject to the prior payment in full of the Loans and all other Obligations and the termination of the Revolving Loan Commitments), (b) is redeemable at the option of the holder thereof, in whole or in part (other than solely for Permitted Debt or other Equity Interests in such Person or of Parent that do not constitute Disqualified Equity Interests and cash in lieu of fractional shares of such Equity Interests), (c) provides for the scheduled payments of dividends or distributions in cash, or (d) is or becomes convertible into or exchangeable for Debt (other than Permitted Debt) or any other Equity Interest that would constitute Disqualified Equity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Equity Interests are issued pursuant to a plan for the benefit of employees of the Borrowers or any Subsidiary or by any such plan to such employees, such Equity Interests shall not constitute Disqualified Equity Interests solely because they may be required to be repurchased by the Borrowers or their Subsidiaries in order to satisfy applicable statutory or regulatory obligations or as a result of such employee’s termination, death or disability.</w:t>
      </w:r>
    </w:p>
    <w:p>
      <w:pPr>
        <w:spacing w:after="0" w:line="179" w:lineRule="exact"/>
        <w:rPr>
          <w:sz w:val="20"/>
          <w:szCs w:val="20"/>
          <w:color w:val="auto"/>
        </w:rPr>
      </w:pPr>
    </w:p>
    <w:p>
      <w:pPr>
        <w:ind w:right="100" w:firstLine="43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as to any Person (a) any dividend or other distribution or payment (whether in cash, securities or other property) on, or in respect of, any Equity Interest in such Person (except those payable solely in its Equity Interests other than Disqualified Equity Interests),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similar fees or like compensation to any Person holding an Equity Interest in a Credit Party or a Subsidiary of a Credit Party (other than (i) payments of salaries to individuals, (ii) directors fees, (iii) advances and reimbursements to employees or directors, all in the Ordinary Course of Business and (iv) fees as compensation for bona fide services (such as administrative services) pursuant to arms’ length commercial contracts unrelated to an Equity Interest), an Affiliate of a Credit Party or an Affiliate of any Subsidiary of a Credit Party, (d) any lease or rental payments to an Affiliate or Subsidiary of a Credit Party, or (e) repayments of or debt service on loans or other indebtedness (other than conversion to Equity Interests other than Disqualified Equity Interests) held by an Affiliate of any Credit Party unless permitted under and made pursuant to a Subordination Agreement applicable to such loans or other indebtedness.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1"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1"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4" w:right="539" w:bottom="1440" w:gutter="0" w:footer="0" w:header="0"/>
        </w:sectPr>
      </w:pPr>
    </w:p>
    <w:bookmarkStart w:id="443" w:name="page444"/>
    <w:bookmarkEnd w:id="443"/>
    <w:p>
      <w:pPr>
        <w:ind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Eligible Account</w:t>
      </w:r>
      <w:r>
        <w:rPr>
          <w:rFonts w:ascii="Times New Roman" w:cs="Times New Roman" w:eastAsia="Times New Roman" w:hAnsi="Times New Roman"/>
          <w:sz w:val="18"/>
          <w:szCs w:val="18"/>
          <w:color w:val="auto"/>
        </w:rPr>
        <w:t xml:space="preserve">” means, subject to the criteria below, an account receivable of a Borrower, which was generated in the Ordinary Course of Business and originally in the name of a Borrower and not acquired via assignment or otherwise, and which Agent, in its Permitted Discretion, deems to be an Eligible Account in accordance with the terms of this definition. The net amount of an Eligible Account at any time shall be (a) the face amount of such Eligible Account as originally billed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all cash collections and other proceeds of such Account received from or on behalf of the Account Debtor thereunder as of such date and any and all returns, rebates, discounts, credits, allowances or excise taxes of any nature at any time issued, owing, claimed by Account Debtors, granted, outstanding or payable in connection with such Accounts at such time, and (b) adjusted by applying percentages (known as “</w:t>
      </w:r>
      <w:r>
        <w:rPr>
          <w:rFonts w:ascii="Times New Roman" w:cs="Times New Roman" w:eastAsia="Times New Roman" w:hAnsi="Times New Roman"/>
          <w:sz w:val="18"/>
          <w:szCs w:val="18"/>
          <w:b w:val="1"/>
          <w:bCs w:val="1"/>
          <w:color w:val="auto"/>
        </w:rPr>
        <w:t>liquidity factors</w:t>
      </w:r>
      <w:r>
        <w:rPr>
          <w:rFonts w:ascii="Times New Roman" w:cs="Times New Roman" w:eastAsia="Times New Roman" w:hAnsi="Times New Roman"/>
          <w:sz w:val="18"/>
          <w:szCs w:val="18"/>
          <w:color w:val="auto"/>
        </w:rPr>
        <w:t>”) by payor and/or payor class based upon the applicable Borrower’s actual recent collection history for each such payor and/or payor class in a manner consistent with Agent’s underwriting practices and procedures (and based on audits conducted from time to time by Agent in accordance with the terms of this Agreement) and notified to Borrower Representative to the extent and in the same manner as required with respect to Reserves. Such liquidity factors may be adjusted by Agent from time to time as warranted by Agent’s underwriting practices and procedures and using Agent’s Permitted Discretion and notified to the Borrower Representative to the extent and in the same manner as required with respect to Reserves. Without limiting the generality of the foregoing, no Account shall be an Eligible Account if:</w:t>
      </w:r>
    </w:p>
    <w:p>
      <w:pPr>
        <w:spacing w:after="0" w:line="81" w:lineRule="exact"/>
        <w:rPr>
          <w:sz w:val="20"/>
          <w:szCs w:val="20"/>
          <w:color w:val="auto"/>
        </w:rPr>
      </w:pPr>
    </w:p>
    <w:p>
      <w:pPr>
        <w:ind w:right="260" w:firstLine="990"/>
        <w:spacing w:after="0" w:line="278" w:lineRule="auto"/>
        <w:tabs>
          <w:tab w:leader="none" w:pos="12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remains unpaid more than one hundred twenty (120) days past the claim or invoice date (but in no event more than one hundred fifty (150) days after the applicable goods or services have been rendered or delivered);</w:t>
      </w:r>
    </w:p>
    <w:p>
      <w:pPr>
        <w:spacing w:after="0" w:line="55" w:lineRule="exact"/>
        <w:rPr>
          <w:rFonts w:ascii="Times New Roman" w:cs="Times New Roman" w:eastAsia="Times New Roman" w:hAnsi="Times New Roman"/>
          <w:sz w:val="18"/>
          <w:szCs w:val="18"/>
          <w:color w:val="auto"/>
        </w:rPr>
      </w:pPr>
    </w:p>
    <w:p>
      <w:pPr>
        <w:ind w:right="60" w:firstLine="990"/>
        <w:spacing w:after="0" w:line="258" w:lineRule="auto"/>
        <w:tabs>
          <w:tab w:leader="none" w:pos="12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subject to any defense, set-off, recoupment, counterclaim, deduction, discount, credit, chargeback, freight claim, allowance, or adjustment of any kind (but only to the extent of such defense, set-off, recoupment, counterclaim, deduction, discount, credit, chargeback, freight claim, allowance, or adjustment), or the applicable Borrower is not able to bring suit or otherwise enforce its remedies against the Account Debtor through judicial process;</w:t>
      </w:r>
    </w:p>
    <w:p>
      <w:pPr>
        <w:spacing w:after="0" w:line="72"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 arises from the sale of goods, any part of any goods the sale of which has given rise to the Account has been returned, rejected, lost, or damaged (but only to the extent that such goods have been so returned, rejected, lost or damaged);</w:t>
      </w:r>
    </w:p>
    <w:p>
      <w:pPr>
        <w:spacing w:after="0" w:line="55" w:lineRule="exact"/>
        <w:rPr>
          <w:rFonts w:ascii="Times New Roman" w:cs="Times New Roman" w:eastAsia="Times New Roman" w:hAnsi="Times New Roman"/>
          <w:sz w:val="18"/>
          <w:szCs w:val="18"/>
          <w:color w:val="auto"/>
        </w:rPr>
      </w:pPr>
    </w:p>
    <w:p>
      <w:pPr>
        <w:ind w:right="20" w:firstLine="990"/>
        <w:spacing w:after="0" w:line="263" w:lineRule="auto"/>
        <w:tabs>
          <w:tab w:leader="none" w:pos="12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 arises from the sale of goods, the sale was not an absolute, bona fide sale, or the sale was made on consignment or on approval or on a sale-or-return or bill-and-hold or progress billing basis, or the sale was made subject to any other repurchase or return agreement, or the goods have not been shipped to the Account Debtor or its designee or the sale was not made in compliance with applicable Laws;</w:t>
      </w:r>
    </w:p>
    <w:p>
      <w:pPr>
        <w:spacing w:after="0" w:line="68" w:lineRule="exact"/>
        <w:rPr>
          <w:rFonts w:ascii="Times New Roman" w:cs="Times New Roman" w:eastAsia="Times New Roman" w:hAnsi="Times New Roman"/>
          <w:sz w:val="18"/>
          <w:szCs w:val="18"/>
          <w:color w:val="auto"/>
        </w:rPr>
      </w:pPr>
    </w:p>
    <w:p>
      <w:pPr>
        <w:ind w:right="140" w:firstLine="990"/>
        <w:spacing w:after="0" w:line="278" w:lineRule="auto"/>
        <w:tabs>
          <w:tab w:leader="none" w:pos="12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 arises from the performance of services, the services have not actually been performed or the services were undertaken in violation of any Law or the Account represents a progress billing for which services have not been fully and completely rendered;</w:t>
      </w:r>
    </w:p>
    <w:p>
      <w:pPr>
        <w:spacing w:after="0" w:line="55"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subject to a Lien (other than Permitted Liens), or Agent does not have a first priority, perfected Lien on such Account;</w:t>
      </w:r>
    </w:p>
    <w:p>
      <w:pPr>
        <w:spacing w:after="0" w:line="113" w:lineRule="exact"/>
        <w:rPr>
          <w:rFonts w:ascii="Times New Roman" w:cs="Times New Roman" w:eastAsia="Times New Roman" w:hAnsi="Times New Roman"/>
          <w:sz w:val="18"/>
          <w:szCs w:val="18"/>
          <w:color w:val="auto"/>
        </w:rPr>
      </w:pPr>
    </w:p>
    <w:p>
      <w:pPr>
        <w:ind w:right="40" w:firstLine="990"/>
        <w:spacing w:after="0" w:line="278" w:lineRule="auto"/>
        <w:tabs>
          <w:tab w:leader="none" w:pos="12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evidenced by Chattel Paper or an Instrument of any kind, or has been reduced to judgment, unless such Chattel Paper or Instrument has been delivered to Agent;</w:t>
      </w:r>
    </w:p>
    <w:p>
      <w:pPr>
        <w:spacing w:after="0" w:line="55" w:lineRule="exact"/>
        <w:rPr>
          <w:rFonts w:ascii="Times New Roman" w:cs="Times New Roman" w:eastAsia="Times New Roman" w:hAnsi="Times New Roman"/>
          <w:sz w:val="18"/>
          <w:szCs w:val="18"/>
          <w:color w:val="auto"/>
        </w:rPr>
      </w:pPr>
    </w:p>
    <w:p>
      <w:pPr>
        <w:ind w:right="400" w:firstLine="990"/>
        <w:spacing w:after="0" w:line="278" w:lineRule="auto"/>
        <w:tabs>
          <w:tab w:leader="none" w:pos="12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Debtor is an Affiliate or Subsidiary of a Credit Party (other than Accounts owed by Cigna and its Affiliates), or if the Account Debtor holds any Debt of a Credit Party;</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44" w:name="page445"/>
    <w:bookmarkEnd w:id="444"/>
    <w:p>
      <w:pPr>
        <w:ind w:right="80" w:firstLine="990"/>
        <w:spacing w:after="0" w:line="263" w:lineRule="auto"/>
        <w:tabs>
          <w:tab w:leader="none" w:pos="119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more than fifty percent (50%) (or such higher percentage as the Agent may agree in its sole discretion on a case-by-case basis) of the aggregate balance of all Accounts owing from the Account Debtor obligated on the Account are ineligible under subclause (a) above (in which case all Accounts from such Account Debtor shall be ineligible);</w:t>
      </w:r>
    </w:p>
    <w:p>
      <w:pPr>
        <w:spacing w:after="0" w:line="68"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right="40" w:firstLine="990"/>
        <w:spacing w:after="0" w:line="270" w:lineRule="auto"/>
        <w:tabs>
          <w:tab w:leader="none" w:pos="1235"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total unpaid Accounts of the Account Debtor obligated on the Account exceed twenty percent (20%) of the net amount of all Eligible Accounts owing from all Account Debtors (but only the amount of the Accounts of such Account Debtor exceeding such twenty percent (20%) limitation shall be considered ineligible);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Accounts owed by Cigna and its Affiliates shall not be ineligible solely as a result of this clause</w:t>
      </w:r>
    </w:p>
    <w:p>
      <w:pPr>
        <w:spacing w:after="0" w:line="1" w:lineRule="exact"/>
        <w:rPr>
          <w:rFonts w:ascii="Times New Roman" w:cs="Times New Roman" w:eastAsia="Times New Roman" w:hAnsi="Times New Roman"/>
          <w:sz w:val="17"/>
          <w:szCs w:val="17"/>
          <w:color w:val="auto"/>
        </w:rPr>
      </w:pPr>
    </w:p>
    <w:p>
      <w:pPr>
        <w:jc w:val="both"/>
        <w:ind w:right="260" w:firstLine="7"/>
        <w:spacing w:after="0" w:line="252" w:lineRule="auto"/>
        <w:tabs>
          <w:tab w:leader="none" w:pos="25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total unpaid Accounts of Cigna and its Affiliates exceed forty percent (40%) of the net amount of all Eligible Accounts owing from all Account Debtors (but only the amount of the Accounts of Cigna and its Affiliates exceeding such forty percent (40%) limitation shall be considered ineligible);</w:t>
      </w:r>
    </w:p>
    <w:p>
      <w:pPr>
        <w:spacing w:after="0" w:line="78" w:lineRule="exact"/>
        <w:rPr>
          <w:rFonts w:ascii="Times New Roman" w:cs="Times New Roman" w:eastAsia="Times New Roman" w:hAnsi="Times New Roman"/>
          <w:sz w:val="18"/>
          <w:szCs w:val="18"/>
          <w:color w:val="auto"/>
        </w:rPr>
      </w:pPr>
    </w:p>
    <w:p>
      <w:pPr>
        <w:ind w:firstLine="990"/>
        <w:spacing w:after="0" w:line="278" w:lineRule="auto"/>
        <w:tabs>
          <w:tab w:leader="none" w:pos="119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 representation or warranty contained in the Financing Documents with respect to such Account has been breached in any material respect (with respect to covenants) or is incorrect in any material respect (with respect to representations and warranties);</w:t>
      </w:r>
    </w:p>
    <w:p>
      <w:pPr>
        <w:spacing w:after="0" w:line="55" w:lineRule="exact"/>
        <w:rPr>
          <w:rFonts w:ascii="Times New Roman" w:cs="Times New Roman" w:eastAsia="Times New Roman" w:hAnsi="Times New Roman"/>
          <w:sz w:val="18"/>
          <w:szCs w:val="18"/>
          <w:color w:val="auto"/>
        </w:rPr>
      </w:pPr>
    </w:p>
    <w:p>
      <w:pPr>
        <w:ind w:right="280" w:firstLine="990"/>
        <w:spacing w:after="0" w:line="278" w:lineRule="auto"/>
        <w:tabs>
          <w:tab w:leader="none" w:pos="128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unbilled or has not been invoiced to the Account Debtor in accordance with the procedures and requirements of the applicable Account Debtor;</w:t>
      </w:r>
    </w:p>
    <w:p>
      <w:pPr>
        <w:spacing w:after="0" w:line="55" w:lineRule="exact"/>
        <w:rPr>
          <w:rFonts w:ascii="Times New Roman" w:cs="Times New Roman" w:eastAsia="Times New Roman" w:hAnsi="Times New Roman"/>
          <w:sz w:val="18"/>
          <w:szCs w:val="18"/>
          <w:color w:val="auto"/>
        </w:rPr>
      </w:pPr>
    </w:p>
    <w:p>
      <w:pPr>
        <w:ind w:right="280" w:firstLine="990"/>
        <w:spacing w:after="0" w:line="263" w:lineRule="auto"/>
        <w:tabs>
          <w:tab w:leader="none" w:pos="123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a direct obligation of an Account Debtor that is the federal government, unless Agent has agreed to the contrary in writing and Agent has received from the Account Debtor the acknowledgement of Agent’s notice of assignment of such obligation under the federal Assignment of Claims Act of 1940, as amended;</w:t>
      </w:r>
    </w:p>
    <w:p>
      <w:pPr>
        <w:spacing w:after="0" w:line="68" w:lineRule="exact"/>
        <w:rPr>
          <w:rFonts w:ascii="Times New Roman" w:cs="Times New Roman" w:eastAsia="Times New Roman" w:hAnsi="Times New Roman"/>
          <w:sz w:val="18"/>
          <w:szCs w:val="18"/>
          <w:color w:val="auto"/>
        </w:rPr>
      </w:pPr>
    </w:p>
    <w:p>
      <w:pPr>
        <w:ind w:right="20" w:firstLine="990"/>
        <w:spacing w:after="0" w:line="277" w:lineRule="auto"/>
        <w:tabs>
          <w:tab w:leader="none" w:pos="1235"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 is an obligation of an Account Debtor that has suspended business, made a general assignment for the benefit of creditors, is unable to pay its debts as they become due or as to which a petition has been filed (voluntary or involuntary) under any law relating to bankruptcy, insolvency, reorganization or relief of debtors, or the Account is an Account as to which any facts, events or occurrences exist which could reasonably be expected to impair the validity, enforceability or collectability of such Account or reduce the amount payable or delay payment thereunder;</w:t>
      </w:r>
    </w:p>
    <w:p>
      <w:pPr>
        <w:spacing w:after="0" w:line="60" w:lineRule="exact"/>
        <w:rPr>
          <w:rFonts w:ascii="Times New Roman" w:cs="Times New Roman" w:eastAsia="Times New Roman" w:hAnsi="Times New Roman"/>
          <w:sz w:val="17"/>
          <w:szCs w:val="17"/>
          <w:color w:val="auto"/>
        </w:rPr>
      </w:pPr>
    </w:p>
    <w:p>
      <w:pPr>
        <w:ind w:right="660" w:firstLine="990"/>
        <w:spacing w:after="0" w:line="278" w:lineRule="auto"/>
        <w:tabs>
          <w:tab w:leader="none" w:pos="123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Debtor has its principal place of business or executive office outside the United States (including Puerto Rico) or territories of the United States, except as otherwise agreed by Agent in its sole discretion on a case-by-case basis;</w:t>
      </w:r>
    </w:p>
    <w:p>
      <w:pPr>
        <w:spacing w:after="0" w:line="55" w:lineRule="exact"/>
        <w:rPr>
          <w:rFonts w:ascii="Times New Roman" w:cs="Times New Roman" w:eastAsia="Times New Roman" w:hAnsi="Times New Roman"/>
          <w:sz w:val="18"/>
          <w:szCs w:val="18"/>
          <w:color w:val="auto"/>
        </w:rPr>
      </w:pPr>
    </w:p>
    <w:p>
      <w:pPr>
        <w:ind w:right="200" w:firstLine="990"/>
        <w:spacing w:after="0" w:line="278" w:lineRule="auto"/>
        <w:tabs>
          <w:tab w:leader="none" w:pos="123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payable in a currency other than United States dollars, except as otherwise agreed by Agent in its sole discretion on a case-by-case basis;</w:t>
      </w:r>
    </w:p>
    <w:p>
      <w:pPr>
        <w:spacing w:after="0" w:line="55"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Debtor is an individual;</w:t>
      </w:r>
    </w:p>
    <w:p>
      <w:pPr>
        <w:spacing w:after="0" w:line="113" w:lineRule="exact"/>
        <w:rPr>
          <w:rFonts w:ascii="Times New Roman" w:cs="Times New Roman" w:eastAsia="Times New Roman" w:hAnsi="Times New Roman"/>
          <w:sz w:val="18"/>
          <w:szCs w:val="18"/>
          <w:color w:val="auto"/>
        </w:rPr>
      </w:pPr>
    </w:p>
    <w:p>
      <w:pPr>
        <w:jc w:val="both"/>
        <w:ind w:right="80" w:firstLine="990"/>
        <w:spacing w:after="0" w:line="263" w:lineRule="auto"/>
        <w:tabs>
          <w:tab w:leader="none" w:pos="121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Account Debtor is already making payments into the applicable Lockbox Account, the Borrower owning such Account has not signed and delivered to Agent notices, to the extent requested by Agent, directing the Account Debtors to make payment to the applicable Lockbox Account;</w:t>
      </w:r>
    </w:p>
    <w:p>
      <w:pPr>
        <w:spacing w:after="0" w:line="68"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includes late charges or finance charges (but only such portion of the Account shall be ineligible);</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60"/>
          </w:cols>
          <w:pgMar w:left="480" w:top="268" w:right="559" w:bottom="1440" w:gutter="0" w:footer="0" w:header="0"/>
        </w:sectPr>
      </w:pPr>
    </w:p>
    <w:bookmarkStart w:id="445" w:name="page446"/>
    <w:bookmarkEnd w:id="4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 the Account arises out of the sale of any Inventory upon which any other Person holds, claims or asserts a Lien (other than Permitted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or</w:t>
      </w:r>
    </w:p>
    <w:p>
      <w:pPr>
        <w:spacing w:after="0" w:line="95" w:lineRule="exact"/>
        <w:rPr>
          <w:sz w:val="20"/>
          <w:szCs w:val="20"/>
          <w:color w:val="auto"/>
        </w:rPr>
      </w:pPr>
    </w:p>
    <w:p>
      <w:pPr>
        <w:ind w:right="20" w:firstLine="990"/>
        <w:spacing w:after="0" w:line="255" w:lineRule="auto"/>
        <w:tabs>
          <w:tab w:leader="none" w:pos="123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or Account Debtor fails to meet such other specifications and requirements which may from time to time be established by Agent in its Permitted Discretion and determined on the basis of borrowing base audits conducted by Agent in accordance with the terms of this Agreement or other information supplied by the applicable Credit Party to Agent relating to the Borrowing Base or the Collateral or the financial condition of the Credit Parties included therein and notified to Borrower Representative to the extent and in the same manner as required with respect to Reserves.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Assignee</w:t>
      </w:r>
      <w:r>
        <w:rPr>
          <w:rFonts w:ascii="Times New Roman" w:cs="Times New Roman" w:eastAsia="Times New Roman" w:hAnsi="Times New Roman"/>
          <w:sz w:val="17"/>
          <w:szCs w:val="17"/>
          <w:color w:val="auto"/>
        </w:rPr>
        <w:t>” means (a) a Lender, (b) an Affiliate of a Lender, (c) an Approved Fund, and (d) any other Person (other than a natural person)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Agent; provided, however, that notwithstanding the foregoing, (x) so long as no Event of Default has occurred and is continuing, (i)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Assignee</w:t>
      </w:r>
      <w:r>
        <w:rPr>
          <w:rFonts w:ascii="Times New Roman" w:cs="Times New Roman" w:eastAsia="Times New Roman" w:hAnsi="Times New Roman"/>
          <w:sz w:val="17"/>
          <w:szCs w:val="17"/>
          <w:color w:val="auto"/>
        </w:rPr>
        <w:t>” shall not include (A) any Credit Party or any of a Credit Party’s Subsidiaries, (B) (any hedge fund or private equity fund (other than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Affiliate of a Lender) that is generally known as a distressed debt or vulture fund, or (C) any Competitor, and (y) no proposed assignee intending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 all or any portion of the Revolving Loan Commitment or any unfunded portion of the Term Loan Commitments shall be an Eligible Assignee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such proposed assignee either already holds a portion of such Revolving Loan Commitment or Term Loan Commitments, or has been approved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Eligible Assignee by Agent.</w:t>
      </w:r>
    </w:p>
    <w:p>
      <w:pPr>
        <w:spacing w:after="0" w:line="198" w:lineRule="exact"/>
        <w:rPr>
          <w:sz w:val="20"/>
          <w:szCs w:val="20"/>
          <w:color w:val="auto"/>
        </w:rPr>
      </w:pPr>
    </w:p>
    <w:p>
      <w:pPr>
        <w:ind w:right="10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Inventory</w:t>
      </w:r>
      <w:r>
        <w:rPr>
          <w:rFonts w:ascii="Times New Roman" w:cs="Times New Roman" w:eastAsia="Times New Roman" w:hAnsi="Times New Roman"/>
          <w:sz w:val="18"/>
          <w:szCs w:val="18"/>
          <w:color w:val="auto"/>
        </w:rPr>
        <w:t>” means Inventory owned by a Borrower and acquired and dispensed by such Borrower in the Ordinary Course of Business that Agent, in its Permitted Discretion, deems to be Eligible Inventory in accordance with the terms of this definition. Without limiting the generality of the foregoing, no Inventory shall be Eligible Inventory if:</w:t>
      </w:r>
    </w:p>
    <w:p>
      <w:pPr>
        <w:spacing w:after="0" w:line="67" w:lineRule="exact"/>
        <w:rPr>
          <w:sz w:val="20"/>
          <w:szCs w:val="20"/>
          <w:color w:val="auto"/>
        </w:rPr>
      </w:pPr>
    </w:p>
    <w:p>
      <w:pPr>
        <w:ind w:right="140" w:firstLine="990"/>
        <w:spacing w:after="0" w:line="263" w:lineRule="auto"/>
        <w:tabs>
          <w:tab w:leader="none" w:pos="122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not owned by a Borrower free and clear of all Liens and rights of any other Person (including the rights of a purchaser that has made progress payments and the rights of a surety that has issued a bond to assure such Borrower’s performance with respect to that Inventory) except for Permitted Liens;</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placed on consignment or is in transit;</w:t>
      </w:r>
    </w:p>
    <w:p>
      <w:pPr>
        <w:spacing w:after="0" w:line="113" w:lineRule="exact"/>
        <w:rPr>
          <w:rFonts w:ascii="Times New Roman" w:cs="Times New Roman" w:eastAsia="Times New Roman" w:hAnsi="Times New Roman"/>
          <w:sz w:val="18"/>
          <w:szCs w:val="18"/>
          <w:color w:val="auto"/>
        </w:rPr>
      </w:pPr>
    </w:p>
    <w:p>
      <w:pPr>
        <w:ind w:right="440" w:firstLine="990"/>
        <w:spacing w:after="0" w:line="278" w:lineRule="auto"/>
        <w:tabs>
          <w:tab w:leader="none" w:pos="122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covered by a negotiable document of title, unless such document has been delivered to Agent with all necessary endorsements, free and clear of all Liens except for Permitted Liens;</w:t>
      </w:r>
    </w:p>
    <w:p>
      <w:pPr>
        <w:spacing w:after="0" w:line="55" w:lineRule="exact"/>
        <w:rPr>
          <w:rFonts w:ascii="Times New Roman" w:cs="Times New Roman" w:eastAsia="Times New Roman" w:hAnsi="Times New Roman"/>
          <w:sz w:val="18"/>
          <w:szCs w:val="18"/>
          <w:color w:val="auto"/>
        </w:rPr>
      </w:pPr>
    </w:p>
    <w:p>
      <w:pPr>
        <w:ind w:firstLine="990"/>
        <w:spacing w:after="0" w:line="278" w:lineRule="auto"/>
        <w:tabs>
          <w:tab w:leader="none" w:pos="123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excess, obsolete, unsalable, shopworn, seconds, damaged, unfit for sale, unfit for further processing, is of substandard quality or is not of good and merchantable quality;</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consists of marketing materials, display items or packing or shipping materials, manufacturing supplies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95" w:lineRule="exact"/>
        <w:rPr>
          <w:sz w:val="20"/>
          <w:szCs w:val="20"/>
          <w:color w:val="auto"/>
        </w:rPr>
      </w:pPr>
    </w:p>
    <w:p>
      <w:pPr>
        <w:ind w:left="1220" w:hanging="230"/>
        <w:spacing w:after="0"/>
        <w:tabs>
          <w:tab w:leader="none" w:pos="12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not subject to a first priority Lien in favor of Agent;</w:t>
      </w:r>
    </w:p>
    <w:p>
      <w:pPr>
        <w:spacing w:after="0" w:line="113" w:lineRule="exact"/>
        <w:rPr>
          <w:rFonts w:ascii="Times New Roman" w:cs="Times New Roman" w:eastAsia="Times New Roman" w:hAnsi="Times New Roman"/>
          <w:sz w:val="18"/>
          <w:szCs w:val="18"/>
          <w:color w:val="auto"/>
        </w:rPr>
      </w:pPr>
    </w:p>
    <w:p>
      <w:pPr>
        <w:ind w:firstLine="990"/>
        <w:spacing w:after="0" w:line="278" w:lineRule="auto"/>
        <w:tabs>
          <w:tab w:leader="none" w:pos="123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consists of goods that can be transported or sold only with licenses that are not readily available, obtained or assigned to Agent or of Hazardous Materials in concentrations or amounts that violate applicable Environmental Law;</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46" w:name="page447"/>
    <w:bookmarkEnd w:id="446"/>
    <w:p>
      <w:pPr>
        <w:ind w:right="400" w:firstLine="990"/>
        <w:spacing w:after="0" w:line="278" w:lineRule="auto"/>
        <w:tabs>
          <w:tab w:leader="none" w:pos="12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Inventory is not covered by casualty insurance acceptable to Agent in its Permitted Discretion (it being agreed by Agent that casualty insurance complying with the requirements of Section 4.4 shall be deemed acceptable to Agent);</w:t>
      </w:r>
    </w:p>
    <w:p>
      <w:pPr>
        <w:spacing w:after="0" w:line="55" w:lineRule="exact"/>
        <w:rPr>
          <w:rFonts w:ascii="Times New Roman" w:cs="Times New Roman" w:eastAsia="Times New Roman" w:hAnsi="Times New Roman"/>
          <w:sz w:val="18"/>
          <w:szCs w:val="18"/>
          <w:color w:val="auto"/>
        </w:rPr>
      </w:pPr>
    </w:p>
    <w:p>
      <w:pPr>
        <w:ind w:right="220" w:firstLine="990"/>
        <w:spacing w:after="0" w:line="278" w:lineRule="auto"/>
        <w:tabs>
          <w:tab w:leader="none" w:pos="11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 representation or warranty contained in the Financing Documents with respect to such Inventory has been breached in any material respect;</w:t>
      </w:r>
    </w:p>
    <w:p>
      <w:pPr>
        <w:spacing w:after="0" w:line="55" w:lineRule="exact"/>
        <w:rPr>
          <w:rFonts w:ascii="Times New Roman" w:cs="Times New Roman" w:eastAsia="Times New Roman" w:hAnsi="Times New Roman"/>
          <w:sz w:val="18"/>
          <w:szCs w:val="18"/>
          <w:color w:val="auto"/>
        </w:rPr>
      </w:pPr>
    </w:p>
    <w:p>
      <w:pPr>
        <w:ind w:right="260" w:firstLine="990"/>
        <w:spacing w:after="0" w:line="278" w:lineRule="auto"/>
        <w:tabs>
          <w:tab w:leader="none" w:pos="11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located (i) outside of the continental United States or (ii) on premises where the aggregate amount of all Inventory (valued at cost) of Borrowers located thereon is less than $10,000;</w:t>
      </w:r>
    </w:p>
    <w:p>
      <w:pPr>
        <w:spacing w:after="0" w:line="55" w:lineRule="exact"/>
        <w:rPr>
          <w:rFonts w:ascii="Times New Roman" w:cs="Times New Roman" w:eastAsia="Times New Roman" w:hAnsi="Times New Roman"/>
          <w:sz w:val="18"/>
          <w:szCs w:val="18"/>
          <w:color w:val="auto"/>
        </w:rPr>
      </w:pPr>
    </w:p>
    <w:p>
      <w:pPr>
        <w:jc w:val="both"/>
        <w:ind w:right="260" w:firstLine="990"/>
        <w:spacing w:after="0" w:line="263" w:lineRule="auto"/>
        <w:tabs>
          <w:tab w:leader="none" w:pos="12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located on premises with respect to which Agent has not received a landlord, warehouseman, bailee or mortgagee letter or other collateral access agreement reasonably acceptable in form and substance to Agent unless Agent has established a Landlord Reserve in respect of such location;</w:t>
      </w:r>
    </w:p>
    <w:p>
      <w:pPr>
        <w:spacing w:after="0" w:line="68"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Inventory consists of (A) discontinued items, (B) slow-moving or excess items held in inventory, or (C) used items held for resale;</w:t>
      </w:r>
    </w:p>
    <w:p>
      <w:pPr>
        <w:spacing w:after="0" w:line="125" w:lineRule="exact"/>
        <w:rPr>
          <w:rFonts w:ascii="Times New Roman" w:cs="Times New Roman" w:eastAsia="Times New Roman" w:hAnsi="Times New Roman"/>
          <w:sz w:val="17"/>
          <w:szCs w:val="17"/>
          <w:color w:val="auto"/>
        </w:rPr>
      </w:pPr>
    </w:p>
    <w:p>
      <w:pPr>
        <w:ind w:left="1300" w:hanging="310"/>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does not consist of finished goods;</w:t>
      </w:r>
    </w:p>
    <w:p>
      <w:pPr>
        <w:spacing w:after="0" w:line="113" w:lineRule="exact"/>
        <w:rPr>
          <w:rFonts w:ascii="Times New Roman" w:cs="Times New Roman" w:eastAsia="Times New Roman" w:hAnsi="Times New Roman"/>
          <w:sz w:val="18"/>
          <w:szCs w:val="18"/>
          <w:color w:val="auto"/>
        </w:rPr>
      </w:pPr>
    </w:p>
    <w:p>
      <w:pPr>
        <w:ind w:right="700" w:firstLine="990"/>
        <w:spacing w:after="0" w:line="278" w:lineRule="auto"/>
        <w:tabs>
          <w:tab w:leader="none" w:pos="12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does not meet all standards imposed by any Governmental Authority, including with respect to its production, acquisition or importation (as the case may be);</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has an expiration date within the next six (6) months;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consists of products for which Borrowers have a greater than six (6) month supply on hand;</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is held for rental or lease by or on behalf of Borrowers;</w:t>
      </w:r>
    </w:p>
    <w:p>
      <w:pPr>
        <w:spacing w:after="0" w:line="113" w:lineRule="exact"/>
        <w:rPr>
          <w:rFonts w:ascii="Times New Roman" w:cs="Times New Roman" w:eastAsia="Times New Roman" w:hAnsi="Times New Roman"/>
          <w:sz w:val="18"/>
          <w:szCs w:val="18"/>
          <w:color w:val="auto"/>
        </w:rPr>
      </w:pPr>
    </w:p>
    <w:p>
      <w:pPr>
        <w:ind w:right="120" w:firstLine="990"/>
        <w:spacing w:after="0" w:line="285" w:lineRule="auto"/>
        <w:tabs>
          <w:tab w:leader="none" w:pos="120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Inventory is subject to any licensing, patent, royalty, trademark, trade name or copyright agreement with any third parties, which agreement restricts the ability of Agent or any Lender to sell or otherwise dispose of such Inventory;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Inventory shall not be ineligible pursuant to this clause (s) if Agent has received a licensor consent in form and substance satisfactory to Agent in its Permitted Discretion; or</w:t>
      </w:r>
    </w:p>
    <w:p>
      <w:pPr>
        <w:spacing w:after="0" w:line="52" w:lineRule="exact"/>
        <w:rPr>
          <w:rFonts w:ascii="Times New Roman" w:cs="Times New Roman" w:eastAsia="Times New Roman" w:hAnsi="Times New Roman"/>
          <w:sz w:val="17"/>
          <w:szCs w:val="17"/>
          <w:color w:val="auto"/>
        </w:rPr>
      </w:pPr>
    </w:p>
    <w:p>
      <w:pPr>
        <w:ind w:right="40" w:firstLine="990"/>
        <w:spacing w:after="0" w:line="258" w:lineRule="auto"/>
        <w:tabs>
          <w:tab w:leader="none" w:pos="12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Inventory fails to meet such other specifications and requirements which may from time to time be established by Agent in its Permitted Discretion and determined on the basis of borrowing base audits conducted by Agent in accordance with the terms of this Agreement or other information supplied by Borrower to Agent relating to the Borrowing Base or the Collateral or the financial condition of the Credit Parties included therein and notified to Borrower Representative to the extent and in the same manner as required with respect to Reserves.</w:t>
      </w:r>
    </w:p>
    <w:p>
      <w:pPr>
        <w:spacing w:after="0" w:line="7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Agent and Borrowers agree that Inventory shall be subject to periodic appraisal by Agent in accordance with Section 4.14(d) and that valuation of Inventory shall be subject to adjustment pursuant to the results of such appraisal in Agent’s Permitted Discretion. Notwithstanding the foregoing, the valuation of Inventory shall be subject to any legal limitations on sale and transfer of such Inventory.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47" w:name="page448"/>
    <w:bookmarkEnd w:id="447"/>
    <w:p>
      <w:pPr>
        <w:ind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means any present and future federal, state and local laws, statutes, ordinances, rules, regulations, standards, policies and other governmental directives or requirements, as well as common law,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that apply to any Credit Party and relate to Hazardous Materials, including, without limitation, the Comprehensive Environmental Response, Compensation and Liability Act of 1980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of 1976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Water Pollution Control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Hazardous Materials Transportation Act (49 U.S.C. § 5101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Emergency Planning and Community Right-to-Know Act (42 U.S.C. § 11001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Occupational Safety and Health Act (29 U.S.C. § 651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the Residential Lead-Based Paint Hazard Reduction Act (42 U.S.C. § 4851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any analogous state or local laws, any amendments thereto,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regulations promulgated pursuant to said laws, together with all amendments from time to time to any of the foregoing and judicial interpretations thereof.</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means “equipment” as defined in Article 9 of the UCC.</w:t>
      </w:r>
    </w:p>
    <w:p>
      <w:pPr>
        <w:spacing w:after="0" w:line="221" w:lineRule="exact"/>
        <w:rPr>
          <w:sz w:val="20"/>
          <w:szCs w:val="20"/>
          <w:color w:val="auto"/>
        </w:rPr>
      </w:pPr>
    </w:p>
    <w:p>
      <w:pPr>
        <w:jc w:val="both"/>
        <w:ind w:right="12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Interests</w:t>
      </w:r>
      <w:r>
        <w:rPr>
          <w:rFonts w:ascii="Times New Roman" w:cs="Times New Roman" w:eastAsia="Times New Roman" w:hAnsi="Times New Roman"/>
          <w:sz w:val="17"/>
          <w:szCs w:val="17"/>
          <w:color w:val="auto"/>
        </w:rPr>
        <w:t>” means, with respect to any Person, all shares of capital stock, partnership interests, membership interests in a limited liability company or other ownership in participation or equivalent interests (however designated, whether voting or non-voting) of such Person’s equity capital (including any warrants, options or other purchase rights with respect to the foregoing), whether now outstanding or issued after the Closing Date.</w:t>
      </w:r>
    </w:p>
    <w:p>
      <w:pPr>
        <w:spacing w:after="0" w:line="152"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156" w:lineRule="exact"/>
        <w:rPr>
          <w:sz w:val="20"/>
          <w:szCs w:val="20"/>
          <w:color w:val="auto"/>
        </w:rPr>
      </w:pPr>
    </w:p>
    <w:p>
      <w:pPr>
        <w:ind w:right="18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means any “employee benefit plan”, as such term is defined in Section 3(3) of ERISA (other than a Multiemployer Plan), which any Credit Party or any Subsidiary maintains, sponsors or contributes to, or, in the case of an employee benefit plan which is subject to Section 412 of the Code or Title IV of ERISA, to which any Credit Party or any Subsidiary has any liability, including on account of any member of the Controlled Group,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has the meaning specified therefor in Section 13.20.</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has the meaning specified therefor in Section 13.20.</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Impacted Loans</w:t>
      </w:r>
      <w:r>
        <w:rPr>
          <w:rFonts w:ascii="Times New Roman" w:cs="Times New Roman" w:eastAsia="Times New Roman" w:hAnsi="Times New Roman"/>
          <w:sz w:val="18"/>
          <w:szCs w:val="18"/>
          <w:color w:val="auto"/>
        </w:rPr>
        <w:t>” has the meaning specified therefor in Section 13.20.</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has the meaning specified therefor in Section 13.20.</w:t>
      </w:r>
    </w:p>
    <w:p>
      <w:pPr>
        <w:spacing w:after="0" w:line="221"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set forth in Section 10.1.</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48" w:name="page449"/>
    <w:bookmarkEnd w:id="448"/>
    <w:p>
      <w:pPr>
        <w:ind w:firstLine="436"/>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Excluded Accounts</w:t>
      </w:r>
      <w:r>
        <w:rPr>
          <w:rFonts w:ascii="Times New Roman" w:cs="Times New Roman" w:eastAsia="Times New Roman" w:hAnsi="Times New Roman"/>
          <w:sz w:val="17"/>
          <w:szCs w:val="17"/>
          <w:color w:val="auto"/>
        </w:rPr>
        <w:t>” means (a) segregated Deposit Accounts into which there is deposited no funds other than those intended solely to cover wages and payroll for employees of a Credit Party for the following two (2) payroll cycles following the date of determination (and related contributions to be made on behalf of such employees to health and benefit plans) plus balances for outstanding checks for wages and payroll from prior periods,</w:t>
      </w:r>
    </w:p>
    <w:p>
      <w:pPr>
        <w:ind w:right="20" w:firstLine="7"/>
        <w:spacing w:after="0" w:line="262" w:lineRule="auto"/>
        <w:tabs>
          <w:tab w:leader="none" w:pos="252"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segregated Deposit Accounts constituting employee withholding accounts and contain only funds deducted from pay otherwise due to employees for services rendered to be applied toward the tax obligations of such employees, (c) segregated Deposit Accounts constituting trust, fiduciary and escrow accounts in which there is not maintained at any point in time funds on deposit greater than $500,000 in the aggregate for all such accounts, and</w:t>
      </w:r>
    </w:p>
    <w:p>
      <w:pPr>
        <w:spacing w:after="0" w:line="1" w:lineRule="exact"/>
        <w:rPr>
          <w:rFonts w:ascii="Times New Roman" w:cs="Times New Roman" w:eastAsia="Times New Roman" w:hAnsi="Times New Roman"/>
          <w:sz w:val="17"/>
          <w:szCs w:val="17"/>
          <w:color w:val="auto"/>
        </w:rPr>
      </w:pPr>
    </w:p>
    <w:p>
      <w:pPr>
        <w:ind w:right="120" w:firstLine="7"/>
        <w:spacing w:after="0" w:line="252" w:lineRule="auto"/>
        <w:tabs>
          <w:tab w:leader="none" w:pos="25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segregated Deposit Accounts or Securities Accounts holding cash or Cash Equivalents described in clauses (o), (p) and (q) of the definition Permitted Liens (and subject to the caps set forth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accounts described in clauses (a) through (d) above shall be used solely for the purposes described in such clauses.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Perfection Assets</w:t>
      </w:r>
      <w:r>
        <w:rPr>
          <w:rFonts w:ascii="Times New Roman" w:cs="Times New Roman" w:eastAsia="Times New Roman" w:hAnsi="Times New Roman"/>
          <w:sz w:val="18"/>
          <w:szCs w:val="18"/>
          <w:color w:val="auto"/>
        </w:rPr>
        <w:t>” means, collectively:</w:t>
      </w:r>
    </w:p>
    <w:p>
      <w:pPr>
        <w:spacing w:after="0" w:line="225" w:lineRule="exact"/>
        <w:rPr>
          <w:sz w:val="20"/>
          <w:szCs w:val="20"/>
          <w:color w:val="auto"/>
        </w:rPr>
      </w:pPr>
    </w:p>
    <w:p>
      <w:pPr>
        <w:ind w:left="1240" w:hanging="250"/>
        <w:spacing w:after="0"/>
        <w:tabs>
          <w:tab w:leader="none" w:pos="12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w:t>
      </w:r>
    </w:p>
    <w:p>
      <w:pPr>
        <w:spacing w:after="0" w:line="220" w:lineRule="exact"/>
        <w:rPr>
          <w:rFonts w:ascii="Times New Roman" w:cs="Times New Roman" w:eastAsia="Times New Roman" w:hAnsi="Times New Roman"/>
          <w:sz w:val="18"/>
          <w:szCs w:val="18"/>
          <w:color w:val="auto"/>
        </w:rPr>
      </w:pPr>
    </w:p>
    <w:p>
      <w:pPr>
        <w:ind w:right="20" w:firstLine="990"/>
        <w:spacing w:after="0" w:line="278" w:lineRule="auto"/>
        <w:tabs>
          <w:tab w:leader="none" w:pos="12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rights with a value of less than $250,000 individually or $500,000 in the aggregate (other than to the extent consisting of a supporting obligation or that can be perfected by the filing of a UCC financing statement);</w:t>
      </w:r>
    </w:p>
    <w:p>
      <w:pPr>
        <w:spacing w:after="0" w:line="162" w:lineRule="exact"/>
        <w:rPr>
          <w:rFonts w:ascii="Times New Roman" w:cs="Times New Roman" w:eastAsia="Times New Roman" w:hAnsi="Times New Roman"/>
          <w:sz w:val="18"/>
          <w:szCs w:val="18"/>
          <w:color w:val="auto"/>
        </w:rPr>
      </w:pPr>
    </w:p>
    <w:p>
      <w:pPr>
        <w:ind w:right="380" w:firstLine="990"/>
        <w:spacing w:after="0" w:line="278" w:lineRule="auto"/>
        <w:tabs>
          <w:tab w:leader="none" w:pos="122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Chattel Paper or tangible Chattel Paper, in each case, with a value of less than $250,000 individually or $500,000 in the aggregate (other than to the extent consisting of a supporting obligation or that can be perfected by the filing of a UCC financing statement);</w:t>
      </w:r>
    </w:p>
    <w:p>
      <w:pPr>
        <w:spacing w:after="0" w:line="162" w:lineRule="exact"/>
        <w:rPr>
          <w:rFonts w:ascii="Times New Roman" w:cs="Times New Roman" w:eastAsia="Times New Roman" w:hAnsi="Times New Roman"/>
          <w:sz w:val="18"/>
          <w:szCs w:val="18"/>
          <w:color w:val="auto"/>
        </w:rPr>
      </w:pPr>
    </w:p>
    <w:p>
      <w:pPr>
        <w:ind w:right="200" w:firstLine="990"/>
        <w:spacing w:after="0" w:line="278" w:lineRule="auto"/>
        <w:tabs>
          <w:tab w:leader="none" w:pos="12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or any other Instrument or Document with a value of less than $250,000 individually or $500,000 in the aggregate (other than to the extent that can be perfected by the filing of a UCC financing statement);</w:t>
      </w:r>
    </w:p>
    <w:p>
      <w:pPr>
        <w:spacing w:after="0" w:line="162" w:lineRule="exact"/>
        <w:rPr>
          <w:rFonts w:ascii="Times New Roman" w:cs="Times New Roman" w:eastAsia="Times New Roman" w:hAnsi="Times New Roman"/>
          <w:sz w:val="18"/>
          <w:szCs w:val="18"/>
          <w:color w:val="auto"/>
        </w:rPr>
      </w:pPr>
    </w:p>
    <w:p>
      <w:pPr>
        <w:ind w:right="640" w:firstLine="990"/>
        <w:spacing w:after="0" w:line="278" w:lineRule="auto"/>
        <w:tabs>
          <w:tab w:leader="none" w:pos="122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vehicles, aircraft and other assets subject to certificates of title (other than to the extent a security interest thereon can be perfected by the filing of a financing statement under the UCC);</w:t>
      </w:r>
    </w:p>
    <w:p>
      <w:pPr>
        <w:spacing w:after="0" w:line="162" w:lineRule="exact"/>
        <w:rPr>
          <w:rFonts w:ascii="Times New Roman" w:cs="Times New Roman" w:eastAsia="Times New Roman" w:hAnsi="Times New Roman"/>
          <w:sz w:val="18"/>
          <w:szCs w:val="18"/>
          <w:color w:val="auto"/>
        </w:rPr>
      </w:pPr>
    </w:p>
    <w:p>
      <w:pPr>
        <w:ind w:right="20" w:firstLine="990"/>
        <w:spacing w:after="0" w:line="255" w:lineRule="auto"/>
        <w:tabs>
          <w:tab w:leader="none" w:pos="120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owned by a Credit Party organized under the laws of the United States (or any state thereof or in Washington, D.C.), (i) Intellectual Property registered in a jurisdiction outside of the United States to the extent the granting or perfection of a security interest in such foreign registered Intellectual Property would require action outside of the United States, and (ii) other immaterial tangible property held outside of the United States with an aggregate fair market value less than $1,000,000 in the aggregate with respect to all such property to the extent the granting or perfection of a security interest in such foreign immaterial tangible property would require action outside of the United States.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xml:space="preserve"> means, collectively:</w:t>
      </w:r>
    </w:p>
    <w:p>
      <w:pPr>
        <w:spacing w:after="0" w:line="118" w:lineRule="exact"/>
        <w:rPr>
          <w:sz w:val="20"/>
          <w:szCs w:val="20"/>
          <w:color w:val="auto"/>
        </w:rPr>
      </w:pPr>
    </w:p>
    <w:p>
      <w:pPr>
        <w:ind w:right="20" w:firstLine="990"/>
        <w:spacing w:after="0" w:line="258" w:lineRule="auto"/>
        <w:tabs>
          <w:tab w:leader="none" w:pos="122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license, contract, permit, letter of credit, purchase money arrangement, instrument or agreement to which any Credit Party is a party or any of its rights or interests thereunder if and to the extent that the grant of such security interest shall constitute a result in (i) the abandonment, invalidation or unenforceability of any right, title or interest of any Credit Party therein or (ii) result in a breach or termination pursuant to the terms of, or default under, any such lease, license, contract, permit, letter of credit, purchase money arrangement, instrument or agreement;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49" w:name="page450"/>
    <w:bookmarkEnd w:id="449"/>
    <w:p>
      <w:pPr>
        <w:ind w:right="240" w:firstLine="990"/>
        <w:spacing w:after="0" w:line="278"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governmental licenses or state or local franchises, charters and authorizations, to the extent that Agent may not validly possess a security interest in any such license, franchise, charter or authorization under applicable Law;</w:t>
      </w:r>
    </w:p>
    <w:p>
      <w:pPr>
        <w:spacing w:after="0" w:line="55" w:lineRule="exact"/>
        <w:rPr>
          <w:rFonts w:ascii="Times New Roman" w:cs="Times New Roman" w:eastAsia="Times New Roman" w:hAnsi="Times New Roman"/>
          <w:sz w:val="18"/>
          <w:szCs w:val="18"/>
          <w:color w:val="auto"/>
        </w:rPr>
      </w:pPr>
    </w:p>
    <w:p>
      <w:pPr>
        <w:ind w:right="520" w:firstLine="990"/>
        <w:spacing w:after="0" w:line="278" w:lineRule="auto"/>
        <w:tabs>
          <w:tab w:leader="none" w:pos="12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which is subject to a purchase money Lien or Capital Lease permitted hereunder to the extent the granting of a security interest in such asset is prohibited pursuant to the terms of the contract governing such purchase money Lien or Capital Lease; and</w:t>
      </w:r>
    </w:p>
    <w:p>
      <w:pPr>
        <w:spacing w:after="0" w:line="55" w:lineRule="exact"/>
        <w:rPr>
          <w:rFonts w:ascii="Times New Roman" w:cs="Times New Roman" w:eastAsia="Times New Roman" w:hAnsi="Times New Roman"/>
          <w:sz w:val="18"/>
          <w:szCs w:val="18"/>
          <w:color w:val="auto"/>
        </w:rPr>
      </w:pPr>
    </w:p>
    <w:p>
      <w:pPr>
        <w:jc w:val="both"/>
        <w:ind w:right="340" w:firstLine="990"/>
        <w:spacing w:after="0" w:line="263"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“intent-to-use” trademarks or service mark applications for which an amendment to allege use or statement of use has not been filed under 15 U.S.C. § 1051 Section 1(c) or Section 1(d), respectively or if filed, has not been deemed in conformance with 15 U.S.C. § 1051(a) or examined and accepted, respectively by the United States Patent and Trademark Office;</w:t>
      </w:r>
    </w:p>
    <w:p>
      <w:pPr>
        <w:spacing w:after="0" w:line="68"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65% of the Equity Interests of any Restricted Foreign Subsidiary, in each case, that is owned directly by a Credit Party to the extent that Borrower Representative has provided Agent reasonably satisfactory evidence that the grant of a security interest in excess of such percentage to secure the Obligations could reasonably be expected cause material adverse tax consequences for any Credit Party;</w:t>
      </w:r>
    </w:p>
    <w:p>
      <w:pPr>
        <w:spacing w:after="0" w:line="68" w:lineRule="exact"/>
        <w:rPr>
          <w:rFonts w:ascii="Times New Roman" w:cs="Times New Roman" w:eastAsia="Times New Roman" w:hAnsi="Times New Roman"/>
          <w:sz w:val="18"/>
          <w:szCs w:val="18"/>
          <w:color w:val="auto"/>
        </w:rPr>
      </w:pPr>
    </w:p>
    <w:p>
      <w:pPr>
        <w:ind w:right="120" w:firstLine="990"/>
        <w:spacing w:after="0" w:line="278" w:lineRule="auto"/>
        <w:tabs>
          <w:tab w:leader="none" w:pos="120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claims where the amount of damages claimed by the applicable Credit Party is less than $250,000 in the aggregate for all such commercial tort claims;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fee-owned real property (other than Material Real Property) or leasehold interests in real property; and</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effectiveness of the Pledge Agreement, any right, title or interest in or to the Equity Interests of Physera;</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any such limitation described in the foregoing clauses (a) and (b) on the security interests granted hereunder shall apply only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that any such prohibition could not be rendered ineffective pursuant to the UCC or any other applicable Law (including Sections 9-406, 9-407 and 9-408 of the UCC) or principles of equity, (y) in the event of the termination or elimination of any such prohibition or the requirement for any consent contained in such contract, agreement, permit, lease or license or in any applicable Law, to the extent sufficient to permit any such item to become Collateral hereunder, or upon the granting of any such consent, or waiving or terminating any requirement for such consent, a security interest in such contract, agreement, permit, lease, license, franchise, authorization or asset shall be automatically and simultaneously granted hereunder and shall be included as Collateral hereunder, and (z) all rights to payment of money due or to become due pursuant to, and all products and Proceeds (and rights to the Proceeds) from the sale of, any Excluded Property shall be and at all times remain subject to the security interests created by this Agreement (unless such Proceeds would independently constitute Excluded Property).</w:t>
      </w:r>
    </w:p>
    <w:p>
      <w:pPr>
        <w:spacing w:after="0" w:line="182"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Agent, Term Loan Servicer, any Lender or any other recipient of any payment to be made by or on behalf of any obligation of the Credit Parties hereunder or the Obligations or required to be withheld or deducted from a payment to Agent, Term Loan Servicer, such Lender or such recipient (including any interest and penalties thereon): (a) Taxes to the extent imposed on or measured by Agent’s, Term Loan Servicer’s any Lender’s or such recipient’s net income (however denominated), branch profits Taxes, and franchise Taxes and similar Taxes, in each case, (i) imposed by the jurisdiction (or any political subdivision thereof) under which Agent, Term Loan Servicer, such Lender or such recipient is organized, has its principal office or conducts business with respect to entering into any of the Financing Documents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50" w:name="page451"/>
    <w:bookmarkEnd w:id="450"/>
    <w:p>
      <w:pPr>
        <w:ind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Section 2.8(i) or Section 11.17(c) or</w:t>
      </w:r>
    </w:p>
    <w:p>
      <w:pPr>
        <w:spacing w:after="0" w:line="1" w:lineRule="exact"/>
        <w:rPr>
          <w:sz w:val="20"/>
          <w:szCs w:val="20"/>
          <w:color w:val="auto"/>
        </w:rPr>
      </w:pPr>
    </w:p>
    <w:p>
      <w:pPr>
        <w:jc w:val="both"/>
        <w:ind w:right="180" w:firstLine="7"/>
        <w:spacing w:after="0" w:line="270" w:lineRule="auto"/>
        <w:tabs>
          <w:tab w:leader="none" w:pos="262"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changes its lending office for funding its Loan, except in each case to the extent that, pursuant to Section 2.8, amounts with respect to such Taxes were payable either to such Lender’s assignor immediately before such Lender acquired the applicable interest in a Loan, Revolving Loan Commitments or Term Loan Commitment or to such Lender immediately before it changed its lending office; (c) Taxes attributable to Agent’s, Term Loan Servicer’s, such Lender’s or such recipient’s failure to comply with Section 2.8(c); and (d) any withholding taxes imposed under FATCA.</w:t>
      </w:r>
    </w:p>
    <w:p>
      <w:pPr>
        <w:spacing w:after="0" w:line="167" w:lineRule="exact"/>
        <w:rPr>
          <w:sz w:val="20"/>
          <w:szCs w:val="20"/>
          <w:color w:val="auto"/>
        </w:rPr>
      </w:pPr>
    </w:p>
    <w:p>
      <w:pPr>
        <w:ind w:right="20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U.S. Treasury regulations or official interpretations thereof and any agreement entered into pursuant to the implementation of Section 1471(b)(1) of the Code, and any intergovernmental agreement between the IRS, the U.S. Government and any governmental or taxation authority under any other jurisdiction which agreement’s principal purposes deals with the implementation of such sections of the Code.</w:t>
      </w:r>
    </w:p>
    <w:p>
      <w:pPr>
        <w:spacing w:after="0" w:line="18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the rate of interest per annum (rounded upwards, if necessary, to the nearest whole multiple of 1/100 of 1%)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if such day is not a Business Day, the Federal Funds Rate for such day shall be such rate on such transactions on the next preceding Business Day, and (b) if no such rate is so published on such next preceding Business Day, the Federal Funds Rate for such day shall be the average rate quoted to Agent on such day on such transactions as determined by Agent in a commercially reasonable manner.</w:t>
      </w:r>
    </w:p>
    <w:p>
      <w:pPr>
        <w:spacing w:after="0" w:line="178"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Letters</w:t>
      </w:r>
      <w:r>
        <w:rPr>
          <w:rFonts w:ascii="Times New Roman" w:cs="Times New Roman" w:eastAsia="Times New Roman" w:hAnsi="Times New Roman"/>
          <w:sz w:val="18"/>
          <w:szCs w:val="18"/>
          <w:color w:val="auto"/>
        </w:rPr>
        <w:t>” means, collectively (a) the Fee Letter dated the date hereof, by and among the Borrowers Agent and Term Loan Servicer, (b) the Fee Letter (Agency Fee) dated the date hereof, by and among Borrowers, and Term Loan Servicer, in each case relating to fees payable to Agent and/or Lenders in connection with this Agreement, and (c) each other agreement between Agent (and to the extent applicable Term Loan Servicer) and Borrower relating to fees payable to Agent and/or Lenders in connection with this Agreement.</w:t>
      </w:r>
    </w:p>
    <w:p>
      <w:pPr>
        <w:spacing w:after="0" w:line="176"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Trigger Event</w:t>
      </w:r>
      <w:r>
        <w:rPr>
          <w:rFonts w:ascii="Times New Roman" w:cs="Times New Roman" w:eastAsia="Times New Roman" w:hAnsi="Times New Roman"/>
          <w:sz w:val="18"/>
          <w:szCs w:val="18"/>
          <w:color w:val="auto"/>
        </w:rPr>
        <w:t xml:space="preserve">” means, at any time, Liquidity is less than an amount equal to the product of: (i) 1.50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Term Loan Principal Balance.</w:t>
      </w:r>
    </w:p>
    <w:p>
      <w:pPr>
        <w:spacing w:after="0" w:line="156"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Documents</w:t>
      </w:r>
      <w:r>
        <w:rPr>
          <w:rFonts w:ascii="Times New Roman" w:cs="Times New Roman" w:eastAsia="Times New Roman" w:hAnsi="Times New Roman"/>
          <w:sz w:val="18"/>
          <w:szCs w:val="18"/>
          <w:color w:val="auto"/>
        </w:rPr>
        <w:t>” means this Agreement, any Notes, the Security Documents, each Fee Letter, each subordination or intercreditor agreement pursuant to which any Debt and/or any Liens securing such Debt are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rate per annum of interest equal to two and a half percent (2.50%).</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has the meaning set forth in Section 2.8(c)(i).</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51" w:name="page452"/>
    <w:bookmarkEnd w:id="451"/>
    <w:p>
      <w:pPr>
        <w:ind w:right="100"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 Subsidiary that is not organized under the laws of the United States or any state or territory thereof or the District of Columbia and not otherwise treated as a “domestic corporation” pursuant to Section 7874(b) of the Code.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FSHCO</w:t>
      </w:r>
      <w:r>
        <w:rPr>
          <w:rFonts w:ascii="Times New Roman" w:cs="Times New Roman" w:eastAsia="Times New Roman" w:hAnsi="Times New Roman"/>
          <w:sz w:val="17"/>
          <w:szCs w:val="17"/>
          <w:color w:val="auto"/>
        </w:rPr>
        <w:t>” means any Subsidiary substantially all of the assets of which constitute equity interests (or equity interests and indebtedness) of CFCs.</w:t>
      </w:r>
    </w:p>
    <w:p>
      <w:pPr>
        <w:spacing w:after="0" w:line="232"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176"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w:t>
      </w:r>
      <w:r>
        <w:rPr>
          <w:rFonts w:ascii="Times New Roman" w:cs="Times New Roman" w:eastAsia="Times New Roman" w:hAnsi="Times New Roman"/>
          <w:sz w:val="18"/>
          <w:szCs w:val="18"/>
          <w:color w:val="auto"/>
        </w:rPr>
        <w:t>” 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70" w:lineRule="exact"/>
        <w:rPr>
          <w:sz w:val="20"/>
          <w:szCs w:val="20"/>
          <w:color w:val="auto"/>
        </w:rPr>
      </w:pPr>
    </w:p>
    <w:p>
      <w:pPr>
        <w:jc w:val="both"/>
        <w:ind w:right="14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any nation or government, any state, local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spacing w:after="0" w:line="152" w:lineRule="exact"/>
        <w:rPr>
          <w:sz w:val="20"/>
          <w:szCs w:val="20"/>
          <w:color w:val="auto"/>
        </w:rPr>
      </w:pPr>
    </w:p>
    <w:p>
      <w:pPr>
        <w:ind w:right="80" w:firstLine="43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xml:space="preserv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term Guarantee shall not include endorsements for collection or deposit in the Ordinary Course of Business. The term “</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used as a verb has a corresponding meaning.</w:t>
      </w:r>
    </w:p>
    <w:p>
      <w:pPr>
        <w:spacing w:after="0" w:line="167" w:lineRule="exact"/>
        <w:rPr>
          <w:sz w:val="20"/>
          <w:szCs w:val="20"/>
          <w:color w:val="auto"/>
        </w:rPr>
      </w:pPr>
    </w:p>
    <w:p>
      <w:pPr>
        <w:ind w:right="24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xml:space="preserve">” means each Person that has executed or delivered, or shall in the future execute or deliver, this Agreement as a Guarantor or any other Guarantee of any portion of the Obligations;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for the avoidance of doubt, in no event shall any Restricted Foreign Subsidiary, or any PC be deemed to be or otherwise required to be a “</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for purposes of this Agreement or the other Financing Documents.</w:t>
      </w:r>
    </w:p>
    <w:p>
      <w:pPr>
        <w:spacing w:after="0" w:line="15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Environmental Laws; toxic mold, any substance that requires special handling; and any other material or substance now or in the future defined as a “hazardous substance,” “hazardous material,” “hazardous waste,” “toxic substance,” “toxic pollutant,” “contaminant,” “pollutant” or other words of similar import within the meaning of any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52" w:name="page453"/>
    <w:bookmarkEnd w:id="45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Environmental Law, including: (a) any “hazardous substance” defined as such in (or for purposes of) CERCLA, or any so-called “superfund” or “superlien” Law, including the judicial interpretation thereof; (b) any “pollutant or contaminant” as defined in 42 U.S.C.A. § 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flammable explosives, radioactive materials, infectious substances, materials containing lead-based paint or raw materials which include hazardous constituents); and (h) any other toxic substance or contaminant that is subject to any Environmental Laws or other past or present requirement of any Governmental Authority.</w:t>
      </w:r>
    </w:p>
    <w:p>
      <w:pPr>
        <w:spacing w:after="0" w:line="183"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Contamination</w:t>
      </w:r>
      <w:r>
        <w:rPr>
          <w:rFonts w:ascii="Times New Roman" w:cs="Times New Roman" w:eastAsia="Times New Roman" w:hAnsi="Times New Roman"/>
          <w:sz w:val="18"/>
          <w:szCs w:val="18"/>
          <w:color w:val="auto"/>
        </w:rPr>
        <w:t>” 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spacing w:after="0" w:line="17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healthcare Laws relating to the business of the Borrowers or their Subsidiaries (including the delivery of virtual care for chronic conditions) or the provision of services by, or on behalf of, Borrowers or their Subsidiaries, including HIPAA and Other Privacy Laws, and similar state or foreign laws, consumer product safety laws, Medicare, Medicaid, TRICARE, in each case, as the same may be amended from time to time.</w:t>
      </w:r>
    </w:p>
    <w:p>
      <w:pPr>
        <w:spacing w:after="0" w:line="176"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 and Other Privacy Laws</w:t>
      </w:r>
      <w:r>
        <w:rPr>
          <w:rFonts w:ascii="Times New Roman" w:cs="Times New Roman" w:eastAsia="Times New Roman" w:hAnsi="Times New Roman"/>
          <w:sz w:val="18"/>
          <w:szCs w:val="18"/>
          <w:color w:val="auto"/>
        </w:rPr>
        <w:t>” means, collectively, the Health Insurance Portability and Accountability Act of 1996, as amended, and the Health Information Technology for Economic and Clinical Health Act, all rules and regulations promulgated under such acts, and other applicable Laws regulating, governing or relating to the privacy and/or security of patient, protected health or personally identifiable information and any comparable state or foreign Laws.</w:t>
      </w:r>
    </w:p>
    <w:p>
      <w:pPr>
        <w:spacing w:after="0" w:line="176" w:lineRule="exact"/>
        <w:rPr>
          <w:sz w:val="20"/>
          <w:szCs w:val="20"/>
          <w:color w:val="auto"/>
        </w:rPr>
      </w:pPr>
    </w:p>
    <w:p>
      <w:pPr>
        <w:jc w:val="both"/>
        <w:ind w:right="3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Borrowers or any other Credit Party under any Financing Documents and (b) to the extent not otherwise described in clause (a), Other Taxes.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means “instrument”, as defined in Article 9 of the UCC.</w:t>
      </w:r>
    </w:p>
    <w:p>
      <w:pPr>
        <w:spacing w:after="0" w:line="221"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know-how, operating manuals, trade secret rights, clinical and non-clinical data, rights to unpatented inventions, and any claims for damage by way of any past, present, or future infringement of any of the foregoing.</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any period commencing on the first day of a calendar month and ending on the last day of such calendar month.</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“inventory” as defined in Article 9 of the UCC.</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53" w:name="page454"/>
    <w:bookmarkEnd w:id="453"/>
    <w:p>
      <w:pPr>
        <w:ind w:right="20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means, with respect to any Person, directly or indirectly, (a) to purchase or acquire any stock or stock equivalents, or any obligations or other securities of, or any interest in, any Person, including the establishment or creation of a Subsidiary, (b) to make or otherwise consummate any Acquisition, or (c) make, purchase or hold any advance, loan, extension of credit or capital contribution to or in, or any other investment in (including the making of investments in the form of intercompany transfer pricing and cost-plus pricing arrangements), any Person. The amount of any Investment shall be the original cost of such Investment plus the cost of all additions thereto, without any adjustments for increases or decreases in value, or write-ups, write-downs or write-offs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“Investment” shall not include any management or administrative fees charged to a PC pursuant to the applicable Practice Entity Document so long as no cash is paid or transferred to any PC in connection therewith.</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Requirements</w:t>
      </w:r>
      <w:r>
        <w:rPr>
          <w:rFonts w:ascii="Times New Roman" w:cs="Times New Roman" w:eastAsia="Times New Roman" w:hAnsi="Times New Roman"/>
          <w:sz w:val="18"/>
          <w:szCs w:val="18"/>
          <w:color w:val="auto"/>
        </w:rPr>
        <w:t>” has the meaning set forth in Section 4.11(c).</w:t>
      </w:r>
    </w:p>
    <w:p>
      <w:pPr>
        <w:spacing w:after="0" w:line="221" w:lineRule="exact"/>
        <w:rPr>
          <w:sz w:val="20"/>
          <w:szCs w:val="20"/>
          <w:color w:val="auto"/>
        </w:rPr>
      </w:pPr>
    </w:p>
    <w:p>
      <w:pPr>
        <w:ind w:right="4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Cash Collateral Accounts</w:t>
      </w:r>
      <w:r>
        <w:rPr>
          <w:rFonts w:ascii="Times New Roman" w:cs="Times New Roman" w:eastAsia="Times New Roman" w:hAnsi="Times New Roman"/>
          <w:sz w:val="18"/>
          <w:szCs w:val="18"/>
          <w:color w:val="auto"/>
        </w:rPr>
        <w:t xml:space="preserve">” means, collectively, each segregated Deposit Account from time to time identified to Agent in writing established by Borrower for the sole purpose of securing Borrower’s obligations under clause (h) of the definition Permitted Contingent Obligations and containing only such cash or Cash Equivalents that have been required to be pledged to secure such obligations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cash or Cash Equivalents deposited in all such L/C Cash Collateral Accounts does not, at any time, exceed $250,000 in the aggregate.</w:t>
      </w:r>
    </w:p>
    <w:p>
      <w:pPr>
        <w:spacing w:after="0" w:line="18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 Reserve</w:t>
      </w:r>
      <w:r>
        <w:rPr>
          <w:rFonts w:ascii="Times New Roman" w:cs="Times New Roman" w:eastAsia="Times New Roman" w:hAnsi="Times New Roman"/>
          <w:sz w:val="18"/>
          <w:szCs w:val="18"/>
          <w:color w:val="auto"/>
        </w:rPr>
        <w:t>” means, as to each location at which a Borrower has Inventory located and as to which a landlord access agreement, warehouseman, bailee, consignee or mortgagee letter or other collateral access agreement, in each case, in form and substance reasonably satisfactory to Agent has not been received by Agent, a reserve, as determined by Agent in an amount equal to the greater of (a) the number of months’ rent or similar payment for which the landlord, warehouseman, consignee, bailee or mortgagee will have, under applicable Law, a Lien in the Inventory of such Borrower to secure the payment of rent or other amounts under the lease or other applicable agreement relative to such location, or (b) 3 months’ rent under the lease or similar payment under such other applicable agreement, in each case, relating to such location.</w:t>
      </w:r>
    </w:p>
    <w:p>
      <w:pPr>
        <w:spacing w:after="0" w:line="178"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includes, without limitation, Healthcare Laws, Environmental Laws and applicable U.S. and non-U.S. export control laws and regulations, including without limitation the Export Administration Regulations.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of (a) MCF, in its capacity as a lender hereunder, (b) each other Person party hereto in its capacity as a lender hereunder,</w:t>
      </w:r>
    </w:p>
    <w:p>
      <w:pPr>
        <w:spacing w:after="0" w:line="30" w:lineRule="exact"/>
        <w:rPr>
          <w:sz w:val="20"/>
          <w:szCs w:val="20"/>
          <w:color w:val="auto"/>
        </w:rPr>
      </w:pPr>
    </w:p>
    <w:p>
      <w:pPr>
        <w:ind w:right="420" w:firstLine="7"/>
        <w:spacing w:after="0" w:line="256" w:lineRule="auto"/>
        <w:tabs>
          <w:tab w:leader="none" w:pos="24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that becomes a party hereto as Lender pursuant to Section 11.17, and (d) the respective successors of all of the foregoing, and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all of the foregoing.</w:t>
      </w:r>
    </w:p>
    <w:p>
      <w:pPr>
        <w:spacing w:after="0" w:line="178"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For the purposes of this Agreement and the other Financing Documents, any Credit Party or any Subsidiary thereof shall be deemed to own subject to a Lien any asset which it has acquired or holds subject to the interest of a vendor or lessor under any conditional sale agreement, Capital Lease or other title retention agreement relating to such asset.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54" w:name="page455"/>
    <w:bookmarkEnd w:id="454"/>
    <w:p>
      <w:pPr>
        <w:ind w:right="20"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xml:space="preserve">” means, as of any date of determination, the sum of (a) the Revolving Loan Availability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Credit Party Unrestricted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Overdue Trade Payables.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means any action, suit or proceeding before any court, mediator, arbitrator or Governmental Authority.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Account</w:t>
      </w:r>
      <w:r>
        <w:rPr>
          <w:rFonts w:ascii="Times New Roman" w:cs="Times New Roman" w:eastAsia="Times New Roman" w:hAnsi="Times New Roman"/>
          <w:sz w:val="18"/>
          <w:szCs w:val="18"/>
          <w:color w:val="auto"/>
        </w:rPr>
        <w:t>” means the Term Loan Account or the Revolving Loan Account, as applicable.</w:t>
      </w:r>
    </w:p>
    <w:p>
      <w:pPr>
        <w:spacing w:after="0" w:line="221" w:lineRule="exact"/>
        <w:rPr>
          <w:sz w:val="20"/>
          <w:szCs w:val="20"/>
          <w:color w:val="auto"/>
        </w:rPr>
      </w:pPr>
    </w:p>
    <w:p>
      <w:pPr>
        <w:jc w:val="both"/>
        <w:ind w:right="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means the Term Loan, the Revolving Loans and each and every advance under the Term Loan, or any combination of the foregoing, as the context may require. All references herein to the “making” of a Loan or words of similar import mean, with respect to the Term Loan, the making of any advance in respect of a Term Loan.</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Lockbox</w:t>
      </w:r>
      <w:r>
        <w:rPr>
          <w:rFonts w:ascii="Times New Roman" w:cs="Times New Roman" w:eastAsia="Times New Roman" w:hAnsi="Times New Roman"/>
          <w:sz w:val="18"/>
          <w:szCs w:val="18"/>
          <w:color w:val="auto"/>
        </w:rPr>
        <w:t>” has the meaning set forth in Section 2.11(a).</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Lockbox Account</w:t>
      </w:r>
      <w:r>
        <w:rPr>
          <w:rFonts w:ascii="Times New Roman" w:cs="Times New Roman" w:eastAsia="Times New Roman" w:hAnsi="Times New Roman"/>
          <w:sz w:val="18"/>
          <w:szCs w:val="18"/>
          <w:color w:val="auto"/>
        </w:rPr>
        <w:t>” means a segregated account or segregated accounts maintained at the Lockbox Bank into which collections of Accounts 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Lockbox Bank</w:t>
      </w:r>
      <w:r>
        <w:rPr>
          <w:rFonts w:ascii="Times New Roman" w:cs="Times New Roman" w:eastAsia="Times New Roman" w:hAnsi="Times New Roman"/>
          <w:sz w:val="18"/>
          <w:szCs w:val="18"/>
          <w:color w:val="auto"/>
        </w:rPr>
        <w:t>” has the meaning set forth in Section 2.11.</w:t>
      </w:r>
    </w:p>
    <w:p>
      <w:pPr>
        <w:spacing w:after="0" w:line="221" w:lineRule="exact"/>
        <w:rPr>
          <w:sz w:val="20"/>
          <w:szCs w:val="20"/>
          <w:color w:val="auto"/>
        </w:rPr>
      </w:pPr>
    </w:p>
    <w:p>
      <w:pPr>
        <w:ind w:right="6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means “margin stock” as such term is defined in Regulation T, U, or X of the Board of Governors of the Federal Reserve System.</w:t>
      </w:r>
    </w:p>
    <w:p>
      <w:pPr>
        <w:spacing w:after="0" w:line="156"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financial condition, operations, business or properties of the Credit Parties taken as a whole, (b) the rights and remedies of Agent, Term Loan Servicer, or Lenders under any Financing Document, or the ability of any Credit Party to perform any of its obligations under any Financing Document to which it is a party, (c) the legality, validity or enforceability of any Financing Document, (d) the existence, perfection or priority of any security interest granted to the Agent or the Lenders in any Financing Document, except solely as a result of any action or inaction of Agent or any Lender (provided that such action or inaction is not caused by a Credit Party’s failure to comply with the terms of the Financing Documents) or (e) a material impairment of the prospect of repayment of any portion of the Obligations.</w:t>
      </w:r>
    </w:p>
    <w:p>
      <w:pPr>
        <w:spacing w:after="0" w:line="184"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xml:space="preserve">” means (a) the agreements listed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(b) each Practice Entity Document, and (c) any other agreement or contract to which such Credit Party or its Subsidiaries is a party the termination of which could reasonably be expected to result in a Material Adverse Effect. For the avoidance of doubt, the Credit Parties shall not be entitled to remove any agreement from Schedule 3.17 in connection with any update to the Credit Agreement Schedules without Agent’s prior consent.</w:t>
      </w:r>
    </w:p>
    <w:p>
      <w:pPr>
        <w:spacing w:after="0" w:line="176"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Intangible Assets</w:t>
      </w:r>
      <w:r>
        <w:rPr>
          <w:rFonts w:ascii="Times New Roman" w:cs="Times New Roman" w:eastAsia="Times New Roman" w:hAnsi="Times New Roman"/>
          <w:sz w:val="18"/>
          <w:szCs w:val="18"/>
          <w:color w:val="auto"/>
        </w:rPr>
        <w:t>” means all of (a) Intellectual Property owned by the Credit Parties and (b) in-bound license or sublicense agreements or other agreements with respect to rights in Intellectual Property not owned by a Credit Party or a Subsidiary thereof (other than over-the-counter software, software that is commercially available to the public, open source licenses and enabling licenses in the Ordinary Course of Business), in each case, that are material to the financial condition, business or operations of the Credit Parties and their Subsidiaries (taken as a whole).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55" w:name="page456"/>
    <w:bookmarkEnd w:id="455"/>
    <w:p>
      <w:pPr>
        <w:ind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Real Property</w:t>
      </w:r>
      <w:r>
        <w:rPr>
          <w:rFonts w:ascii="Times New Roman" w:cs="Times New Roman" w:eastAsia="Times New Roman" w:hAnsi="Times New Roman"/>
          <w:sz w:val="18"/>
          <w:szCs w:val="18"/>
          <w:color w:val="auto"/>
        </w:rPr>
        <w:t>” means any real property that is owned in fee by any Credit Party with a fair market value (as reasonably determined by Agent) in excess of One Million Dollars ($1,000,000) individually or in the aggregate together with all other real property that is owned by the Credit Parties.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June 1, 2028.</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Lawful Rate</w:t>
      </w:r>
      <w:r>
        <w:rPr>
          <w:rFonts w:ascii="Times New Roman" w:cs="Times New Roman" w:eastAsia="Times New Roman" w:hAnsi="Times New Roman"/>
          <w:sz w:val="18"/>
          <w:szCs w:val="18"/>
          <w:color w:val="auto"/>
        </w:rPr>
        <w:t>” has the meaning set forth in Section 2.7.</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MCF</w:t>
      </w:r>
      <w:r>
        <w:rPr>
          <w:rFonts w:ascii="Times New Roman" w:cs="Times New Roman" w:eastAsia="Times New Roman" w:hAnsi="Times New Roman"/>
          <w:sz w:val="18"/>
          <w:szCs w:val="18"/>
          <w:color w:val="auto"/>
        </w:rPr>
        <w:t>” means MidCap Financial Trust, a Delaware statutory trust, and its successors and assigns.</w:t>
      </w:r>
    </w:p>
    <w:p>
      <w:pPr>
        <w:spacing w:after="0" w:line="221"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Balance</w:t>
      </w:r>
      <w:r>
        <w:rPr>
          <w:rFonts w:ascii="Times New Roman" w:cs="Times New Roman" w:eastAsia="Times New Roman" w:hAnsi="Times New Roman"/>
          <w:sz w:val="18"/>
          <w:szCs w:val="18"/>
          <w:color w:val="auto"/>
        </w:rPr>
        <w:t xml:space="preserve">” means, at any time, an amount that equals the product of: (a) the average Borrowing Base (or, if less on any given day, the Revolving Loan Commitment) during the immediately preceding month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twenty percent (20.0%).</w:t>
      </w:r>
    </w:p>
    <w:p>
      <w:pPr>
        <w:spacing w:after="0" w:line="156" w:lineRule="exact"/>
        <w:rPr>
          <w:sz w:val="20"/>
          <w:szCs w:val="20"/>
          <w:color w:val="auto"/>
        </w:rPr>
      </w:pPr>
    </w:p>
    <w:p>
      <w:pPr>
        <w:ind w:right="1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Balance Fee</w:t>
      </w:r>
      <w:r>
        <w:rPr>
          <w:rFonts w:ascii="Times New Roman" w:cs="Times New Roman" w:eastAsia="Times New Roman" w:hAnsi="Times New Roman"/>
          <w:sz w:val="18"/>
          <w:szCs w:val="18"/>
          <w:color w:val="auto"/>
        </w:rPr>
        <w:t xml:space="preserve">” means a fee equal to (a) the positive difference, if any, remaining after subtracting (i) the average end-of-day principal balance of Revolving Loans outstanding during the immediately preceding month (without giving effect to the clearance day calculations referenced above or in Section 2.2(a)) from (ii) the Minimum Balance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highest interest rate applicable to the Revolving Loans during such month (or, during the existence of an Event of Default, the default rate of interest set forth in Section 10.5(a)).</w:t>
      </w:r>
    </w:p>
    <w:p>
      <w:pPr>
        <w:spacing w:after="0" w:line="176" w:lineRule="exact"/>
        <w:rPr>
          <w:sz w:val="20"/>
          <w:szCs w:val="20"/>
          <w:color w:val="auto"/>
        </w:rPr>
      </w:pPr>
    </w:p>
    <w:p>
      <w:pPr>
        <w:jc w:val="both"/>
        <w:ind w:right="16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Multiemployer Plan</w:t>
      </w:r>
      <w:r>
        <w:rPr>
          <w:rFonts w:ascii="Times New Roman" w:cs="Times New Roman" w:eastAsia="Times New Roman" w:hAnsi="Times New Roman"/>
          <w:sz w:val="17"/>
          <w:szCs w:val="17"/>
          <w:color w:val="auto"/>
        </w:rPr>
        <w:t>” means a multiemployer plan within the meaning of Section 4001(a)(3) of ERISA to which any Credit Party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52"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18"/>
          <w:szCs w:val="18"/>
          <w:color w:val="auto"/>
        </w:rPr>
        <w:t xml:space="preserve">” means, for any period, the consolidated revenue of the Borrowers and their Subsidiaries, as determined in accordance with GAAP, generated during such Defined Period through the commercial sale of Products or the provision of services by Borrowers and their Subsidiaries, in all cases, in the Ordinary Course of Business to third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Net Revenue shall not include any upfront payments or milestone payments or similar non-recurring payments received by such Borrower or Subsidiary or in connection with any out-license agreement, asset purchase agreement or similar commercial contract.</w:t>
      </w:r>
    </w:p>
    <w:p>
      <w:pPr>
        <w:spacing w:after="0" w:line="180"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Revenue Testing Period</w:t>
      </w:r>
      <w:r>
        <w:rPr>
          <w:rFonts w:ascii="Times New Roman" w:cs="Times New Roman" w:eastAsia="Times New Roman" w:hAnsi="Times New Roman"/>
          <w:sz w:val="18"/>
          <w:szCs w:val="18"/>
          <w:color w:val="auto"/>
        </w:rPr>
        <w:t>” means each period beginning immediately upon the occurrence of a Financial Covenant Trigger Event and ending on the date that both (a) no Event of Default exists and is continuing and (b) Agent has received satisfactory evidence that no Financial Covenant Trigger Event has occurred or is continuing for a period of fifteen (15) consecutive Business Days following the occurrence of the applicable Financial Covenant Trigger Event.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Non-Credit Party Subsidiary</w:t>
      </w:r>
      <w:r>
        <w:rPr>
          <w:rFonts w:ascii="Times New Roman" w:cs="Times New Roman" w:eastAsia="Times New Roman" w:hAnsi="Times New Roman"/>
          <w:sz w:val="18"/>
          <w:szCs w:val="18"/>
          <w:color w:val="auto"/>
        </w:rPr>
        <w:t>” means any Subsidiary that is not a Credit Party.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Non-Funding Lender</w:t>
      </w:r>
      <w:r>
        <w:rPr>
          <w:rFonts w:ascii="Times New Roman" w:cs="Times New Roman" w:eastAsia="Times New Roman" w:hAnsi="Times New Roman"/>
          <w:sz w:val="18"/>
          <w:szCs w:val="18"/>
          <w:color w:val="auto"/>
        </w:rPr>
        <w:t>” has the meaning set forth in Section 11.18.</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Section 2.3.</w:t>
      </w:r>
    </w:p>
    <w:p>
      <w:pPr>
        <w:spacing w:after="0" w:line="221" w:lineRule="exact"/>
        <w:rPr>
          <w:sz w:val="20"/>
          <w:szCs w:val="20"/>
          <w:color w:val="auto"/>
        </w:rPr>
      </w:pPr>
    </w:p>
    <w:p>
      <w:pPr>
        <w:ind w:right="3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means a notice of a Responsible Officer of Borrower Representative, appropriately completed and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56" w:name="page457"/>
    <w:bookmarkEnd w:id="456"/>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 Notwithstanding the foregoing, “Obligations” shall not include any warrants or any other equity instruments.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Treasury Office of Foreign Assets Control.</w:t>
      </w:r>
    </w:p>
    <w:p>
      <w:pPr>
        <w:spacing w:after="0" w:line="221" w:lineRule="exact"/>
        <w:rPr>
          <w:sz w:val="20"/>
          <w:szCs w:val="20"/>
          <w:color w:val="auto"/>
        </w:rPr>
      </w:pPr>
    </w:p>
    <w:p>
      <w:pPr>
        <w:jc w:val="both"/>
        <w:ind w:right="3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0" w:lineRule="exact"/>
        <w:rPr>
          <w:sz w:val="20"/>
          <w:szCs w:val="20"/>
          <w:color w:val="auto"/>
        </w:rPr>
      </w:pPr>
    </w:p>
    <w:p>
      <w:pPr>
        <w:ind w:right="1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“Orderly Liquidation Value</w:t>
      </w:r>
      <w:r>
        <w:rPr>
          <w:rFonts w:ascii="Times New Roman" w:cs="Times New Roman" w:eastAsia="Times New Roman" w:hAnsi="Times New Roman"/>
          <w:sz w:val="18"/>
          <w:szCs w:val="18"/>
          <w:color w:val="auto"/>
        </w:rPr>
        <w:t>” means the net amount (after all costs of sale), expressed in terms of money, which Agent, in its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estimates can be realized from a sale, as of a specific date, given a reasonable period to find a purchaser(s), with the seller being compelled to sell on an as-is/where-is basis, as reflected in the most recent appraisal delivered hereunder.</w:t>
      </w:r>
    </w:p>
    <w:p>
      <w:pPr>
        <w:spacing w:after="0" w:line="170"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transaction involving any Credit Party or any Subsidiary or any PC, the ordinary course of business of such Credit Party, Subsidiary or PC, and undertaken by such Person in good faith and not for purposes of evading any covenant or restriction in any Financing Document.</w:t>
      </w:r>
    </w:p>
    <w:p>
      <w:pPr>
        <w:spacing w:after="0" w:line="170" w:lineRule="exact"/>
        <w:rPr>
          <w:sz w:val="20"/>
          <w:szCs w:val="20"/>
          <w:color w:val="auto"/>
        </w:rPr>
      </w:pPr>
    </w:p>
    <w:p>
      <w:pPr>
        <w:ind w:right="60" w:firstLine="436"/>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Organizational Documents</w:t>
      </w:r>
      <w:r>
        <w:rPr>
          <w:rFonts w:ascii="Times New Roman" w:cs="Times New Roman" w:eastAsia="Times New Roman" w:hAnsi="Times New Roman"/>
          <w:sz w:val="17"/>
          <w:szCs w:val="17"/>
          <w:color w:val="auto"/>
        </w:rPr>
        <w:t>” means, with respect to any Person other than a natural person, the documents by which such Person was organized (such as a certificate of incorporation, articles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or an operating agreement, joint venture agreement, limited liability company agreement or members agreement), including any and all shareholder agreements or voting agreements relating to the capital stock or other Equity Interests of such Person.</w:t>
      </w:r>
    </w:p>
    <w:p>
      <w:pPr>
        <w:spacing w:after="0" w:line="164"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taxes imposed as a result of a present or former connection between Agent, Term Loan Servicer or any Lender and the jurisdiction imposing such tax (other than connections arising from Agent, Term Loan Servicer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spacing w:after="0" w:line="176" w:lineRule="exact"/>
        <w:rPr>
          <w:sz w:val="20"/>
          <w:szCs w:val="20"/>
          <w:color w:val="auto"/>
        </w:rPr>
      </w:pPr>
    </w:p>
    <w:p>
      <w:pPr>
        <w:ind w:right="1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Section 2.8(i)).</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Overdue Trade Payables</w:t>
      </w:r>
      <w:r>
        <w:rPr>
          <w:rFonts w:ascii="Times New Roman" w:cs="Times New Roman" w:eastAsia="Times New Roman" w:hAnsi="Times New Roman"/>
          <w:sz w:val="18"/>
          <w:szCs w:val="18"/>
          <w:color w:val="auto"/>
        </w:rPr>
        <w:t>” means all trade payables that are not paid within 90 days of the due date therefor.</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57" w:name="page458"/>
    <w:bookmarkEnd w:id="4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set forth in Section 11.17.</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set forth in Section 11.17(a)(iii).</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Account</w:t>
      </w:r>
      <w:r>
        <w:rPr>
          <w:rFonts w:ascii="Times New Roman" w:cs="Times New Roman" w:eastAsia="Times New Roman" w:hAnsi="Times New Roman"/>
          <w:sz w:val="18"/>
          <w:szCs w:val="18"/>
          <w:color w:val="auto"/>
        </w:rPr>
        <w:t>” means, as applicable, the Term Loan Payment Account or the Revolving Loan Payment Account.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has the meaning specified therefor in Section 13.20 of this Agreement.</w:t>
      </w:r>
    </w:p>
    <w:p>
      <w:pPr>
        <w:spacing w:after="0" w:line="221" w:lineRule="exact"/>
        <w:rPr>
          <w:sz w:val="20"/>
          <w:szCs w:val="20"/>
          <w:color w:val="auto"/>
        </w:rPr>
      </w:pPr>
    </w:p>
    <w:p>
      <w:pPr>
        <w:ind w:right="3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any data or information that identifies, relates to, describes or is capable of being associated with any natural person, including name, address, telephone number, health information, social security number, driver’s license number, government-issued identification number, financial account number, or log-in information, or any other data or information that constitutes personal data,” “personal information,” “protected health information,” or “personally identifiable information” under HIPAA and Other Privacy Laws.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Person succeeding to any or all of its functions under ERISA.</w:t>
      </w:r>
    </w:p>
    <w:p>
      <w:pPr>
        <w:spacing w:after="0" w:line="221"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w:t>
      </w:r>
      <w:r>
        <w:rPr>
          <w:rFonts w:ascii="Times New Roman" w:cs="Times New Roman" w:eastAsia="Times New Roman" w:hAnsi="Times New Roman"/>
          <w:sz w:val="18"/>
          <w:szCs w:val="18"/>
          <w:color w:val="auto"/>
        </w:rPr>
        <w:t>” means (a)(i) Physera Physical Therapy Group, PC, and (ii) Third Avenue Psychology, PC, and (b) any other professional corporation or similar Person that is, directly or indirectly, managed by Parent or any of its Subsidiaries pursuant to a management agreement, professional services agreement or similar contractual arrangement but not owned by Parent or any of its Subsidiaries that is designated as a PC by Parent to Agent in writing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ERISA Plan that is subject to Section 412 of the Code or Title IV of ERISA.</w:t>
      </w:r>
    </w:p>
    <w:p>
      <w:pPr>
        <w:spacing w:after="0" w:line="221" w:lineRule="exact"/>
        <w:rPr>
          <w:sz w:val="20"/>
          <w:szCs w:val="20"/>
          <w:color w:val="auto"/>
        </w:rPr>
      </w:pPr>
    </w:p>
    <w:p>
      <w:pPr>
        <w:ind w:right="4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means the Perfection Certificate delivered to Agent as of the Closing Date, as amended, restated, supplemented or otherwise modified from time to time in accordance with the terms of this Agreement.</w:t>
      </w:r>
    </w:p>
    <w:p>
      <w:pPr>
        <w:spacing w:after="0" w:line="156"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all licenses, certificates, authorizations, franchises, qualifications, accreditations, registrations, permits, consents and approvals of a Credit Party issued or required under Laws applicable to the business of the Credit Parties or any of their Subsidiaries.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Dispositions</w:t>
      </w:r>
      <w:r>
        <w:rPr>
          <w:rFonts w:ascii="Times New Roman" w:cs="Times New Roman" w:eastAsia="Times New Roman" w:hAnsi="Times New Roman"/>
          <w:sz w:val="18"/>
          <w:szCs w:val="18"/>
          <w:color w:val="auto"/>
        </w:rPr>
        <w:t>” means the following Asset Dispositions:</w:t>
      </w:r>
    </w:p>
    <w:p>
      <w:pPr>
        <w:spacing w:after="0" w:line="131" w:lineRule="exact"/>
        <w:rPr>
          <w:sz w:val="20"/>
          <w:szCs w:val="20"/>
          <w:color w:val="auto"/>
        </w:rPr>
      </w:pPr>
    </w:p>
    <w:p>
      <w:pPr>
        <w:ind w:left="980" w:hanging="545"/>
        <w:spacing w:after="0"/>
        <w:tabs>
          <w:tab w:leader="none" w:pos="9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 and not pursuant to any bulk sale;</w:t>
      </w:r>
    </w:p>
    <w:p>
      <w:pPr>
        <w:spacing w:after="0" w:line="127" w:lineRule="exact"/>
        <w:rPr>
          <w:rFonts w:ascii="Times New Roman" w:cs="Times New Roman" w:eastAsia="Times New Roman" w:hAnsi="Times New Roman"/>
          <w:sz w:val="18"/>
          <w:szCs w:val="18"/>
          <w:color w:val="auto"/>
        </w:rPr>
      </w:pPr>
    </w:p>
    <w:p>
      <w:pPr>
        <w:ind w:left="980" w:right="360" w:hanging="545"/>
        <w:spacing w:after="0" w:line="263" w:lineRule="auto"/>
        <w:tabs>
          <w:tab w:leader="none" w:pos="9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furniture, fixtures and equipment in the Ordinary Course of Business that the applicable Credit Party or Subsidiary determines in good faith is obsolete, unmerchantable, or otherwise unsalable or no longer used or useful in the business of such Credit Party and its Subsidiaries;</w:t>
      </w:r>
    </w:p>
    <w:p>
      <w:pPr>
        <w:spacing w:after="0" w:line="81" w:lineRule="exact"/>
        <w:rPr>
          <w:rFonts w:ascii="Times New Roman" w:cs="Times New Roman" w:eastAsia="Times New Roman" w:hAnsi="Times New Roman"/>
          <w:sz w:val="18"/>
          <w:szCs w:val="18"/>
          <w:color w:val="auto"/>
        </w:rPr>
      </w:pPr>
    </w:p>
    <w:p>
      <w:pPr>
        <w:ind w:left="980" w:right="420" w:hanging="545"/>
        <w:spacing w:after="0" w:line="263" w:lineRule="auto"/>
        <w:tabs>
          <w:tab w:leader="none" w:pos="9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forfeiture, invalidation, cancellation, abandonment or lapse (including, without limitation, the narrowing of claims) of Intellectual Property (other than Material Intangible Assets) that is, in the reasonable good faith judgment of a Credit Party, no longer useful in the conduct of the business of the Credit Parties or any of their Subsidiaries;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58" w:name="page459"/>
    <w:bookmarkEnd w:id="458"/>
    <w:p>
      <w:pPr>
        <w:ind w:left="980" w:right="100" w:hanging="545"/>
        <w:spacing w:after="0" w:line="278" w:lineRule="auto"/>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Permitted Licenses, and (ii) the granting of leases, licenses, subleases or sublicenses, in each case, in respect of real property (as lessor or licensor) in the Ordinary Course of Business;</w:t>
      </w:r>
    </w:p>
    <w:p>
      <w:pPr>
        <w:spacing w:after="0" w:line="68" w:lineRule="exact"/>
        <w:rPr>
          <w:rFonts w:ascii="Times New Roman" w:cs="Times New Roman" w:eastAsia="Times New Roman" w:hAnsi="Times New Roman"/>
          <w:sz w:val="18"/>
          <w:szCs w:val="18"/>
          <w:color w:val="auto"/>
        </w:rPr>
      </w:pPr>
    </w:p>
    <w:p>
      <w:pPr>
        <w:ind w:left="980" w:right="100" w:hanging="545"/>
        <w:spacing w:after="0" w:line="278" w:lineRule="auto"/>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consisting of the use or payment of cash or Cash Equivalents in a manner that is not otherwise prohibited by the terms of this Agreement or the other Financing Documents;</w:t>
      </w:r>
    </w:p>
    <w:p>
      <w:pPr>
        <w:spacing w:after="0" w:line="68" w:lineRule="exact"/>
        <w:rPr>
          <w:rFonts w:ascii="Times New Roman" w:cs="Times New Roman" w:eastAsia="Times New Roman" w:hAnsi="Times New Roman"/>
          <w:sz w:val="18"/>
          <w:szCs w:val="18"/>
          <w:color w:val="auto"/>
        </w:rPr>
      </w:pPr>
    </w:p>
    <w:p>
      <w:pPr>
        <w:ind w:left="980" w:right="140" w:hanging="545"/>
        <w:spacing w:after="0" w:line="278" w:lineRule="auto"/>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Asset Dispositions from a Credit Party to any other Credit Party, (ii) Asset Dispositions from any Subsidiaries to any Credit Party, and (iii) Asset Dispositions from any Non-Credit Party Subsidiary to another Non-Credit Party Subsidiary;</w:t>
      </w:r>
    </w:p>
    <w:p>
      <w:pPr>
        <w:spacing w:after="0" w:line="68" w:lineRule="exact"/>
        <w:rPr>
          <w:rFonts w:ascii="Times New Roman" w:cs="Times New Roman" w:eastAsia="Times New Roman" w:hAnsi="Times New Roman"/>
          <w:sz w:val="18"/>
          <w:szCs w:val="18"/>
          <w:color w:val="auto"/>
        </w:rPr>
      </w:pPr>
    </w:p>
    <w:p>
      <w:pPr>
        <w:ind w:left="980" w:right="320" w:hanging="545"/>
        <w:spacing w:after="0" w:line="263" w:lineRule="auto"/>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forgiveness or discounting, on a non-recourse basis and in the Ordinary Course of Business, of past due Accounts (other than Eligible Accounts included in the Borrowing Base) in connection with the settlement of delinquent Accounts or in connection with the bankruptcy or reorganization of suppliers or customers in accordance with the applicable terms of this Agreement;</w:t>
      </w:r>
    </w:p>
    <w:p>
      <w:pPr>
        <w:spacing w:after="0" w:line="81"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Asset Disposition, the granting of Permitted Liens;</w:t>
      </w:r>
    </w:p>
    <w:p>
      <w:pPr>
        <w:spacing w:after="0" w:line="127" w:lineRule="exact"/>
        <w:rPr>
          <w:rFonts w:ascii="Times New Roman" w:cs="Times New Roman" w:eastAsia="Times New Roman" w:hAnsi="Times New Roman"/>
          <w:sz w:val="18"/>
          <w:szCs w:val="18"/>
          <w:color w:val="auto"/>
        </w:rPr>
      </w:pPr>
    </w:p>
    <w:p>
      <w:pPr>
        <w:ind w:left="980" w:right="20" w:hanging="545"/>
        <w:spacing w:after="0" w:line="255" w:lineRule="auto"/>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termination of any lease, sublease, license or sub-license (other than any licenses constituting Material Contracts or Material Intangible Assets) in the Ordinary Course of Business (and any related Asset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90" w:lineRule="exact"/>
        <w:rPr>
          <w:rFonts w:ascii="Times New Roman" w:cs="Times New Roman" w:eastAsia="Times New Roman" w:hAnsi="Times New Roman"/>
          <w:sz w:val="18"/>
          <w:szCs w:val="18"/>
          <w:color w:val="auto"/>
        </w:rPr>
      </w:pPr>
    </w:p>
    <w:p>
      <w:pPr>
        <w:ind w:left="980" w:right="620" w:hanging="545"/>
        <w:spacing w:after="0" w:line="278" w:lineRule="auto"/>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the sale or issuance of any Equity Interests (other than Disqualified Equity Interests) not otherwise prohibited by this Agreement and the other Financing Documents; and</w:t>
      </w:r>
    </w:p>
    <w:p>
      <w:pPr>
        <w:spacing w:after="0" w:line="68" w:lineRule="exact"/>
        <w:rPr>
          <w:rFonts w:ascii="Times New Roman" w:cs="Times New Roman" w:eastAsia="Times New Roman" w:hAnsi="Times New Roman"/>
          <w:sz w:val="18"/>
          <w:szCs w:val="18"/>
          <w:color w:val="auto"/>
        </w:rPr>
      </w:pPr>
    </w:p>
    <w:p>
      <w:pPr>
        <w:ind w:left="980" w:hanging="545"/>
        <w:spacing w:after="0" w:line="258" w:lineRule="auto"/>
        <w:tabs>
          <w:tab w:leader="none" w:pos="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tangible personal property (and not, for the avoidance of doubt, any Intellectual Property) so long as (i) the assets subject to such Asset Dispositions are sold for fair value, as determined by the Borrowers in good faith, (ii) at least 75% of the consideration therefor is cash or Cash Equivalents, (iii) the aggregate amount of such Asset Dispositions in any twelve (12) month period does not exceed $500,000, and (iv) no Event of Default has occurred and is continuing or would result from the making of such disposition.</w:t>
      </w:r>
    </w:p>
    <w:p>
      <w:pPr>
        <w:spacing w:after="0" w:line="176"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Contest</w:t>
      </w:r>
      <w:r>
        <w:rPr>
          <w:rFonts w:ascii="Times New Roman" w:cs="Times New Roman" w:eastAsia="Times New Roman" w:hAnsi="Times New Roman"/>
          <w:sz w:val="18"/>
          <w:szCs w:val="18"/>
          <w:color w:val="auto"/>
        </w:rPr>
        <w:t xml:space="preserve">” means, with respect to any tax obligation or other obligation allegedly or potentially owing from any Credit Party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compliance with the obligation that is the subject of such contest is effectively stayed during such challenge; (b) Credit Parties’ and their Subsidiaries’ title to, and its right to use, the Collateral is not adversely affected thereby and Agent’s Lien and priority on the Collateral are not adversely affected, altered or impaired thereby; and (c) the Collateral or any part thereof or any interest therein shall not be in any danger of being sold, forfeited or lost by reason of such contest by Credit Parties or their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59" w:name="page460"/>
    <w:bookmarkEnd w:id="4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Contingent Obligations</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420" w:hanging="436"/>
        <w:spacing w:after="0"/>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in respect of the Debt under the Financing Documents;</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resulting from endorsements for collection or deposit in the Ordinary Course of Business;</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 Obligations outstanding on the Closing Date and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and Permitted Refinancings thereof;</w:t>
      </w:r>
    </w:p>
    <w:p>
      <w:pPr>
        <w:spacing w:after="0" w:line="127" w:lineRule="exact"/>
        <w:rPr>
          <w:rFonts w:ascii="Times New Roman" w:cs="Times New Roman" w:eastAsia="Times New Roman" w:hAnsi="Times New Roman"/>
          <w:sz w:val="18"/>
          <w:szCs w:val="18"/>
          <w:color w:val="auto"/>
        </w:rPr>
      </w:pPr>
    </w:p>
    <w:p>
      <w:pPr>
        <w:ind w:left="1420" w:right="120" w:hanging="436"/>
        <w:spacing w:after="0" w:line="263" w:lineRule="auto"/>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with respect to attachments, stay or appeal bonds, judgments and other similar bonds, surety and appeal bonds, performance bonds and other similar obligations not to exceed Two Hundred Fifty Thousand ($250,000) in the aggregate at any time outstanding;</w:t>
      </w:r>
    </w:p>
    <w:p>
      <w:pPr>
        <w:spacing w:after="0" w:line="81" w:lineRule="exact"/>
        <w:rPr>
          <w:rFonts w:ascii="Times New Roman" w:cs="Times New Roman" w:eastAsia="Times New Roman" w:hAnsi="Times New Roman"/>
          <w:sz w:val="18"/>
          <w:szCs w:val="18"/>
          <w:color w:val="auto"/>
        </w:rPr>
      </w:pPr>
    </w:p>
    <w:p>
      <w:pPr>
        <w:ind w:left="1420" w:right="720" w:hanging="436"/>
        <w:spacing w:after="0" w:line="278" w:lineRule="auto"/>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under indemnity agreements with title insurers to cause such title insurers to issue to Agent mortgagee title insurance policies;</w:t>
      </w:r>
    </w:p>
    <w:p>
      <w:pPr>
        <w:spacing w:after="0" w:line="68" w:lineRule="exact"/>
        <w:rPr>
          <w:rFonts w:ascii="Times New Roman" w:cs="Times New Roman" w:eastAsia="Times New Roman" w:hAnsi="Times New Roman"/>
          <w:sz w:val="18"/>
          <w:szCs w:val="18"/>
          <w:color w:val="auto"/>
        </w:rPr>
      </w:pPr>
    </w:p>
    <w:p>
      <w:pPr>
        <w:ind w:left="1420" w:right="100" w:hanging="436"/>
        <w:spacing w:after="0" w:line="263" w:lineRule="auto"/>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with respect to customary indemnification obligations in favor of purchasers in connection with dispositions of personal property assets permitted under Section 5.6 or in connection with any other commercial agreement entered into by a Credit Party or a Subsidiary thereof in the Ordinary Course of Business;</w:t>
      </w:r>
    </w:p>
    <w:p>
      <w:pPr>
        <w:spacing w:after="0" w:line="81" w:lineRule="exact"/>
        <w:rPr>
          <w:rFonts w:ascii="Times New Roman" w:cs="Times New Roman" w:eastAsia="Times New Roman" w:hAnsi="Times New Roman"/>
          <w:sz w:val="18"/>
          <w:szCs w:val="18"/>
          <w:color w:val="auto"/>
        </w:rPr>
      </w:pPr>
    </w:p>
    <w:p>
      <w:pPr>
        <w:ind w:left="1420" w:right="40" w:hanging="436"/>
        <w:spacing w:after="0" w:line="255" w:lineRule="auto"/>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there exists no Event of Default both immediately before and immediately after giving effect to any such transaction, Contingent Obligations existing or arising under any Swap Contract,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obligations are (or were) entered into by a Credit Party or a Subsidiary in the Ordinary Course of Business for the purpose of directly mitigating risks associated with liabilities, commitments, investments, assets, or property held or reasonably anticipated by such Person and not for purposes of speculation;</w:t>
      </w:r>
    </w:p>
    <w:p>
      <w:pPr>
        <w:spacing w:after="0" w:line="90" w:lineRule="exact"/>
        <w:rPr>
          <w:rFonts w:ascii="Times New Roman" w:cs="Times New Roman" w:eastAsia="Times New Roman" w:hAnsi="Times New Roman"/>
          <w:sz w:val="18"/>
          <w:szCs w:val="18"/>
          <w:color w:val="auto"/>
        </w:rPr>
      </w:pPr>
    </w:p>
    <w:p>
      <w:pPr>
        <w:ind w:left="1420" w:right="120" w:hanging="436"/>
        <w:spacing w:after="0" w:line="263" w:lineRule="auto"/>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 Obligations existing or arising in connection with any letter of credit for the primary purpose of securing a lease of real property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all such letter of credit reimbursement obligations does not at any time exceed Two Hundred Fifty Thousand Dollars ($250,000) outstanding;</w:t>
      </w:r>
    </w:p>
    <w:p>
      <w:pPr>
        <w:spacing w:after="0" w:line="81" w:lineRule="exact"/>
        <w:rPr>
          <w:rFonts w:ascii="Times New Roman" w:cs="Times New Roman" w:eastAsia="Times New Roman" w:hAnsi="Times New Roman"/>
          <w:sz w:val="18"/>
          <w:szCs w:val="18"/>
          <w:color w:val="auto"/>
        </w:rPr>
      </w:pPr>
    </w:p>
    <w:p>
      <w:pPr>
        <w:ind w:left="1420" w:hanging="436"/>
        <w:spacing w:after="0" w:line="263" w:lineRule="auto"/>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arising under guarantees by a Credit Party of Debt or other obligations, which Debt or other obligations are otherwise permitted hereunder; provided, however, that if such obligation is subordinated to the Obligations, such guarantee shall be subordinated to the same extent; and</w:t>
      </w:r>
    </w:p>
    <w:p>
      <w:pPr>
        <w:spacing w:after="0" w:line="81" w:lineRule="exact"/>
        <w:rPr>
          <w:rFonts w:ascii="Times New Roman" w:cs="Times New Roman" w:eastAsia="Times New Roman" w:hAnsi="Times New Roman"/>
          <w:sz w:val="18"/>
          <w:szCs w:val="18"/>
          <w:color w:val="auto"/>
        </w:rPr>
      </w:pPr>
    </w:p>
    <w:p>
      <w:pPr>
        <w:ind w:left="1420" w:right="680" w:hanging="436"/>
        <w:spacing w:after="0" w:line="278" w:lineRule="auto"/>
        <w:tabs>
          <w:tab w:leader="none" w:pos="1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Contingent Obligations not permitted by clauses (a) through (i) above, not to exceed Five Hundred Thousand Dollars ($500,000) in the aggregate at any time outstanding.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420" w:hanging="436"/>
        <w:spacing w:after="0"/>
        <w:tabs>
          <w:tab w:leader="none" w:pos="14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Debt to Agent and each Lender under this Agreement and the other Financing Documents;</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as a result of endorsing negotiable instruments received in the Ordinary Course of Business;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60"/>
          </w:cols>
          <w:pgMar w:left="480" w:top="264" w:right="559" w:bottom="1440" w:gutter="0" w:footer="0" w:header="0"/>
        </w:sectPr>
      </w:pPr>
    </w:p>
    <w:bookmarkStart w:id="460" w:name="page461"/>
    <w:bookmarkEnd w:id="460"/>
    <w:p>
      <w:pPr>
        <w:ind w:left="1420" w:right="280" w:hanging="436"/>
        <w:spacing w:after="0" w:line="258" w:lineRule="auto"/>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purchase money Debt and Capital Leases not to exceed Five Hundred Thousand Dollars ($500,000) in the aggregate at any time (whether in the form of a loan or a lease) used solely to finance the acquisition, construction, repair, replacement, lease or improvement of fixed or capital assets and secured only by such assets (and the proceeds thereof) and any Permitted Refinancing thereof;</w:t>
      </w:r>
    </w:p>
    <w:p>
      <w:pPr>
        <w:spacing w:after="0" w:line="86" w:lineRule="exact"/>
        <w:rPr>
          <w:rFonts w:ascii="Times New Roman" w:cs="Times New Roman" w:eastAsia="Times New Roman" w:hAnsi="Times New Roman"/>
          <w:sz w:val="18"/>
          <w:szCs w:val="18"/>
          <w:color w:val="auto"/>
        </w:rPr>
      </w:pPr>
    </w:p>
    <w:p>
      <w:pPr>
        <w:ind w:left="1420" w:right="20" w:hanging="436"/>
        <w:spacing w:after="0" w:line="278" w:lineRule="auto"/>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existing on the date of this Agreement and described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(but not including any refinancings, extensions, increases or amendments to such Debt other than any Permitted Refinancing thereof);</w:t>
      </w:r>
    </w:p>
    <w:p>
      <w:pPr>
        <w:spacing w:after="0" w:line="68" w:lineRule="exact"/>
        <w:rPr>
          <w:rFonts w:ascii="Times New Roman" w:cs="Times New Roman" w:eastAsia="Times New Roman" w:hAnsi="Times New Roman"/>
          <w:sz w:val="18"/>
          <w:szCs w:val="18"/>
          <w:color w:val="auto"/>
        </w:rPr>
      </w:pPr>
    </w:p>
    <w:p>
      <w:pPr>
        <w:ind w:left="1420" w:hanging="436"/>
        <w:spacing w:after="0" w:line="258" w:lineRule="auto"/>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there exists no Event of Default both immediately before and immediately after giving effect to any such transaction, Debt existing or arising under any Swap Contract, provided, however, that such obligations are (or were) entered into by Borrower or a Subsidiary in the Ordinary Course of Business for the purpose of directly mitigating risks associated with liabilities, commitments, investments, assets, or property held or reasonably anticipated by such Person and not for purposes of speculation;</w:t>
      </w:r>
    </w:p>
    <w:p>
      <w:pPr>
        <w:spacing w:after="0" w:line="86" w:lineRule="exact"/>
        <w:rPr>
          <w:rFonts w:ascii="Times New Roman" w:cs="Times New Roman" w:eastAsia="Times New Roman" w:hAnsi="Times New Roman"/>
          <w:sz w:val="18"/>
          <w:szCs w:val="18"/>
          <w:color w:val="auto"/>
        </w:rPr>
      </w:pPr>
    </w:p>
    <w:p>
      <w:pPr>
        <w:ind w:left="1420" w:right="80" w:hanging="436"/>
        <w:spacing w:after="0" w:line="258" w:lineRule="auto"/>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owed to any Person providing property, casualty, liability, or other insurance to the Credit Parties, including to finance insurance premiums, so long as the amount of such Debt is not in excess of the amount of the unpaid cost of, and shall be incurred only to defer the cost of, such insurance for the policy year in which such Debt is incurred and such Debt is outstanding only during such policy year;</w:t>
      </w:r>
    </w:p>
    <w:p>
      <w:pPr>
        <w:spacing w:after="0" w:line="86"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consisting of unsecured intercompany loans and advances incurred by (1) any Credit Party owing to any other Credit Party,</w:t>
      </w:r>
    </w:p>
    <w:p>
      <w:pPr>
        <w:spacing w:after="0" w:line="25" w:lineRule="exact"/>
        <w:rPr>
          <w:rFonts w:ascii="Times New Roman" w:cs="Times New Roman" w:eastAsia="Times New Roman" w:hAnsi="Times New Roman"/>
          <w:sz w:val="18"/>
          <w:szCs w:val="18"/>
          <w:color w:val="auto"/>
        </w:rPr>
      </w:pPr>
    </w:p>
    <w:p>
      <w:pPr>
        <w:ind w:left="1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any Credit Party owing to any Non-Credit Party Subsidiary, (3) any Non-Credit Party Subsidiary owing to any other Non-Credit Party Subsidiary, or (4) any Non-Credit Party Subsidiary owing to any Credit Party so long as such Debt constitutes a Permitted Investment of the applicable Credit Party pursuant to clause (i) of the definition of Permitted Investments and, 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Debt owed by a Credit Party shall, at the request of Agent, be subordinated to the payment in full of the Obligations pursuant to documentation in form and substance reasonably satisfactory to Agent;</w:t>
      </w:r>
    </w:p>
    <w:p>
      <w:pPr>
        <w:spacing w:after="0" w:line="93"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also constituting Debt (without duplication), Permitted Contingent Obligations;</w:t>
      </w:r>
    </w:p>
    <w:p>
      <w:pPr>
        <w:spacing w:after="0" w:line="127" w:lineRule="exact"/>
        <w:rPr>
          <w:rFonts w:ascii="Times New Roman" w:cs="Times New Roman" w:eastAsia="Times New Roman" w:hAnsi="Times New Roman"/>
          <w:sz w:val="18"/>
          <w:szCs w:val="18"/>
          <w:color w:val="auto"/>
        </w:rPr>
      </w:pPr>
    </w:p>
    <w:p>
      <w:pPr>
        <w:ind w:left="1420" w:right="380" w:hanging="436"/>
        <w:spacing w:after="0" w:line="278" w:lineRule="auto"/>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netting services, overdraft protections and other like services, in each case incurred in the Ordinary Course of Business;</w:t>
      </w:r>
    </w:p>
    <w:p>
      <w:pPr>
        <w:spacing w:after="0" w:line="68" w:lineRule="exact"/>
        <w:rPr>
          <w:rFonts w:ascii="Times New Roman" w:cs="Times New Roman" w:eastAsia="Times New Roman" w:hAnsi="Times New Roman"/>
          <w:sz w:val="18"/>
          <w:szCs w:val="18"/>
          <w:color w:val="auto"/>
        </w:rPr>
      </w:pPr>
    </w:p>
    <w:p>
      <w:pPr>
        <w:ind w:left="1420" w:right="80" w:hanging="436"/>
        <w:spacing w:after="0" w:line="255" w:lineRule="auto"/>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in an aggregate amount not to exceed Five Hundred Thousand Dollars ($500,000) at any time outstanding, in respect of credit cards, credit card processing services, debit cards, stored value cards, purchase cards (including so-called “procurement cards” or “P-cards”) or other similar cash management or merchant services, in each case, incurred in the Ordinary Course of Business;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such Debt is secured, it is secured solely by cash collateral held in a Credit Card Cash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and</w:t>
      </w:r>
    </w:p>
    <w:p>
      <w:pPr>
        <w:spacing w:after="0" w:line="90"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Debt not to exceed Five Hundred Thousand Dollars ($500,000) in the aggregate at any time outstanding.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61" w:name="page462"/>
    <w:bookmarkEnd w:id="461"/>
    <w:p>
      <w:pPr>
        <w:ind w:right="380"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Discretion</w:t>
      </w:r>
      <w:r>
        <w:rPr>
          <w:rFonts w:ascii="Times New Roman" w:cs="Times New Roman" w:eastAsia="Times New Roman" w:hAnsi="Times New Roman"/>
          <w:sz w:val="18"/>
          <w:szCs w:val="18"/>
          <w:color w:val="auto"/>
        </w:rPr>
        <w:t>” means a determination made in good faith and in the exercise of reasonable (from the perspective of a secured asset-based lender or a term loan lender, as applicable) business judgment.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Distributions</w:t>
      </w:r>
      <w:r>
        <w:rPr>
          <w:rFonts w:ascii="Times New Roman" w:cs="Times New Roman" w:eastAsia="Times New Roman" w:hAnsi="Times New Roman"/>
          <w:sz w:val="18"/>
          <w:szCs w:val="18"/>
          <w:color w:val="auto"/>
        </w:rPr>
        <w:t>” means the following Distributions:</w:t>
      </w:r>
    </w:p>
    <w:p>
      <w:pPr>
        <w:spacing w:after="0" w:line="131" w:lineRule="exact"/>
        <w:rPr>
          <w:sz w:val="20"/>
          <w:szCs w:val="20"/>
          <w:color w:val="auto"/>
        </w:rPr>
      </w:pPr>
    </w:p>
    <w:p>
      <w:pPr>
        <w:ind w:left="1420" w:hanging="436"/>
        <w:spacing w:after="0"/>
        <w:tabs>
          <w:tab w:leader="none" w:pos="14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by any Subsidiary of a Credit Party to a Credit Party;</w:t>
      </w:r>
    </w:p>
    <w:p>
      <w:pPr>
        <w:spacing w:after="0" w:line="127" w:lineRule="exact"/>
        <w:rPr>
          <w:rFonts w:ascii="Times New Roman" w:cs="Times New Roman" w:eastAsia="Times New Roman" w:hAnsi="Times New Roman"/>
          <w:sz w:val="18"/>
          <w:szCs w:val="18"/>
          <w:color w:val="auto"/>
        </w:rPr>
      </w:pPr>
    </w:p>
    <w:p>
      <w:pPr>
        <w:ind w:left="1420" w:right="320" w:hanging="436"/>
        <w:spacing w:after="0" w:line="278" w:lineRule="auto"/>
        <w:tabs>
          <w:tab w:leader="none" w:pos="14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solely in Equity Interests (other than Disqualified Equity Interests) so long as such dividends do not result in a Change in Control;</w:t>
      </w:r>
    </w:p>
    <w:p>
      <w:pPr>
        <w:spacing w:after="0" w:line="68" w:lineRule="exact"/>
        <w:rPr>
          <w:rFonts w:ascii="Times New Roman" w:cs="Times New Roman" w:eastAsia="Times New Roman" w:hAnsi="Times New Roman"/>
          <w:sz w:val="18"/>
          <w:szCs w:val="18"/>
          <w:color w:val="auto"/>
        </w:rPr>
      </w:pPr>
    </w:p>
    <w:p>
      <w:pPr>
        <w:ind w:left="1420" w:hanging="436"/>
        <w:spacing w:after="0" w:line="285" w:lineRule="auto"/>
        <w:tabs>
          <w:tab w:leader="none" w:pos="142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repurchases of stock of current or former employees, directors or consultants pursuant to stock purchase agreements so long as an Event of Default does not exist at the time of such repurchase and would not exist immediately after giving effect to such repurchase,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such repurchases do not exceed One Million Dollars ($1,000,000) in the aggregate per fiscal year; and</w:t>
      </w:r>
    </w:p>
    <w:p>
      <w:pPr>
        <w:spacing w:after="0" w:line="65" w:lineRule="exact"/>
        <w:rPr>
          <w:rFonts w:ascii="Times New Roman" w:cs="Times New Roman" w:eastAsia="Times New Roman" w:hAnsi="Times New Roman"/>
          <w:sz w:val="17"/>
          <w:szCs w:val="17"/>
          <w:color w:val="auto"/>
        </w:rPr>
      </w:pPr>
    </w:p>
    <w:p>
      <w:pPr>
        <w:ind w:left="1420" w:right="340" w:hanging="436"/>
        <w:spacing w:after="0" w:line="258" w:lineRule="auto"/>
        <w:tabs>
          <w:tab w:leader="none" w:pos="14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distributions of Equity Interests (other than Disqualified Equity Interests) upon the conversion or exchange of Equity Interests (including options and warrants) or Subordinated Debt, and repurchases of Equity Interests in connection with the exercise of warrants, stock options or stock appreciation by way of cashless exercises;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cash or Cash Equivalents are paid or otherwise transferred by Credit Parties in connection therewith; and</w:t>
      </w:r>
    </w:p>
    <w:p>
      <w:pPr>
        <w:spacing w:after="0" w:line="86" w:lineRule="exact"/>
        <w:rPr>
          <w:rFonts w:ascii="Times New Roman" w:cs="Times New Roman" w:eastAsia="Times New Roman" w:hAnsi="Times New Roman"/>
          <w:sz w:val="18"/>
          <w:szCs w:val="18"/>
          <w:color w:val="auto"/>
        </w:rPr>
      </w:pPr>
    </w:p>
    <w:p>
      <w:pPr>
        <w:ind w:left="1420" w:right="380" w:hanging="436"/>
        <w:spacing w:after="0" w:line="258" w:lineRule="auto"/>
        <w:tabs>
          <w:tab w:leader="none" w:pos="14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lieu of the issuance of fractional shares in connection with the exercise of warrants, options or other securities convertible into or exchangeable for capital stock, or in connection with dividends, share splits, reverse share splits (or any combination thereof) and other Investments permitted hereunder, in an aggregate maximum amount not to exceed One Hundred Thousand Dollars ($100,000) in any fiscal year.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420" w:right="600" w:hanging="436"/>
        <w:spacing w:after="0" w:line="278" w:lineRule="auto"/>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shown on </w:t>
      </w:r>
      <w:r>
        <w:rPr>
          <w:rFonts w:ascii="Times New Roman" w:cs="Times New Roman" w:eastAsia="Times New Roman" w:hAnsi="Times New Roman"/>
          <w:sz w:val="18"/>
          <w:szCs w:val="18"/>
          <w:u w:val="single" w:color="auto"/>
          <w:color w:val="auto"/>
        </w:rPr>
        <w:t>Schedule 5.7</w:t>
      </w:r>
      <w:r>
        <w:rPr>
          <w:rFonts w:ascii="Times New Roman" w:cs="Times New Roman" w:eastAsia="Times New Roman" w:hAnsi="Times New Roman"/>
          <w:sz w:val="18"/>
          <w:szCs w:val="18"/>
          <w:color w:val="auto"/>
        </w:rPr>
        <w:t xml:space="preserve"> and existing on the Closing Date and without giving effect to any additional advances or extensions or credit thereunder;</w:t>
      </w:r>
    </w:p>
    <w:p>
      <w:pPr>
        <w:spacing w:after="0" w:line="68" w:lineRule="exact"/>
        <w:rPr>
          <w:rFonts w:ascii="Times New Roman" w:cs="Times New Roman" w:eastAsia="Times New Roman" w:hAnsi="Times New Roman"/>
          <w:sz w:val="18"/>
          <w:szCs w:val="18"/>
          <w:color w:val="auto"/>
        </w:rPr>
      </w:pPr>
    </w:p>
    <w:p>
      <w:pPr>
        <w:ind w:left="1420" w:right="160" w:hanging="436"/>
        <w:spacing w:after="0" w:line="263" w:lineRule="auto"/>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the holding by a Person of cash and Cash Equivalents owned by such Person, and other Investments in accordance with the Borrower’s investment policy disclosed to Agent prior to, and as in effect on, the Closing Date, or as amended with the consent of the Agent in its reasonable discretion;</w:t>
      </w:r>
    </w:p>
    <w:p>
      <w:pPr>
        <w:spacing w:after="0" w:line="81" w:lineRule="exact"/>
        <w:rPr>
          <w:rFonts w:ascii="Times New Roman" w:cs="Times New Roman" w:eastAsia="Times New Roman" w:hAnsi="Times New Roman"/>
          <w:sz w:val="18"/>
          <w:szCs w:val="18"/>
          <w:color w:val="auto"/>
        </w:rPr>
      </w:pPr>
    </w:p>
    <w:p>
      <w:pPr>
        <w:ind w:left="1420" w:right="100" w:hanging="436"/>
        <w:spacing w:after="0" w:line="278" w:lineRule="auto"/>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Business;</w:t>
      </w:r>
    </w:p>
    <w:p>
      <w:pPr>
        <w:spacing w:after="0" w:line="68" w:lineRule="exact"/>
        <w:rPr>
          <w:rFonts w:ascii="Times New Roman" w:cs="Times New Roman" w:eastAsia="Times New Roman" w:hAnsi="Times New Roman"/>
          <w:sz w:val="18"/>
          <w:szCs w:val="18"/>
          <w:color w:val="auto"/>
        </w:rPr>
      </w:pPr>
    </w:p>
    <w:p>
      <w:pPr>
        <w:ind w:left="1420" w:right="40" w:hanging="436"/>
        <w:spacing w:after="0" w:line="253" w:lineRule="auto"/>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but the aggregate of all such loans and advances outstanding pursuant to this clause (d)(i) may not exceed One Hundred Thousand Dollars ($100,000) at any time and (ii) loans to employees, officers or directors relating to the purchase of equity securities of Borrowers or their Subsidiaries (other than Non-Credit Party Subsidiaries and PCs) pursuant to employee stock purchase plans or agreements approved by Borrowers’ Board of Directors (or other governing body) in the Ordinary Course of Business, but the aggregate of all such loans and advances outstanding pursuant to this clause (d)(ii) may not exceed Two Hundred Fifty Thousand Dollars ($250,000) at any time;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62" w:name="page463"/>
    <w:bookmarkEnd w:id="462"/>
    <w:p>
      <w:pPr>
        <w:ind w:left="1420" w:right="80" w:hanging="436"/>
        <w:spacing w:after="0" w:line="263" w:lineRule="auto"/>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81" w:lineRule="exact"/>
        <w:rPr>
          <w:rFonts w:ascii="Times New Roman" w:cs="Times New Roman" w:eastAsia="Times New Roman" w:hAnsi="Times New Roman"/>
          <w:sz w:val="18"/>
          <w:szCs w:val="18"/>
          <w:color w:val="auto"/>
        </w:rPr>
      </w:pPr>
    </w:p>
    <w:p>
      <w:pPr>
        <w:ind w:left="1420" w:right="20" w:hanging="436"/>
        <w:spacing w:after="0" w:line="263" w:lineRule="auto"/>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clause (f) shall not apply to Investments of any Credit Party in any Subsidiary;</w:t>
      </w:r>
    </w:p>
    <w:p>
      <w:pPr>
        <w:spacing w:after="0" w:line="81" w:lineRule="exact"/>
        <w:rPr>
          <w:rFonts w:ascii="Times New Roman" w:cs="Times New Roman" w:eastAsia="Times New Roman" w:hAnsi="Times New Roman"/>
          <w:sz w:val="18"/>
          <w:szCs w:val="18"/>
          <w:color w:val="auto"/>
        </w:rPr>
      </w:pPr>
    </w:p>
    <w:p>
      <w:pPr>
        <w:ind w:left="1420" w:right="260" w:hanging="436"/>
        <w:spacing w:after="0" w:line="278" w:lineRule="auto"/>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or Securities Accounts to the extent not otherwise prohibited pursuant to the terms of this Agreement;</w:t>
      </w:r>
    </w:p>
    <w:p>
      <w:pPr>
        <w:spacing w:after="0" w:line="68" w:lineRule="exact"/>
        <w:rPr>
          <w:rFonts w:ascii="Times New Roman" w:cs="Times New Roman" w:eastAsia="Times New Roman" w:hAnsi="Times New Roman"/>
          <w:sz w:val="18"/>
          <w:szCs w:val="18"/>
          <w:color w:val="auto"/>
        </w:rPr>
      </w:pPr>
    </w:p>
    <w:p>
      <w:pPr>
        <w:ind w:left="1420" w:hanging="436"/>
        <w:spacing w:after="0" w:line="277" w:lineRule="auto"/>
        <w:tabs>
          <w:tab w:leader="none" w:pos="142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(1) any Credit Party in any other Credit Party, (2) any Non-Credit Party Subsidiary in any other Non-Credit Party Subsidiary; and (3) any Non-Credit Party Subsidiary in any Borrower or Guarantor; provided that all obligations of the Credit Parties in connection with any Investment by a Non-Credit Party Subsidiary in any Credit Party (other than in the form of Equity Interests not constituting Disqualified Equity Interests) shall be subordinated to the Obligations pursuant to a Subordination Agreement;</w:t>
      </w:r>
    </w:p>
    <w:p>
      <w:pPr>
        <w:spacing w:after="0" w:line="73" w:lineRule="exact"/>
        <w:rPr>
          <w:rFonts w:ascii="Times New Roman" w:cs="Times New Roman" w:eastAsia="Times New Roman" w:hAnsi="Times New Roman"/>
          <w:sz w:val="17"/>
          <w:szCs w:val="17"/>
          <w:color w:val="auto"/>
        </w:rPr>
      </w:pPr>
    </w:p>
    <w:p>
      <w:pPr>
        <w:ind w:left="1420" w:right="80" w:hanging="436"/>
        <w:spacing w:after="0" w:line="253" w:lineRule="auto"/>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exists at the time of such Investment or after giving effect to such Investment, Investments of cash and Cash Equivalents by Credit Parties in a Non-Credit Party Subsidiary solely (x) for the payment of costs and expenses related to the winddown and dissolution of such Non-Credit Party Subsidiary and (y) to the extent that the aggregate amount of such Investments (including payments in respect of intercompany Debt or in connection with intercompany transfer pricing and cost-plus pricing arrangements) made with respect to all Non-Credit Party Subsidiaries does not, at any time, exceed $100,000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Investment be made pursuant to this clause (i) unless Credit Parties are in compliance with Section 5.19(a) before and after giving effect to such Investment;</w:t>
      </w:r>
    </w:p>
    <w:p>
      <w:pPr>
        <w:spacing w:after="0" w:line="90" w:lineRule="exact"/>
        <w:rPr>
          <w:rFonts w:ascii="Times New Roman" w:cs="Times New Roman" w:eastAsia="Times New Roman" w:hAnsi="Times New Roman"/>
          <w:sz w:val="18"/>
          <w:szCs w:val="18"/>
          <w:color w:val="auto"/>
        </w:rPr>
      </w:pPr>
    </w:p>
    <w:p>
      <w:pPr>
        <w:ind w:left="1420" w:hanging="436"/>
        <w:spacing w:after="0" w:line="278" w:lineRule="auto"/>
        <w:tabs>
          <w:tab w:leader="none" w:pos="142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of cash and Cash Equivalents in any PC pursuant to the Practice Entity Documents in the Ordinary Course of Business, including pursuant to that certain Loan Agreement dated as of January 1, 2022, by and between Parent and Physera Physical Therapy Group, PC (the “</w:t>
      </w:r>
      <w:r>
        <w:rPr>
          <w:rFonts w:ascii="Times New Roman" w:cs="Times New Roman" w:eastAsia="Times New Roman" w:hAnsi="Times New Roman"/>
          <w:sz w:val="17"/>
          <w:szCs w:val="17"/>
          <w:b w:val="1"/>
          <w:bCs w:val="1"/>
          <w:color w:val="auto"/>
        </w:rPr>
        <w:t>PPTG Loan Agreement</w:t>
      </w:r>
      <w:r>
        <w:rPr>
          <w:rFonts w:ascii="Times New Roman" w:cs="Times New Roman" w:eastAsia="Times New Roman" w:hAnsi="Times New Roman"/>
          <w:sz w:val="17"/>
          <w:szCs w:val="17"/>
          <w:color w:val="auto"/>
        </w:rPr>
        <w:t>”), but solely to the extent that the aggregate amount of such Investments made with respect to the PCs does not exceed an amount equal to Five Million Dollars ($5,000,000) at any time outstanding;</w:t>
      </w:r>
    </w:p>
    <w:p>
      <w:pPr>
        <w:spacing w:after="0" w:line="70" w:lineRule="exact"/>
        <w:rPr>
          <w:rFonts w:ascii="Times New Roman" w:cs="Times New Roman" w:eastAsia="Times New Roman" w:hAnsi="Times New Roman"/>
          <w:sz w:val="17"/>
          <w:szCs w:val="17"/>
          <w:color w:val="auto"/>
        </w:rPr>
      </w:pPr>
    </w:p>
    <w:p>
      <w:pPr>
        <w:ind w:left="1420" w:right="280" w:hanging="436"/>
        <w:spacing w:after="0" w:line="274" w:lineRule="auto"/>
        <w:tabs>
          <w:tab w:leader="none" w:pos="142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exists at the time of such Investment or after giving effect to such Investment, Investments of cash and Cash Equivalents in connection with the Acquisition of products or Intellectual Property through non-exclusive licensing of</w:t>
      </w:r>
    </w:p>
    <w:p>
      <w:pPr>
        <w:ind w:left="142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commercially available software programs generally available to the public, including “clickwrap,” “click to download,” “browse wrap,” or “shrinkwrap” or similar end-user licenses and (ii) other products and Intellectual Property in an aggregate amount not to exceed $500,000 in any twelve (12) month period;</w:t>
      </w:r>
    </w:p>
    <w:p>
      <w:pPr>
        <w:spacing w:after="0" w:line="91" w:lineRule="exact"/>
        <w:rPr>
          <w:rFonts w:ascii="Times New Roman" w:cs="Times New Roman" w:eastAsia="Times New Roman" w:hAnsi="Times New Roman"/>
          <w:sz w:val="17"/>
          <w:szCs w:val="17"/>
          <w:color w:val="auto"/>
        </w:rPr>
      </w:pPr>
    </w:p>
    <w:p>
      <w:pPr>
        <w:ind w:left="1420" w:hanging="436"/>
        <w:spacing w:after="0"/>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accepted in connection with Dispositions permitted by Section 5.6;</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7" w:right="499" w:bottom="1440" w:gutter="0" w:footer="0" w:header="0"/>
        </w:sectPr>
      </w:pPr>
    </w:p>
    <w:bookmarkStart w:id="463" w:name="page464"/>
    <w:bookmarkEnd w:id="463"/>
    <w:p>
      <w:pPr>
        <w:ind w:left="1420" w:right="340" w:hanging="436"/>
        <w:spacing w:after="0" w:line="278" w:lineRule="auto"/>
        <w:tabs>
          <w:tab w:leader="none" w:pos="14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Investments consisting of the creation of a Subsidiary solely for the purpose of consummating a merger transaction permitted by Section 5.6 and subject to the requirements of this Agreement, including Section 4.11(d);</w:t>
      </w:r>
    </w:p>
    <w:p>
      <w:pPr>
        <w:spacing w:after="0" w:line="68"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Permitted Licenses;</w:t>
      </w:r>
    </w:p>
    <w:p>
      <w:pPr>
        <w:spacing w:after="0" w:line="127" w:lineRule="exact"/>
        <w:rPr>
          <w:rFonts w:ascii="Times New Roman" w:cs="Times New Roman" w:eastAsia="Times New Roman" w:hAnsi="Times New Roman"/>
          <w:sz w:val="18"/>
          <w:szCs w:val="18"/>
          <w:color w:val="auto"/>
        </w:rPr>
      </w:pPr>
    </w:p>
    <w:p>
      <w:pPr>
        <w:ind w:left="1420" w:right="100" w:hanging="436"/>
        <w:spacing w:after="0" w:line="278" w:lineRule="auto"/>
        <w:tabs>
          <w:tab w:leader="none" w:pos="14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prepaid expenses, utility and workers’ compensation, performance and other similar deposits, each as entered into in the Ordinary Course of Business;</w:t>
      </w:r>
    </w:p>
    <w:p>
      <w:pPr>
        <w:spacing w:after="0" w:line="68" w:lineRule="exact"/>
        <w:rPr>
          <w:rFonts w:ascii="Times New Roman" w:cs="Times New Roman" w:eastAsia="Times New Roman" w:hAnsi="Times New Roman"/>
          <w:sz w:val="18"/>
          <w:szCs w:val="18"/>
          <w:color w:val="auto"/>
        </w:rPr>
      </w:pPr>
    </w:p>
    <w:p>
      <w:pPr>
        <w:ind w:left="1420" w:right="80" w:hanging="436"/>
        <w:spacing w:after="0" w:line="258" w:lineRule="auto"/>
        <w:tabs>
          <w:tab w:leader="none" w:pos="14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exists at the time of such Investment or after giving effect to such Investment, Investments of cash or Cash Equivalents in joint ventures or strategic alliances related to or ancillary to the business currently conducted by the Credit Parties, provided that any such cash Investments by a Credit Party under this clause (o) do not exceed Five Hundred Thousand Dollars ($500,000) in the aggregate in any twelve (12) month period; and</w:t>
      </w:r>
    </w:p>
    <w:p>
      <w:pPr>
        <w:spacing w:after="0" w:line="86" w:lineRule="exact"/>
        <w:rPr>
          <w:rFonts w:ascii="Times New Roman" w:cs="Times New Roman" w:eastAsia="Times New Roman" w:hAnsi="Times New Roman"/>
          <w:sz w:val="18"/>
          <w:szCs w:val="18"/>
          <w:color w:val="auto"/>
        </w:rPr>
      </w:pPr>
    </w:p>
    <w:p>
      <w:pPr>
        <w:ind w:left="1420" w:right="220" w:hanging="436"/>
        <w:spacing w:after="0" w:line="263" w:lineRule="auto"/>
        <w:tabs>
          <w:tab w:leader="none" w:pos="14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exists at the time of such Investment or after giving effect to such Investment, other Investments of cash and Cash Equivalents in an amount not exceeding Five Hundred Thousand Dollars ($500,000) in the aggregate at any time outstanding.</w:t>
      </w:r>
    </w:p>
    <w:p>
      <w:pPr>
        <w:spacing w:after="0" w:line="171" w:lineRule="exact"/>
        <w:rPr>
          <w:sz w:val="20"/>
          <w:szCs w:val="20"/>
          <w:color w:val="auto"/>
        </w:rPr>
      </w:pPr>
    </w:p>
    <w:p>
      <w:pPr>
        <w:ind w:right="6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w:t>
      </w:r>
      <w:r>
        <w:rPr>
          <w:rFonts w:ascii="Times New Roman" w:cs="Times New Roman" w:eastAsia="Times New Roman" w:hAnsi="Times New Roman"/>
          <w:sz w:val="18"/>
          <w:szCs w:val="18"/>
          <w:color w:val="auto"/>
        </w:rPr>
        <w:t>” means any non-exclusive license or sublicense of discrete Intellectual Property rights of Credit Parties or their Subsidiaries, so long as, in each case (i) all such licenses or sublicenses are granted to third parties in the Ordinary Course of Business, (ii) all such licenses or sublicenses do not result in a legal transfer of title to the licensed property, (iii) all such licenses or sublicenses have been granted in exchange for fair consideration on commercially reasonable terms, and (iv) no Event of Default has occurred and is continuing or would result from the granting of such license or sublicense.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420" w:hanging="436"/>
        <w:spacing w:after="0" w:line="263" w:lineRule="auto"/>
        <w:tabs>
          <w:tab w:leader="none" w:pos="14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of cash arising in the Ordinary Course of Business to secure obligations under workmen’s compensation, social security or similar laws, or under unemployment insurance (but excluding Liens arising under ERISA or, with respect to any Pension Plan or Multiemployer Plan, the Code) pertaining to a Credit Party’s or its Subsidiary’s employees, if any;</w:t>
      </w:r>
    </w:p>
    <w:p>
      <w:pPr>
        <w:spacing w:after="0" w:line="81" w:lineRule="exact"/>
        <w:rPr>
          <w:rFonts w:ascii="Times New Roman" w:cs="Times New Roman" w:eastAsia="Times New Roman" w:hAnsi="Times New Roman"/>
          <w:sz w:val="18"/>
          <w:szCs w:val="18"/>
          <w:color w:val="auto"/>
        </w:rPr>
      </w:pPr>
    </w:p>
    <w:p>
      <w:pPr>
        <w:jc w:val="both"/>
        <w:ind w:left="1420" w:right="180" w:hanging="436"/>
        <w:spacing w:after="0" w:line="263" w:lineRule="auto"/>
        <w:tabs>
          <w:tab w:leader="none" w:pos="14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of cash and Cash Equivalents in the Ordinary Course of Business to secure, without duplication, (i) leases and other obligations of like nature in respect of real property arising in the Ordinary Course of Business and (ii) Permitted Contingent Obligations described in clauses (d) and (h) of the definition thereof;</w:t>
      </w:r>
    </w:p>
    <w:p>
      <w:pPr>
        <w:spacing w:after="0" w:line="81" w:lineRule="exact"/>
        <w:rPr>
          <w:rFonts w:ascii="Times New Roman" w:cs="Times New Roman" w:eastAsia="Times New Roman" w:hAnsi="Times New Roman"/>
          <w:sz w:val="18"/>
          <w:szCs w:val="18"/>
          <w:color w:val="auto"/>
        </w:rPr>
      </w:pPr>
    </w:p>
    <w:p>
      <w:pPr>
        <w:ind w:left="1420" w:hanging="436"/>
        <w:spacing w:after="0" w:line="308" w:lineRule="auto"/>
        <w:tabs>
          <w:tab w:leader="none" w:pos="142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carrier’s, warehousemen’s, mechanic’s, workmen’s, landlord’s materialmen’s or other like Liens on Collateral arising in the Ordinary Course of Business with respect to obligations which are not due, or which are being contested pursuant to a Permitted Contest;</w:t>
      </w:r>
    </w:p>
    <w:p>
      <w:pPr>
        <w:spacing w:after="0" w:line="46" w:lineRule="exact"/>
        <w:rPr>
          <w:rFonts w:ascii="Times New Roman" w:cs="Times New Roman" w:eastAsia="Times New Roman" w:hAnsi="Times New Roman"/>
          <w:sz w:val="17"/>
          <w:szCs w:val="17"/>
          <w:color w:val="auto"/>
        </w:rPr>
      </w:pPr>
    </w:p>
    <w:p>
      <w:pPr>
        <w:ind w:left="1420" w:hanging="436"/>
        <w:spacing w:after="0"/>
        <w:tabs>
          <w:tab w:leader="none" w:pos="14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or other governmental charges that are (x) not at the time delinquent and are thereafter payable without penalty or</w:t>
      </w:r>
    </w:p>
    <w:p>
      <w:pPr>
        <w:spacing w:after="0" w:line="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subject of a Permitted Contest;</w:t>
      </w:r>
    </w:p>
    <w:p>
      <w:pPr>
        <w:spacing w:after="0" w:line="108"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any PC to a Credit Party;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7" w:right="519" w:bottom="1440" w:gutter="0" w:footer="0" w:header="0"/>
        </w:sectPr>
      </w:pPr>
    </w:p>
    <w:bookmarkStart w:id="464" w:name="page465"/>
    <w:bookmarkEnd w:id="464"/>
    <w:p>
      <w:pPr>
        <w:ind w:left="1420" w:right="40" w:hanging="436"/>
        <w:spacing w:after="0" w:line="253"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Liens 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Credit Parties’ ability to pay the Obligations in a timely manner or impair the use of the Collateral or the ordinary conduct of the business of any Credit Party or any Subsidiary and which, in the case of any real estate that is part of the Collateral, are set forth as exceptions to or subordinate matters in the title insurance policy accepted by Agent insuring the lien of the Security Documents;</w:t>
      </w:r>
    </w:p>
    <w:p>
      <w:pPr>
        <w:spacing w:after="0" w:line="90"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encumbrances in favor of Agent under the Financing Documents;</w:t>
      </w:r>
    </w:p>
    <w:p>
      <w:pPr>
        <w:spacing w:after="0" w:line="127" w:lineRule="exact"/>
        <w:rPr>
          <w:rFonts w:ascii="Times New Roman" w:cs="Times New Roman" w:eastAsia="Times New Roman" w:hAnsi="Times New Roman"/>
          <w:sz w:val="18"/>
          <w:szCs w:val="18"/>
          <w:color w:val="auto"/>
        </w:rPr>
      </w:pPr>
    </w:p>
    <w:p>
      <w:pPr>
        <w:ind w:left="1420" w:right="240" w:hanging="436"/>
        <w:spacing w:after="0" w:line="278"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other than on Collateral that is part of the Borrowing Base, existing on the date hereof and set forth on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xml:space="preserve"> on the Closing Date and Liens granted in a Permitted Refinancing of the obligations or liabilities secured by such Liens;</w:t>
      </w:r>
    </w:p>
    <w:p>
      <w:pPr>
        <w:spacing w:after="0" w:line="68" w:lineRule="exact"/>
        <w:rPr>
          <w:rFonts w:ascii="Times New Roman" w:cs="Times New Roman" w:eastAsia="Times New Roman" w:hAnsi="Times New Roman"/>
          <w:sz w:val="18"/>
          <w:szCs w:val="18"/>
          <w:color w:val="auto"/>
        </w:rPr>
      </w:pPr>
    </w:p>
    <w:p>
      <w:pPr>
        <w:ind w:left="1420" w:right="20" w:hanging="436"/>
        <w:spacing w:after="0" w:line="263"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property (including the proceeds thereof) financed by and securing Debt permitted under clause (c) of the definition of Permitted Debt; provided, however, that such Lien attaches concurrently with or within thirty (30) days after the incurrence thereof and Liens incurred in a Permitted Refinancing of such Debt secured by such Liens;</w:t>
      </w:r>
    </w:p>
    <w:p>
      <w:pPr>
        <w:spacing w:after="0" w:line="81"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Lien, the granting of a Permitted License;</w:t>
      </w:r>
    </w:p>
    <w:p>
      <w:pPr>
        <w:spacing w:after="0" w:line="127" w:lineRule="exact"/>
        <w:rPr>
          <w:rFonts w:ascii="Times New Roman" w:cs="Times New Roman" w:eastAsia="Times New Roman" w:hAnsi="Times New Roman"/>
          <w:sz w:val="18"/>
          <w:szCs w:val="18"/>
          <w:color w:val="auto"/>
        </w:rPr>
      </w:pPr>
    </w:p>
    <w:p>
      <w:pPr>
        <w:ind w:left="1420" w:right="880" w:hanging="436"/>
        <w:spacing w:after="0" w:line="278"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or consignments of personal property entered into the Ordinary Course of Business;</w:t>
      </w:r>
    </w:p>
    <w:p>
      <w:pPr>
        <w:spacing w:after="0" w:line="68" w:lineRule="exact"/>
        <w:rPr>
          <w:rFonts w:ascii="Times New Roman" w:cs="Times New Roman" w:eastAsia="Times New Roman" w:hAnsi="Times New Roman"/>
          <w:sz w:val="18"/>
          <w:szCs w:val="18"/>
          <w:color w:val="auto"/>
        </w:rPr>
      </w:pPr>
    </w:p>
    <w:p>
      <w:pPr>
        <w:ind w:left="1420" w:right="280" w:hanging="436"/>
        <w:spacing w:after="0" w:line="278"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unearned portion of insurance premiums securing the financing of insurance premiums to the extent the financing is permitted clause (f) of the definition of Permitted Debt;</w:t>
      </w:r>
    </w:p>
    <w:p>
      <w:pPr>
        <w:spacing w:after="0" w:line="68" w:lineRule="exact"/>
        <w:rPr>
          <w:rFonts w:ascii="Times New Roman" w:cs="Times New Roman" w:eastAsia="Times New Roman" w:hAnsi="Times New Roman"/>
          <w:sz w:val="18"/>
          <w:szCs w:val="18"/>
          <w:color w:val="auto"/>
        </w:rPr>
      </w:pPr>
    </w:p>
    <w:p>
      <w:pPr>
        <w:ind w:left="1420" w:hanging="436"/>
        <w:spacing w:after="0" w:line="263"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rights of set-off, bankers’ liens or similar non-consensual Liens relating to Deposit Accounts or Securities Accounts in favor of banks, other depositary institutions and securities intermediaries solely to secure payment of fees and similar costs and expenses and arising in the Ordinary Course of Business</w:t>
      </w:r>
    </w:p>
    <w:p>
      <w:pPr>
        <w:spacing w:after="0" w:line="81"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Business;</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27" w:lineRule="exact"/>
        <w:rPr>
          <w:rFonts w:ascii="Times New Roman" w:cs="Times New Roman" w:eastAsia="Times New Roman" w:hAnsi="Times New Roman"/>
          <w:sz w:val="18"/>
          <w:szCs w:val="18"/>
          <w:color w:val="auto"/>
        </w:rPr>
      </w:pPr>
    </w:p>
    <w:p>
      <w:pPr>
        <w:ind w:left="1420" w:right="40" w:hanging="436"/>
        <w:spacing w:after="0" w:line="278"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in respect of the Credit Card Cash Collateral Accounts and amounts deposited therein to the extent securing obligations permitted pursuant to clause (k) of the definition of Permitted Debt;</w:t>
      </w:r>
    </w:p>
    <w:p>
      <w:pPr>
        <w:spacing w:after="0" w:line="68"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27" w:lineRule="exact"/>
        <w:rPr>
          <w:rFonts w:ascii="Times New Roman" w:cs="Times New Roman" w:eastAsia="Times New Roman" w:hAnsi="Times New Roman"/>
          <w:sz w:val="18"/>
          <w:szCs w:val="18"/>
          <w:color w:val="auto"/>
        </w:rPr>
      </w:pPr>
    </w:p>
    <w:p>
      <w:pPr>
        <w:ind w:left="1420" w:right="40" w:hanging="436"/>
        <w:spacing w:after="0" w:line="278"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65" w:name="page466"/>
    <w:bookmarkEnd w:id="465"/>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Modifications</w:t>
      </w:r>
      <w:r>
        <w:rPr>
          <w:rFonts w:ascii="Times New Roman" w:cs="Times New Roman" w:eastAsia="Times New Roman" w:hAnsi="Times New Roman"/>
          <w:sz w:val="18"/>
          <w:szCs w:val="18"/>
          <w:color w:val="auto"/>
        </w:rPr>
        <w:t>” means (a) such amendments or other modifications to a Borrower’s or Subsidiary’s Organizational Documents as are required under this Agreement or by applicable Law and fully disclosed to Agent within thirty (30) days after such amendments or modifications have become effective, and (b) such amendments or modifications to a Borrower’s or Subsidiary’s Organizational Documents (other than those involving a change in the name of a Borrower or Subsidiary or involving a reorganization of a Borrower or Subsidiary under the laws of a different jurisdiction) that would not materially and adversely affect the rights and interests of Agent or Lenders in their capacities as such, taken as a whole and fully disclosed to Agent within thirty (30) days after such amendments or modifications have become effective.</w:t>
      </w:r>
    </w:p>
    <w:p>
      <w:pPr>
        <w:spacing w:after="0" w:line="178"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means Debt constituting a refinancing, extension or renewal of Debt; provided that the refinanced, extended, or renewed Debt (a) has an aggregate outstanding principal amount not greater than the aggregate principal amount of the Debt being refinanced or extended (plus any reasonable and customary interest, fees, premiums and costs and expenses)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 (e) the obligors of which are the same as the obligors of the Debt being refinanced or extended, (f) is otherwise on terms not materially less favorable to Credit Parties and their Subsidiaries, taken as a whole, than those of the Debt being refinanced or extended, and (g) no Event of Default has occurred and is continuing at the time such refinancing, extension or renewal occurs or would result therefrom.</w:t>
      </w:r>
    </w:p>
    <w:p>
      <w:pPr>
        <w:spacing w:after="0" w:line="180"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7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xml:space="preserve">” means that certain Pledge Agreement,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executed by certain Credit Parties in favor of Agent, for the benefit of Lenders, as amended, restated, or otherwise modified from time to time.</w:t>
      </w:r>
    </w:p>
    <w:p>
      <w:pPr>
        <w:spacing w:after="0" w:line="156"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Practice Entity Document</w:t>
      </w:r>
      <w:r>
        <w:rPr>
          <w:rFonts w:ascii="Times New Roman" w:cs="Times New Roman" w:eastAsia="Times New Roman" w:hAnsi="Times New Roman"/>
          <w:sz w:val="18"/>
          <w:szCs w:val="18"/>
          <w:color w:val="auto"/>
        </w:rPr>
        <w:t>” means (a) that certain Management Services Agreement, dated as of January 1, 2022, with the Physera Physical Therapy Group, P.C., (b) the PPTG Loan Agreement and each promissory note issued in respect thereof, (c) each other loan agreement, promissory note, security agreement, pledge or other agreement evidencing any loans or extensions of credit by any Credit Party or a Subsidiary thereof to a PC or any Liens or security interests granted by the PC in respect thereof (each, a “</w:t>
      </w:r>
      <w:r>
        <w:rPr>
          <w:rFonts w:ascii="Times New Roman" w:cs="Times New Roman" w:eastAsia="Times New Roman" w:hAnsi="Times New Roman"/>
          <w:sz w:val="18"/>
          <w:szCs w:val="18"/>
          <w:b w:val="1"/>
          <w:bCs w:val="1"/>
          <w:color w:val="auto"/>
        </w:rPr>
        <w:t>PC Loan Agreement</w:t>
      </w:r>
      <w:r>
        <w:rPr>
          <w:rFonts w:ascii="Times New Roman" w:cs="Times New Roman" w:eastAsia="Times New Roman" w:hAnsi="Times New Roman"/>
          <w:sz w:val="18"/>
          <w:szCs w:val="18"/>
          <w:color w:val="auto"/>
        </w:rPr>
        <w:t>”), (d) each HIPAA business associate agreement and each other management, administrative service, business continuity or similar agreement between a Credit Party or Subsidiary thereof and a PC, and (e) each other business services agreement, management services agreement, or administrative services agreement (or similar such agreement) (each a “</w:t>
      </w:r>
      <w:r>
        <w:rPr>
          <w:rFonts w:ascii="Times New Roman" w:cs="Times New Roman" w:eastAsia="Times New Roman" w:hAnsi="Times New Roman"/>
          <w:sz w:val="18"/>
          <w:szCs w:val="18"/>
          <w:b w:val="1"/>
          <w:bCs w:val="1"/>
          <w:color w:val="auto"/>
        </w:rPr>
        <w:t>PC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as applicable, between a Credit Party or Subsidiary thereof and a PC entered into in the future pursuant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Party or Subsidiary provides management or support services to a PC;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PC Management Agreement for any PC shall require that such PC periodically distribute excess cash to one or more Credit Parties, and (ii) one or more of the Practice Entity Documents for each PC shall provide for a Lien granted in favor of a Credit Party with respect to substantially all assets of the applicable PC, to the extent permitted by applicable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has the meaning set forth in Section 2.2(h).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66" w:name="page467"/>
    <w:bookmarkEnd w:id="466"/>
    <w:p>
      <w:pPr>
        <w:jc w:val="both"/>
        <w:ind w:right="40" w:firstLine="436"/>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Pro Rata Share</w:t>
      </w:r>
      <w:r>
        <w:rPr>
          <w:rFonts w:ascii="Times New Roman" w:cs="Times New Roman" w:eastAsia="Times New Roman" w:hAnsi="Times New Roman"/>
          <w:sz w:val="17"/>
          <w:szCs w:val="17"/>
          <w:color w:val="auto"/>
        </w:rPr>
        <w:t xml:space="preserve">” means (a) with respect to a Lender’s obligation to make advances in respect of a Term Loan Tranche 1 and such Lender’s right to receive payments of principal, interest and fees with respect to the Term Loan Tranche 1, the Term Loan Tranche 1 Commitment Percentage of such Lender;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Term Loan Tranche 1 Commitment has been reduced to zero, the numerator shall be the aggregate unpaid principal amount of such Lender’s portion of the Term Loan Tranche 1 and the denominator shall be the aggregate unpaid principal amount of the Term Loan Tranche 1,</w:t>
      </w:r>
    </w:p>
    <w:p>
      <w:pPr>
        <w:spacing w:after="0" w:line="2" w:lineRule="exact"/>
        <w:rPr>
          <w:sz w:val="20"/>
          <w:szCs w:val="20"/>
          <w:color w:val="auto"/>
        </w:rPr>
      </w:pPr>
    </w:p>
    <w:p>
      <w:pPr>
        <w:ind w:right="20" w:firstLine="7"/>
        <w:spacing w:after="0" w:line="248" w:lineRule="auto"/>
        <w:tabs>
          <w:tab w:leader="none" w:pos="2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Lender’s obligation to make advances in respect of a Term Loan Tranche 2 and such Lender’s right to receive payments of principal, interest and fees with respect to the Term Loan Tranche 2, the Term Loan Tranche 2 Commitment Percentage of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Term Loan Tranche 2 Commitment has been reduced to zero, the numerator shall be the aggregate unpaid principal amount of such Lender’s portion of the Term Loan Tranche 2 and the denominator shall be the aggregate unpaid principal amount of the Term Loan Tranche 2, (c) with respect to a Lender’s obligation to make Revolving Loans, and such Lender’s right to receive any fee payable to or for the benefit of the Revolving Lenders, the Revolving Loan Commitment Percentage of such Lender, (d) with respect to a Lender’s right to receive payments of principal and interest with respect to Revolving Loans, such Lender’s Revolving Loan Exposure with respect thereto, and (e) for all other purposes (including, without limitation, the indemnification obligations arising under Section 11.6) with respect to any Lender, the percentage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(i) the sum of the Revolving Loan Commitment Amount (or, in the event the Revolving Loan Commitment shall have been reduced to zero, such Lender’s then existing Revolving Loan Outstandings), the then remaining Term Loan Commitment Amount, and the then outstanding principal advances under the Term Loan of such Lender,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sum of the Revolving Loan Commitment (or, in the event the Revolving Loan Commitment shall have been reduced to zero, the then existing Revolving Loan Outstandings), the then remaining Term Loan Commitment, and the then outstanding principal advances under the Term Loans of all Lenders.</w:t>
      </w:r>
    </w:p>
    <w:p>
      <w:pPr>
        <w:spacing w:after="0" w:line="192"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suit, formal charge, complaint, action or hearing, whether judicial or administrative, before any Governmental Authority or arbitrator.</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means “proceeds” (as defined in Article 9 of the UCC).</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means the digital health solutions sold or developed by any Credit Party or any of its Subsidiaries.</w:t>
      </w:r>
    </w:p>
    <w:p>
      <w:pPr>
        <w:spacing w:after="0" w:line="221" w:lineRule="exact"/>
        <w:rPr>
          <w:sz w:val="20"/>
          <w:szCs w:val="20"/>
          <w:color w:val="auto"/>
        </w:rPr>
      </w:pPr>
    </w:p>
    <w:p>
      <w:pPr>
        <w:jc w:val="both"/>
        <w:ind w:right="20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Protective Advance</w:t>
      </w:r>
      <w:r>
        <w:rPr>
          <w:rFonts w:ascii="Times New Roman" w:cs="Times New Roman" w:eastAsia="Times New Roman" w:hAnsi="Times New Roman"/>
          <w:sz w:val="17"/>
          <w:szCs w:val="17"/>
          <w:color w:val="auto"/>
        </w:rPr>
        <w:t>” means all sums expended by Agent in accordance with the provisions of Section 10.4 to (a) protect the priority, validity and enforceability of any lien on, and security interests in, any Collateral and the instruments evidencing and securing the Obligations, (b) prevent the value of any Collateral from being diminished, or (c) protect any of the Collateral from being materially damaged, impaired, mismanaged or taken.</w:t>
      </w:r>
    </w:p>
    <w:p>
      <w:pPr>
        <w:spacing w:after="0" w:line="152"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means approximately a time substantially consistent with market practice two (2) SOFR Business Days prior to the first day of 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provided that such first preceding SOFR Business Day is not more than three (3) SOFR Business Days prior to such interest lookback day.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set forth in Section 11.17(a)(iii).</w:t>
      </w:r>
    </w:p>
    <w:p>
      <w:pPr>
        <w:spacing w:after="0" w:line="221"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Intellectual Property</w:t>
      </w:r>
      <w:r>
        <w:rPr>
          <w:rFonts w:ascii="Times New Roman" w:cs="Times New Roman" w:eastAsia="Times New Roman" w:hAnsi="Times New Roman"/>
          <w:sz w:val="18"/>
          <w:szCs w:val="18"/>
          <w:color w:val="auto"/>
        </w:rPr>
        <w:t>” means any patent, registered trademark or servicemark, registered copyright, registered mask work, or any pending application for any of the foregoing.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467" w:name="page468"/>
    <w:bookmarkEnd w:id="4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Regulatory Reporting Event</w:t>
      </w:r>
      <w:r>
        <w:rPr>
          <w:rFonts w:ascii="Times New Roman" w:cs="Times New Roman" w:eastAsia="Times New Roman" w:hAnsi="Times New Roman"/>
          <w:sz w:val="18"/>
          <w:szCs w:val="18"/>
          <w:color w:val="auto"/>
        </w:rPr>
        <w:t>” has the meaning set forth in Section 4.1(k).</w:t>
      </w:r>
    </w:p>
    <w:p>
      <w:pPr>
        <w:spacing w:after="0" w:line="221" w:lineRule="exact"/>
        <w:rPr>
          <w:sz w:val="20"/>
          <w:szCs w:val="20"/>
          <w:color w:val="auto"/>
        </w:rPr>
      </w:pPr>
    </w:p>
    <w:p>
      <w:pPr>
        <w:ind w:right="3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has the meaning set forth in Section 11.17(c).</w:t>
      </w:r>
    </w:p>
    <w:p>
      <w:pPr>
        <w:spacing w:after="0" w:line="221"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at any time Lenders holding (a) of more than fifty percent (50%) the sum of the Revolving Loan Commitments, the remaining Term Loan Commitments, and the then outstanding principal advances under the Term Loans (taken as a whole) or (b) if the Revolving Loan Commitments has been reduced to zero, more than fifty percent (50%) of the sum of the then aggregate outstanding principal balance of the Revolving Loans, the remaining Term Loan Commitments, and the then outstanding principal advances under the Term Loans (taken as a whole)</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60" w:firstLine="436"/>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Reserves</w:t>
      </w:r>
      <w:r>
        <w:rPr>
          <w:rFonts w:ascii="Times New Roman" w:cs="Times New Roman" w:eastAsia="Times New Roman" w:hAnsi="Times New Roman"/>
          <w:sz w:val="17"/>
          <w:szCs w:val="17"/>
          <w:color w:val="auto"/>
        </w:rPr>
        <w:t>” means, Landlord Reserves and such other reserves as the Agent from time to time determines in its Permitted Discretion as being appropriate (a) to reflect the impediments to the Agent’s ability to realize upon the Collateral included in the Borrowing Base, (b) to reflect claims and liabilities that will need to be satisfied in connection with the realization upon the Collateral included in the Borrowing Base or (c) to reflect criteria, events, conditions, contingencies or risks which adversely affect (i) any component of the Borrowing Base, the Collateral or the validity or enforceability of this Agreement or the other Financing Documents or any material remedies of Agent or Lenders hereunder or thereunder or (ii) the assets, business or financial condition of any Credit Party, including without limitation, reserves for consignee’s, warehousemen’s and bailee’s charges.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1"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any of the President, Chief Executive Officer, Chief Financial Officer or any other officer of the applicable Credit Party reasonably acceptable to Agent.</w:t>
      </w:r>
    </w:p>
    <w:p>
      <w:pPr>
        <w:spacing w:after="0" w:line="156"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Foreign Subsidiary</w:t>
      </w:r>
      <w:r>
        <w:rPr>
          <w:rFonts w:ascii="Times New Roman" w:cs="Times New Roman" w:eastAsia="Times New Roman" w:hAnsi="Times New Roman"/>
          <w:sz w:val="18"/>
          <w:szCs w:val="18"/>
          <w:color w:val="auto"/>
        </w:rPr>
        <w:t xml:space="preserve">” means (a) Omada Health UK Ltd., a limited liability company incorporated under the laws of England and Wales, and (b) any Foreign Subsidiary or FSHCO;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Person who becomes a Credit Party pursuant to the requirements set forth in Section 4.11(e) shall be deemed to be a Restricted Foreign Subsidiary.</w:t>
      </w:r>
    </w:p>
    <w:p>
      <w:pPr>
        <w:spacing w:after="0" w:line="170"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each Lender having a Revolving Loan Commitment Amount in excess of Zero Dollars ($0) (or, in the event the Revolving Loan Commitment shall have been terminated at any time, each Lender at such time having Revolving Loan Outstandings in excess of Zero Dollars ($0)).</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Account</w:t>
      </w:r>
      <w:r>
        <w:rPr>
          <w:rFonts w:ascii="Times New Roman" w:cs="Times New Roman" w:eastAsia="Times New Roman" w:hAnsi="Times New Roman"/>
          <w:sz w:val="18"/>
          <w:szCs w:val="18"/>
          <w:color w:val="auto"/>
        </w:rPr>
        <w:t>” has the meaning set forth in Section 2.6(b).</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Availability</w:t>
      </w:r>
      <w:r>
        <w:rPr>
          <w:rFonts w:ascii="Times New Roman" w:cs="Times New Roman" w:eastAsia="Times New Roman" w:hAnsi="Times New Roman"/>
          <w:sz w:val="18"/>
          <w:szCs w:val="18"/>
          <w:color w:val="auto"/>
        </w:rPr>
        <w:t>” means, at any time, the Revolving Loan Limit minus the Revolving Loan Outstandings.</w:t>
      </w:r>
    </w:p>
    <w:p>
      <w:pPr>
        <w:spacing w:after="0" w:line="221"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Commitment</w:t>
      </w:r>
      <w:r>
        <w:rPr>
          <w:rFonts w:ascii="Times New Roman" w:cs="Times New Roman" w:eastAsia="Times New Roman" w:hAnsi="Times New Roman"/>
          <w:sz w:val="18"/>
          <w:szCs w:val="18"/>
          <w:color w:val="auto"/>
        </w:rPr>
        <w:t>” means, as of any date of determination, the aggregate Revolving Loan Commitment Amounts of all Lenders as of such date.</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40"/>
          </w:cols>
          <w:pgMar w:left="480" w:top="264" w:right="579" w:bottom="1440" w:gutter="0" w:footer="0" w:header="0"/>
        </w:sectPr>
      </w:pPr>
    </w:p>
    <w:bookmarkStart w:id="468" w:name="page469"/>
    <w:bookmarkEnd w:id="468"/>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Revolving Loan Commitment Amount</w:t>
      </w:r>
      <w:r>
        <w:rPr>
          <w:rFonts w:ascii="Times New Roman" w:cs="Times New Roman" w:eastAsia="Times New Roman" w:hAnsi="Times New Roman"/>
          <w:sz w:val="18"/>
          <w:szCs w:val="18"/>
          <w:color w:val="auto"/>
        </w:rPr>
        <w:t>” means, as to any Lender, the dollar amount set forth opposite such Lender’s name on the Commitment Annex under the column “Revolving Loan Commitment Amount” (if such Lender’s name is not so set forth thereon, then the dollar amount on the Commitment Annex for the Revolving Loan Commitment Amount for such Lender shall be deemed to be Zero Dollars ($0)), as such amount may be adjusted from time to time by any amounts assigned (with respect to such Lender’s portion of Revolving Loans outstanding and its commitment to make Revolving Loans) pursuant to the terms of any and all effective Assignment Agreements to which such Lender is a party. For the avoidance of doubt, the aggregate Revolving Loan Commitment Amount of all Lenders on the Closing Date shall be $20,000,000.</w:t>
      </w:r>
    </w:p>
    <w:p>
      <w:pPr>
        <w:spacing w:after="0" w:line="178"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Commitment Percentage</w:t>
      </w:r>
      <w:r>
        <w:rPr>
          <w:rFonts w:ascii="Times New Roman" w:cs="Times New Roman" w:eastAsia="Times New Roman" w:hAnsi="Times New Roman"/>
          <w:sz w:val="18"/>
          <w:szCs w:val="18"/>
          <w:color w:val="auto"/>
        </w:rPr>
        <w:t xml:space="preserve">” means, as to any Lender, (a) on the Closing Date, the percentage set forth opposite such Lender’s name on the Commitment Annex under the column “Revolving Loan Commitment Percentage” (if such Lender’s name is not so set forth thereon, then, on the Closing Date, such percentage for such Lender shall be deemed to be zero), and (b) on any date following the Closing Date, the percentage equal to the Revolving Loan Commitment Amount of such Lender on such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Revolving Loan Commitment on such date.</w:t>
      </w:r>
    </w:p>
    <w:p>
      <w:pPr>
        <w:spacing w:after="0" w:line="176" w:lineRule="exact"/>
        <w:rPr>
          <w:sz w:val="20"/>
          <w:szCs w:val="20"/>
          <w:color w:val="auto"/>
        </w:rPr>
      </w:pPr>
    </w:p>
    <w:p>
      <w:pPr>
        <w:ind w:right="6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Exposure</w:t>
      </w:r>
      <w:r>
        <w:rPr>
          <w:rFonts w:ascii="Times New Roman" w:cs="Times New Roman" w:eastAsia="Times New Roman" w:hAnsi="Times New Roman"/>
          <w:sz w:val="18"/>
          <w:szCs w:val="18"/>
          <w:color w:val="auto"/>
        </w:rPr>
        <w:t xml:space="preserve">” means, with respect to any Lender on any date of determination, the percentage equal to the amount of such Lender’s Revolving Loan Outstandings on such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aggregate Revolving Loan Outstandings of all Lenders on such date.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Limit</w:t>
      </w:r>
      <w:r>
        <w:rPr>
          <w:rFonts w:ascii="Times New Roman" w:cs="Times New Roman" w:eastAsia="Times New Roman" w:hAnsi="Times New Roman"/>
          <w:sz w:val="18"/>
          <w:szCs w:val="18"/>
          <w:color w:val="auto"/>
        </w:rPr>
        <w:t>” means, at any time, the lesser of (a) the Revolving Loan Commitment and (b) the Borrowing Base.</w:t>
      </w:r>
    </w:p>
    <w:p>
      <w:pPr>
        <w:spacing w:after="0" w:line="221"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Outstandings</w:t>
      </w:r>
      <w:r>
        <w:rPr>
          <w:rFonts w:ascii="Times New Roman" w:cs="Times New Roman" w:eastAsia="Times New Roman" w:hAnsi="Times New Roman"/>
          <w:sz w:val="18"/>
          <w:szCs w:val="18"/>
          <w:color w:val="auto"/>
        </w:rPr>
        <w:t>” means, at any time of calculation, without duplication (a) the then existing aggregate outstanding principal amount of Revolving Loans, and (b) when used with reference to any single Lender, the then existing outstanding principal amount of Revolving Loans advanced by such Lender.</w:t>
      </w:r>
    </w:p>
    <w:p>
      <w:pPr>
        <w:spacing w:after="0" w:line="170"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Payment Account</w:t>
      </w:r>
      <w:r>
        <w:rPr>
          <w:rFonts w:ascii="Times New Roman" w:cs="Times New Roman" w:eastAsia="Times New Roman" w:hAnsi="Times New Roman"/>
          <w:sz w:val="18"/>
          <w:szCs w:val="18"/>
          <w:color w:val="auto"/>
        </w:rPr>
        <w:t>” means the account specified on the Agent’s signature page hereto as the Revolving Loan Payment Account, into which all payments by or on behalf of each Borrower to Agent (other than payments of principal, interest, fees, expenses, charges and all other amounts owing solely in respect of the Term Loans) under the Financing Documents shall be made, or such other account as Agent shall from time to time specify by written notice to Borrower Representative.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has the meaning set forth in Section 2.1(b).</w:t>
      </w:r>
    </w:p>
    <w:p>
      <w:pPr>
        <w:spacing w:after="0" w:line="221" w:lineRule="exact"/>
        <w:rPr>
          <w:sz w:val="20"/>
          <w:szCs w:val="20"/>
          <w:color w:val="auto"/>
        </w:rPr>
      </w:pPr>
    </w:p>
    <w:p>
      <w:pPr>
        <w:ind w:right="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“Sanctioned Country” </w:t>
      </w:r>
      <w:r>
        <w:rPr>
          <w:rFonts w:ascii="Times New Roman" w:cs="Times New Roman" w:eastAsia="Times New Roman" w:hAnsi="Times New Roman"/>
          <w:sz w:val="18"/>
          <w:szCs w:val="18"/>
          <w:color w:val="auto"/>
        </w:rPr>
        <w:t>means any country or territory that is itself subject to comprehensive sanctions maintained by OFAC including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Cuba, Iran, North Korea, Syria and the Crimea, Donetsk People’s Republic and Luhansk People’s Republic regions.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1" w:lineRule="exact"/>
        <w:rPr>
          <w:sz w:val="20"/>
          <w:szCs w:val="20"/>
          <w:color w:val="auto"/>
        </w:rPr>
      </w:pPr>
    </w:p>
    <w:p>
      <w:pPr>
        <w:ind w:right="6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 “securities account” (as defined in Article 9 of the UCC), an investment account, or other account in which investment property or securities are held or invested for credit to or for the benefit of any Credit Party.</w:t>
      </w:r>
    </w:p>
    <w:p>
      <w:pPr>
        <w:spacing w:after="0" w:line="156" w:lineRule="exact"/>
        <w:rPr>
          <w:sz w:val="20"/>
          <w:szCs w:val="20"/>
          <w:color w:val="auto"/>
        </w:rPr>
      </w:pPr>
    </w:p>
    <w:p>
      <w:pPr>
        <w:ind w:right="10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 Control Agreement</w:t>
      </w:r>
      <w:r>
        <w:rPr>
          <w:rFonts w:ascii="Times New Roman" w:cs="Times New Roman" w:eastAsia="Times New Roman" w:hAnsi="Times New Roman"/>
          <w:sz w:val="18"/>
          <w:szCs w:val="18"/>
          <w:color w:val="auto"/>
        </w:rPr>
        <w:t>” means an agreement, in form and substance reasonably satisfactory to Agent, among Agent, any applicable Credit Party and each securities intermediary in which such Credit Party maintains a Securities Account (which is not an Excluded Account) pursuant to which Agent shall obtain “control” (as defined in Article 9 of the UCC) over such Securities Account.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69" w:name="page470"/>
    <w:bookmarkEnd w:id="469"/>
    <w:p>
      <w:pPr>
        <w:ind w:firstLine="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Security Document</w:t>
      </w:r>
      <w:r>
        <w:rPr>
          <w:rFonts w:ascii="Times New Roman" w:cs="Times New Roman" w:eastAsia="Times New Roman" w:hAnsi="Times New Roman"/>
          <w:sz w:val="18"/>
          <w:szCs w:val="18"/>
          <w:color w:val="auto"/>
        </w:rPr>
        <w:t>” means this Agreement, the Pledge Agreement, the Collateral Assignments of Practice Entity Documents, and each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 as any or all of the same may be amended, supplemented, restated or otherwise modified from time to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SOFR</w:t>
      </w:r>
      <w:r>
        <w:rPr>
          <w:rFonts w:ascii="Times New Roman" w:cs="Times New Roman" w:eastAsia="Times New Roman" w:hAnsi="Times New Roman"/>
          <w:sz w:val="17"/>
          <w:szCs w:val="17"/>
          <w:color w:val="auto"/>
        </w:rPr>
        <w:t>” means, with respect to any SOFR Business Day, a rate per annum equal to the secured overnight financing rate for such SOFR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198"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CME Group Benchmark Administration Limited (CBA) (or a successor administrator of Term SOFR selected by Agent in its reasonable discretion).</w:t>
      </w:r>
    </w:p>
    <w:p>
      <w:pPr>
        <w:spacing w:after="0" w:line="156" w:lineRule="exact"/>
        <w:rPr>
          <w:sz w:val="20"/>
          <w:szCs w:val="20"/>
          <w:color w:val="auto"/>
        </w:rPr>
      </w:pPr>
    </w:p>
    <w:p>
      <w:pPr>
        <w:ind w:right="40" w:firstLine="436"/>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website of the SOFR Administrator, currently at https://www.cmegroup.com/market-data/cme-group-benchmark-administration/term-sofr.html, or any successor source for Term SOFR identified by the SOFR Administrator from time to time.</w:t>
      </w:r>
    </w:p>
    <w:p>
      <w:pPr>
        <w:spacing w:after="0" w:line="385" w:lineRule="exact"/>
        <w:rPr>
          <w:sz w:val="20"/>
          <w:szCs w:val="20"/>
          <w:color w:val="auto"/>
        </w:rPr>
      </w:pPr>
    </w:p>
    <w:p>
      <w:pPr>
        <w:jc w:val="both"/>
        <w:ind w:right="70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Business Day</w:t>
      </w:r>
      <w:r>
        <w:rPr>
          <w:rFonts w:ascii="Times New Roman" w:cs="Times New Roman" w:eastAsia="Times New Roman" w:hAnsi="Times New Roman"/>
          <w:sz w:val="18"/>
          <w:szCs w:val="18"/>
          <w:color w:val="auto"/>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spacing w:after="0" w:line="170"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Interest Rate</w:t>
      </w:r>
      <w:r>
        <w:rPr>
          <w:rFonts w:ascii="Times New Roman" w:cs="Times New Roman" w:eastAsia="Times New Roman" w:hAnsi="Times New Roman"/>
          <w:sz w:val="18"/>
          <w:szCs w:val="18"/>
          <w:color w:val="auto"/>
        </w:rPr>
        <w:t>” means, with respect to each day during which interest accrues on a Loan, the rate per annum (expressed as a percentage) equal to (a) Term SOFR for the applicable Interest Period for such day; or (b) if the then-current Benchmark has been replaced with a Benchmark Replacement pursuant to Section 2.2(o), such Benchmark Replacement for such day. Notwithstanding the foregoing, the SOFR Interest Rate shall not at any time be less than the Floor.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Loan that bears interest at a rate based on Term SOFR.</w:t>
      </w:r>
    </w:p>
    <w:p>
      <w:pPr>
        <w:spacing w:after="0" w:line="221"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that such Person (a) owns and will own assets the fair saleable value of which are (i) 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Rate</w:t>
      </w:r>
      <w:r>
        <w:rPr>
          <w:rFonts w:ascii="Times New Roman" w:cs="Times New Roman" w:eastAsia="Times New Roman" w:hAnsi="Times New Roman"/>
          <w:sz w:val="18"/>
          <w:szCs w:val="18"/>
          <w:color w:val="auto"/>
        </w:rPr>
        <w:t>” has the meaning set forth in Section 2.7.</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Testing Date</w:t>
      </w:r>
      <w:r>
        <w:rPr>
          <w:rFonts w:ascii="Times New Roman" w:cs="Times New Roman" w:eastAsia="Times New Roman" w:hAnsi="Times New Roman"/>
          <w:sz w:val="18"/>
          <w:szCs w:val="18"/>
          <w:color w:val="auto"/>
        </w:rPr>
        <w:t>” has the meaning set forth in Section 6.1.</w:t>
      </w:r>
    </w:p>
    <w:p>
      <w:pPr>
        <w:spacing w:after="0" w:line="221" w:lineRule="exact"/>
        <w:rPr>
          <w:sz w:val="20"/>
          <w:szCs w:val="20"/>
          <w:color w:val="auto"/>
        </w:rPr>
      </w:pPr>
    </w:p>
    <w:p>
      <w:pPr>
        <w:ind w:right="2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any Debt of Credit Parties incurred pursuant to the terms of the Subordinated Debt Documents and with the prior written consent of Agent. As of the Closing Date, there is no Subordinated Debt.</w:t>
      </w:r>
    </w:p>
    <w:p>
      <w:pPr>
        <w:spacing w:after="0" w:line="156"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 Documents</w:t>
      </w:r>
      <w:r>
        <w:rPr>
          <w:rFonts w:ascii="Times New Roman" w:cs="Times New Roman" w:eastAsia="Times New Roman" w:hAnsi="Times New Roman"/>
          <w:sz w:val="18"/>
          <w:szCs w:val="18"/>
          <w:color w:val="auto"/>
        </w:rPr>
        <w:t>” means any documents evidencing and/or securing Debt governed by a Subordination Agreement, all of which documents must be in form and substance reasonably acceptable to Agent. As of the Closing Date, there are no Subordinated Debt Documents.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70" w:name="page471"/>
    <w:bookmarkEnd w:id="470"/>
    <w:p>
      <w:pPr>
        <w:ind w:right="20" w:firstLine="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means each agreement between Agent and another creditor of Credit Parties, as the same may be amended, supplemented, restated or otherwise modified from time to time in accordance with the terms thereof, pursuant to which the Debt owing from any Credit Party and/or the Liens securing such Debt granted by any Credit Party to such creditor are subordinated in any way to the Obligations and the Liens created under the Security Documents, the terms and provisions of such Subordination Agreements to have been agreed to by and be reasonably acceptable to Agent.</w:t>
      </w:r>
    </w:p>
    <w:p>
      <w:pPr>
        <w:spacing w:after="0" w:line="180" w:lineRule="exact"/>
        <w:rPr>
          <w:sz w:val="20"/>
          <w:szCs w:val="20"/>
          <w:color w:val="auto"/>
        </w:rPr>
      </w:pPr>
    </w:p>
    <w:p>
      <w:pPr>
        <w:ind w:right="40" w:firstLine="43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with respect to any Person, (a) any corporation (or any foreign equivalent thereof) of which an aggregate of fifty percent (50%) or more of the outstanding Equity Interests having ordinary voting power to elect a majority of the board of directors of such corporation (irrespective of whether, at the time, Equity Interests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Equity Interests whether by proxy, agreement, operation of law or otherwise and (b) any partnership or limited liability company (or any foreign equivalent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Unless the context otherwise requires, each reference to a Subsidiary shall be a reference to a Subsidiary of a Credit Party. For the avoidance of doubt, for purposes of this Agreement and the other Financing Documents, the PCs shall be deemed to not be Subsidiaries of the Borrowers.</w:t>
      </w:r>
    </w:p>
    <w:p>
      <w:pPr>
        <w:spacing w:after="0" w:line="171" w:lineRule="exact"/>
        <w:rPr>
          <w:sz w:val="20"/>
          <w:szCs w:val="20"/>
          <w:color w:val="auto"/>
        </w:rPr>
      </w:pPr>
    </w:p>
    <w:p>
      <w:pPr>
        <w:ind w:right="1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means any “swap agreement”, as defined in Section 101 of the Bankruptcy Code, that is obtained by a Credit Party to provide protection against fluctuations in interest or currency exchange rates, but only if Agent provides its prior written consent to the entry into such “swap agreement”.</w:t>
      </w:r>
    </w:p>
    <w:p>
      <w:pPr>
        <w:spacing w:after="0" w:line="170" w:lineRule="exact"/>
        <w:rPr>
          <w:sz w:val="20"/>
          <w:szCs w:val="20"/>
          <w:color w:val="auto"/>
        </w:rPr>
      </w:pPr>
    </w:p>
    <w:p>
      <w:pPr>
        <w:ind w:right="1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Lender</w:t>
      </w:r>
      <w:r>
        <w:rPr>
          <w:rFonts w:ascii="Times New Roman" w:cs="Times New Roman" w:eastAsia="Times New Roman" w:hAnsi="Times New Roman"/>
          <w:sz w:val="18"/>
          <w:szCs w:val="18"/>
          <w:color w:val="auto"/>
        </w:rPr>
        <w:t>” means a Lender with a Term Loan Commitment or a portion of the outstanding Term Loans.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collectively, the Term Loan Tranche 1 and the Term Loan Tranche 2.</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Account</w:t>
      </w:r>
      <w:r>
        <w:rPr>
          <w:rFonts w:ascii="Times New Roman" w:cs="Times New Roman" w:eastAsia="Times New Roman" w:hAnsi="Times New Roman"/>
          <w:sz w:val="18"/>
          <w:szCs w:val="18"/>
          <w:color w:val="auto"/>
        </w:rPr>
        <w:t>” has the meaning set forth in Section 2.6(c).</w:t>
      </w:r>
    </w:p>
    <w:p>
      <w:pPr>
        <w:spacing w:after="0" w:line="221"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 Amount</w:t>
      </w:r>
      <w:r>
        <w:rPr>
          <w:rFonts w:ascii="Times New Roman" w:cs="Times New Roman" w:eastAsia="Times New Roman" w:hAnsi="Times New Roman"/>
          <w:sz w:val="18"/>
          <w:szCs w:val="18"/>
          <w:color w:val="auto"/>
        </w:rPr>
        <w:t>” means, with respect to each Lender, the sum of such Lender’s Term Loan Tranche 1 Commitment Amount and Term Loan Tranche 2 Commitment Amount.</w:t>
      </w:r>
    </w:p>
    <w:p>
      <w:pPr>
        <w:spacing w:after="0" w:line="156"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 Percentage</w:t>
      </w:r>
      <w:r>
        <w:rPr>
          <w:rFonts w:ascii="Times New Roman" w:cs="Times New Roman" w:eastAsia="Times New Roman" w:hAnsi="Times New Roman"/>
          <w:sz w:val="18"/>
          <w:szCs w:val="18"/>
          <w:color w:val="auto"/>
        </w:rPr>
        <w:t xml:space="preserve">” means, as to any Lender with respect to each of such Lender’s Term Loan Commitments, (a) on the Closing Date, with respect to each tranche of the Term Loan, the applicable percentage set forth opposite such Lender’s name on the Commitment Annex under the column “Term Loan Tranche 1 Commitment Percentage”, and “Term Loan Tranche 2 Commitment Percentage” (if such Lender’s name is not so set forth thereon, then, on the Closing Date, such percentage for such Lender shall be deemed to be zero), and (b) on any date following the Closing Date, as applicable to each tranche of Term Loan, the percentage equal to (i) the Term Loan Tranche 1 Commitment of such Lender on such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aggregate Term Loan Tranche 1 Commitments on such date, or (ii) the Term Loan Tranche 2 Commitment of such Lender on such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aggregate Term Loan Tranche 2 Commitments on such date.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71" w:name="page472"/>
    <w:bookmarkEnd w:id="471"/>
    <w:p>
      <w:pPr>
        <w:ind w:right="40"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the Term Loan Tranche 1 Commitments, and the Term Loan Tranche 2 Commitments. For the avoidance of doubt, the aggregate Term Loan Commitments of all Lenders on the Closing Date shall be $60,000,000.</w:t>
      </w:r>
    </w:p>
    <w:p>
      <w:pPr>
        <w:spacing w:after="0" w:line="156"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Payment Account</w:t>
      </w:r>
      <w:r>
        <w:rPr>
          <w:rFonts w:ascii="Times New Roman" w:cs="Times New Roman" w:eastAsia="Times New Roman" w:hAnsi="Times New Roman"/>
          <w:sz w:val="18"/>
          <w:szCs w:val="18"/>
          <w:color w:val="auto"/>
        </w:rPr>
        <w:t>” means the account specified on the Term Loan Servicer’s signature page hereto as the Term Loan Payment Account, into which all payments by or on behalf of each Borrower to Agent of principal, interest, fees, expenses, charges and all other amounts owing solely in respect of the Term Loans under the Financing Documents shall be made, or such other account as Term Loan Servicer shall from time to time specify by written notice to Borrower Representative.</w:t>
      </w:r>
    </w:p>
    <w:p>
      <w:pPr>
        <w:spacing w:after="0" w:line="176" w:lineRule="exact"/>
        <w:rPr>
          <w:sz w:val="20"/>
          <w:szCs w:val="20"/>
          <w:color w:val="auto"/>
        </w:rPr>
      </w:pPr>
    </w:p>
    <w:p>
      <w:pPr>
        <w:ind w:right="4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Principal Balance</w:t>
      </w:r>
      <w:r>
        <w:rPr>
          <w:rFonts w:ascii="Times New Roman" w:cs="Times New Roman" w:eastAsia="Times New Roman" w:hAnsi="Times New Roman"/>
          <w:sz w:val="18"/>
          <w:szCs w:val="18"/>
          <w:color w:val="auto"/>
        </w:rPr>
        <w:t>” means, as of any date of determination, an amount equal to one hundred percent (100%) of the aggregate outstanding principal amount of the Term Loans as of such date of determination.</w:t>
      </w:r>
    </w:p>
    <w:p>
      <w:pPr>
        <w:spacing w:after="0" w:line="156"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Servicer</w:t>
      </w:r>
      <w:r>
        <w:rPr>
          <w:rFonts w:ascii="Times New Roman" w:cs="Times New Roman" w:eastAsia="Times New Roman" w:hAnsi="Times New Roman"/>
          <w:sz w:val="18"/>
          <w:szCs w:val="18"/>
          <w:color w:val="auto"/>
        </w:rPr>
        <w:t>” MidCap Financial Trust, in its capacity as Term Loan Servicer for itself and for Lenders hereunder, as such capacity is established in, and subject to the provisions of, Article 11, and the successors and assigns of MidCap Financial Trust in such capacity.</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1</w:t>
      </w:r>
      <w:r>
        <w:rPr>
          <w:rFonts w:ascii="Times New Roman" w:cs="Times New Roman" w:eastAsia="Times New Roman" w:hAnsi="Times New Roman"/>
          <w:sz w:val="18"/>
          <w:szCs w:val="18"/>
          <w:color w:val="auto"/>
        </w:rPr>
        <w:t>” has the meaning set forth in Section 2.1(a)(i)(A).</w:t>
      </w:r>
    </w:p>
    <w:p>
      <w:pPr>
        <w:spacing w:after="0" w:line="221"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1 Commitment Amount</w:t>
      </w:r>
      <w:r>
        <w:rPr>
          <w:rFonts w:ascii="Times New Roman" w:cs="Times New Roman" w:eastAsia="Times New Roman" w:hAnsi="Times New Roman"/>
          <w:sz w:val="18"/>
          <w:szCs w:val="18"/>
          <w:color w:val="auto"/>
        </w:rPr>
        <w:t>” means, with respect to each Lender, the amount set forth opposite such Lender’s name on Annex A hereto under the caption “Term Loan Tranche 1 Commitment Amount”, as amended from time to time to reflect any permitted and effective assignments and as such amount may be reduced or terminated pursuant to this Agreement.</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1 Commitments</w:t>
      </w:r>
      <w:r>
        <w:rPr>
          <w:rFonts w:ascii="Times New Roman" w:cs="Times New Roman" w:eastAsia="Times New Roman" w:hAnsi="Times New Roman"/>
          <w:sz w:val="18"/>
          <w:szCs w:val="18"/>
          <w:color w:val="auto"/>
        </w:rPr>
        <w:t>” means the sum of each Lender’s Term Loan Tranche 1 Commitment Amount.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2</w:t>
      </w:r>
      <w:r>
        <w:rPr>
          <w:rFonts w:ascii="Times New Roman" w:cs="Times New Roman" w:eastAsia="Times New Roman" w:hAnsi="Times New Roman"/>
          <w:sz w:val="18"/>
          <w:szCs w:val="18"/>
          <w:color w:val="auto"/>
        </w:rPr>
        <w:t>” has the meaning set forth in Section 2.1(a)(i)(B).</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2 Activation Date</w:t>
      </w:r>
      <w:r>
        <w:rPr>
          <w:rFonts w:ascii="Times New Roman" w:cs="Times New Roman" w:eastAsia="Times New Roman" w:hAnsi="Times New Roman"/>
          <w:sz w:val="18"/>
          <w:szCs w:val="18"/>
          <w:color w:val="auto"/>
        </w:rPr>
        <w:t>” means October 1, 2024.</w:t>
      </w:r>
    </w:p>
    <w:p>
      <w:pPr>
        <w:spacing w:after="0" w:line="221"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2 Commitment Amount</w:t>
      </w:r>
      <w:r>
        <w:rPr>
          <w:rFonts w:ascii="Times New Roman" w:cs="Times New Roman" w:eastAsia="Times New Roman" w:hAnsi="Times New Roman"/>
          <w:sz w:val="18"/>
          <w:szCs w:val="18"/>
          <w:color w:val="auto"/>
        </w:rPr>
        <w:t>” means, with respect to each Lender, the amount set forth opposite such Lender’s name on Annex A hereto under the caption “Term Loan Tranche 2 Commitment Amount”, as amended from time to time to reflect any permitted and effective assignments and as such amount may be reduced or terminated pursuant to this Agreement.</w:t>
      </w:r>
    </w:p>
    <w:p>
      <w:pPr>
        <w:spacing w:after="0" w:line="170" w:lineRule="exact"/>
        <w:rPr>
          <w:sz w:val="20"/>
          <w:szCs w:val="20"/>
          <w:color w:val="auto"/>
        </w:rPr>
      </w:pPr>
    </w:p>
    <w:p>
      <w:pPr>
        <w:jc w:val="both"/>
        <w:ind w:right="1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2 Commitment Termination Date</w:t>
      </w:r>
      <w:r>
        <w:rPr>
          <w:rFonts w:ascii="Times New Roman" w:cs="Times New Roman" w:eastAsia="Times New Roman" w:hAnsi="Times New Roman"/>
          <w:sz w:val="18"/>
          <w:szCs w:val="18"/>
          <w:color w:val="auto"/>
        </w:rPr>
        <w:t>” means the earlier of (a) March 31, 2025 and (b) the date on which Agent provides notice to the Credit Parties, following the occurrence of an Event of Default (which has not been waived or cured as of the date such notice is given), that the Term Loan Tranche 2 Commitments have been terminated.</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 2 Commitments</w:t>
      </w:r>
      <w:r>
        <w:rPr>
          <w:rFonts w:ascii="Times New Roman" w:cs="Times New Roman" w:eastAsia="Times New Roman" w:hAnsi="Times New Roman"/>
          <w:sz w:val="18"/>
          <w:szCs w:val="18"/>
          <w:color w:val="auto"/>
        </w:rPr>
        <w:t>” means the sum of each Lender’s Term Loan Tranche 2 Commitment Amount.</w:t>
      </w:r>
    </w:p>
    <w:p>
      <w:pPr>
        <w:spacing w:after="0" w:line="221"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the greater of (x) the forward-looking term rate for a period comparable to such Interest Period based on SOFR that is published by the SOFR Administrator and is displayed on the SOFR Administrator’s Website at approximately the Reference Time for such Interest Period plus 0.10% and (y) the Floor. Unless otherwise specified in any amendment to this Agreement entered into in accordance with Section 2.2(o), in the event that a Benchmark Replacement with respect to Term SOFR is implemented, then all references herein to Term SOFR shall be deemed references to such Benchmark Replacement.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20"/>
          </w:cols>
          <w:pgMar w:left="480" w:top="264" w:right="599" w:bottom="1440" w:gutter="0" w:footer="0" w:header="0"/>
        </w:sectPr>
      </w:pPr>
    </w:p>
    <w:bookmarkStart w:id="472" w:name="page473"/>
    <w:bookmarkEnd w:id="472"/>
    <w:p>
      <w:pPr>
        <w:ind w:firstLine="436"/>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means the earliest to occur of (a) the Maturity Date, (b) any date on which the maturity of the Loans is accelerated pursuant to Section 10.2, or (c) the termination date stated in any notice of termination of this Agreement provided by Borrowers in accordance with Section 2.12.</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 Date</w:t>
      </w:r>
      <w:r>
        <w:rPr>
          <w:rFonts w:ascii="Times New Roman" w:cs="Times New Roman" w:eastAsia="Times New Roman" w:hAnsi="Times New Roman"/>
          <w:sz w:val="18"/>
          <w:szCs w:val="18"/>
          <w:color w:val="auto"/>
        </w:rPr>
        <w:t>” means the last day of each calendar month.</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set forth in Section 2.8(c)(i).</w:t>
      </w:r>
    </w:p>
    <w:p>
      <w:pPr>
        <w:spacing w:after="0" w:line="221" w:lineRule="exact"/>
        <w:rPr>
          <w:sz w:val="20"/>
          <w:szCs w:val="20"/>
          <w:color w:val="auto"/>
        </w:rPr>
      </w:pPr>
    </w:p>
    <w:p>
      <w:pPr>
        <w:ind w:right="5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of the State of New York or of any other state the laws of which are required to be applied in connection with the perfection of security interests in any Collateral.</w:t>
      </w:r>
    </w:p>
    <w:p>
      <w:pPr>
        <w:spacing w:after="0" w:line="156" w:lineRule="exact"/>
        <w:rPr>
          <w:sz w:val="20"/>
          <w:szCs w:val="20"/>
          <w:color w:val="auto"/>
        </w:rPr>
      </w:pPr>
    </w:p>
    <w:p>
      <w:pPr>
        <w:ind w:right="26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6" w:lineRule="exact"/>
        <w:rPr>
          <w:sz w:val="20"/>
          <w:szCs w:val="20"/>
          <w:color w:val="auto"/>
        </w:rPr>
      </w:pPr>
    </w:p>
    <w:p>
      <w:pPr>
        <w:ind w:right="7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set forth in Section 2.8(c)(i).</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any Borrower, Agent or Term Loan Servicer, as applicable.</w:t>
      </w:r>
    </w:p>
    <w:p>
      <w:pPr>
        <w:spacing w:after="0" w:line="221"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Work-In-Process</w:t>
      </w:r>
      <w:r>
        <w:rPr>
          <w:rFonts w:ascii="Times New Roman" w:cs="Times New Roman" w:eastAsia="Times New Roman" w:hAnsi="Times New Roman"/>
          <w:sz w:val="18"/>
          <w:szCs w:val="18"/>
          <w:color w:val="auto"/>
        </w:rPr>
        <w:t>” means Inventory that is not a product that is finished and approved by a Borrower in accordance with applicable Laws and such Borrower’s normal business practices for release and delivery to customers.</w:t>
      </w:r>
    </w:p>
    <w:p>
      <w:pPr>
        <w:spacing w:after="0" w:line="156" w:lineRule="exact"/>
        <w:rPr>
          <w:sz w:val="20"/>
          <w:szCs w:val="20"/>
          <w:color w:val="auto"/>
        </w:rPr>
      </w:pPr>
    </w:p>
    <w:p>
      <w:pPr>
        <w:ind w:right="28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73" w:name="page474"/>
    <w:bookmarkEnd w:id="473"/>
    <w:p>
      <w:pPr>
        <w:ind w:firstLine="436"/>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Accounting Terms and Determinations</w:t>
      </w:r>
      <w:r>
        <w:rPr>
          <w:rFonts w:ascii="Times New Roman" w:cs="Times New Roman" w:eastAsia="Times New Roman" w:hAnsi="Times New Roman"/>
          <w:sz w:val="18"/>
          <w:szCs w:val="18"/>
          <w:color w:val="auto"/>
        </w:rPr>
        <w:t xml:space="preserve">. 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Credit Party and its Consolidated Subsidiaries delivered to Agent and each of the Lenders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 Accounting Standards Update No. 2016-02, Leases, shall not be treated as a capital lease obligation solely as a result of the adoption of changes in GAAP, unless the parties hereto shall enter into a mutually acceptable amendment addressing such changes, as provided for above.</w:t>
      </w:r>
    </w:p>
    <w:p>
      <w:pPr>
        <w:spacing w:after="0" w:line="191" w:lineRule="exact"/>
        <w:rPr>
          <w:sz w:val="20"/>
          <w:szCs w:val="20"/>
          <w:color w:val="auto"/>
        </w:rPr>
      </w:pPr>
    </w:p>
    <w:p>
      <w:pPr>
        <w:ind w:right="20" w:firstLine="436"/>
        <w:spacing w:after="0" w:line="249"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Other Definitional and Interpretive Provisions</w:t>
      </w:r>
      <w:r>
        <w:rPr>
          <w:rFonts w:ascii="Times New Roman" w:cs="Times New Roman" w:eastAsia="Times New Roman" w:hAnsi="Times New Roman"/>
          <w:sz w:val="18"/>
          <w:szCs w:val="18"/>
          <w:color w:val="auto"/>
        </w:rPr>
        <w:t>. 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capitalized terms that are not defined herein, but are defined in the UCC, shall have the meanings given them in the UCC and if defined in more than one article of the UCC, shall have the meanings given the in Article 9 thereof. All references herein to times of day shall be references to daylight or standard time, as applicable. All references herein to a merger, transfer, consolidation, amalgamation, assignment, sale or transfer, or analogous term, will be construed to mean also a division of or by a limited liability company, as if it were a merger, transfer, consolidation, amalgamation, assignment, sale or transfer, or similar term, as applicable. Any series of limited liability company shall be considered a separate Person. Any provision of this Agreement permitting Borrowers to update schedules from time to time shall mean that the Borrower Representative may deliver any such updated schedule to the Agent at any time and, upon approval by Agent (in its Permitted Discretion) (which approval of Agent shall be deemed to have been given unless an objection is delivered to the Borrower Representative within five (5) Business Days after delivery of such updated schedules to Agent), such updated schedule shall automatically replace the then-existing schedule without any further action or consent by any Person.</w:t>
      </w:r>
    </w:p>
    <w:p>
      <w:pPr>
        <w:spacing w:after="0" w:line="200"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Settlement and Funding Mechanics</w:t>
      </w:r>
      <w:r>
        <w:rPr>
          <w:rFonts w:ascii="Times New Roman" w:cs="Times New Roman" w:eastAsia="Times New Roman" w:hAnsi="Times New Roman"/>
          <w:sz w:val="18"/>
          <w:szCs w:val="18"/>
          <w:color w:val="auto"/>
        </w:rPr>
        <w:t>. Unless otherwise specified herein, the settlement of all payments and fundings hereunder between or among the parties hereto shall be made in lawful money of the United States and in immediately available funds.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74" w:name="page475"/>
    <w:bookmarkEnd w:id="474"/>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is of the essence in Borrower’s and each other Credit Party’s performance under this Agreement and all other Financing Documents.</w:t>
      </w:r>
    </w:p>
    <w:p>
      <w:pPr>
        <w:spacing w:after="0" w:line="162"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Time of Day</w:t>
      </w:r>
      <w:r>
        <w:rPr>
          <w:rFonts w:ascii="Times New Roman" w:cs="Times New Roman" w:eastAsia="Times New Roman" w:hAnsi="Times New Roman"/>
          <w:sz w:val="18"/>
          <w:szCs w:val="18"/>
          <w:color w:val="auto"/>
        </w:rPr>
        <w:t>. Unless otherwise specified, all references herein to times of day shall be references to Eastern time (daylight savings or standard, as applicable).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2 -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100" w:hanging="237"/>
        <w:spacing w:after="0"/>
        <w:tabs>
          <w:tab w:leader="none" w:pos="11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Amounts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firstLine="947"/>
        <w:spacing w:after="0" w:line="255" w:lineRule="auto"/>
        <w:tabs>
          <w:tab w:leader="none" w:pos="167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forth herein and in the other Financing Documents, each Lender with a Term Loan Tranche 1 Commitment Amount severally hereby agrees to make to Borrowers a Term Loan on the Closing Date in an original aggregate principal amount equal to the Term Loan Tranche 1 Commitments (the “</w:t>
      </w:r>
      <w:r>
        <w:rPr>
          <w:rFonts w:ascii="Times New Roman" w:cs="Times New Roman" w:eastAsia="Times New Roman" w:hAnsi="Times New Roman"/>
          <w:sz w:val="18"/>
          <w:szCs w:val="18"/>
          <w:b w:val="1"/>
          <w:bCs w:val="1"/>
          <w:color w:val="auto"/>
        </w:rPr>
        <w:t>Term Loan Tranche 1</w:t>
      </w:r>
      <w:r>
        <w:rPr>
          <w:rFonts w:ascii="Times New Roman" w:cs="Times New Roman" w:eastAsia="Times New Roman" w:hAnsi="Times New Roman"/>
          <w:sz w:val="18"/>
          <w:szCs w:val="18"/>
          <w:color w:val="auto"/>
        </w:rPr>
        <w:t>”). Each such Lender’s obligation to fund the Term Loan Tranche 1 shall be limited to such Lender’s Term Loan Tranche 1 Commitment Percentage, and no Lender shall have any obligation to fund any portion of any Term Loan required to be funded by any other Lender, but not so funded.</w:t>
      </w:r>
    </w:p>
    <w:p>
      <w:pPr>
        <w:spacing w:after="0" w:line="77" w:lineRule="exact"/>
        <w:rPr>
          <w:rFonts w:ascii="Times New Roman" w:cs="Times New Roman" w:eastAsia="Times New Roman" w:hAnsi="Times New Roman"/>
          <w:sz w:val="18"/>
          <w:szCs w:val="18"/>
          <w:color w:val="auto"/>
        </w:rPr>
      </w:pPr>
    </w:p>
    <w:p>
      <w:pPr>
        <w:ind w:left="440" w:right="40" w:firstLine="947"/>
        <w:spacing w:after="0" w:line="250" w:lineRule="auto"/>
        <w:tabs>
          <w:tab w:leader="none" w:pos="166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forth herein and in the other Financing Documents, each Lender with a Term Loan Tranche 2 Commitment Amount severally hereby agrees to make to Borrowers a Term Loan on a Business Day occurring on or after the Term Loan Tranche 2 Activation Date and on or prior to the Term Loan Tranche 2 Commitment Termination Date in an original aggregate principal amount equal to the Term Loan Tranche 2 Commitment (the “</w:t>
      </w:r>
      <w:r>
        <w:rPr>
          <w:rFonts w:ascii="Times New Roman" w:cs="Times New Roman" w:eastAsia="Times New Roman" w:hAnsi="Times New Roman"/>
          <w:sz w:val="18"/>
          <w:szCs w:val="18"/>
          <w:b w:val="1"/>
          <w:bCs w:val="1"/>
          <w:color w:val="auto"/>
        </w:rPr>
        <w:t>Term Loan Tranche 2</w:t>
      </w:r>
      <w:r>
        <w:rPr>
          <w:rFonts w:ascii="Times New Roman" w:cs="Times New Roman" w:eastAsia="Times New Roman" w:hAnsi="Times New Roman"/>
          <w:sz w:val="18"/>
          <w:szCs w:val="18"/>
          <w:color w:val="auto"/>
        </w:rPr>
        <w:t>”). Each such Lender’s obligation to fund the Term Loan Tranche 2 shall be limited to such Lender’s Term Loan Tranche 2 Commitment Amount, and no Lender shall have any obligation to fund any portion of any Term Loan required to be funded by any other Lender, but not so funded. The Term Loan Tranche 2 may be funded on a Business Day occurring after the Term Loan Tranche 2 Activation Date in multiple advances in an aggregate amount not to exceed the Term Loan Tranche 2 Commitment, but no advances under the Term Loan Tranche 2 shall be made after the Term Loan Tranche 2 Commitment Termination Date. Lenders shall have no obligation to make more than one (1) advance in respect of the Term Loan Tranche 2 per calendar month and each advance of the Term Loan Tranche 2 shall be in an amount equal to $10,000,000 (or a higher integral multiple of $10,000,000) in the aggregate with respect to all such Lenders. Unless previously terminated, upon the Term Loan Tranche 2 Commitment Termination Date, the Term Loan Tranche 2 Commitment shall thereupon automatically be terminated and the Term Loan Tranche 2 Commitment Amount of each Lender as of such date shall be reduced by such Lender’s Pro Rata Share of such total reduction in the Term Loan Commitments.</w:t>
      </w:r>
    </w:p>
    <w:p>
      <w:pPr>
        <w:spacing w:after="0" w:line="85" w:lineRule="exact"/>
        <w:rPr>
          <w:rFonts w:ascii="Times New Roman" w:cs="Times New Roman" w:eastAsia="Times New Roman" w:hAnsi="Times New Roman"/>
          <w:sz w:val="18"/>
          <w:szCs w:val="18"/>
          <w:color w:val="auto"/>
        </w:rPr>
      </w:pPr>
    </w:p>
    <w:p>
      <w:pPr>
        <w:ind w:left="440" w:right="20" w:firstLine="947"/>
        <w:spacing w:after="0" w:line="270" w:lineRule="auto"/>
        <w:tabs>
          <w:tab w:leader="none" w:pos="1665"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Borrower shall have any right to reborrow any portion of the Term Loan that is repaid or prepaid from time to time. Borrowers shall deliver to Agent and Term Loan Servicer a Notice of Borrowing with respect to each proposed Term Loan advance, such Notice of Borrowing to be delivered, (i) in the case of a Term Loan Tranche 1 borrowing, no later than 12:00 P.M. (Eastern time) on the Closing Date and</w:t>
      </w:r>
    </w:p>
    <w:p>
      <w:pPr>
        <w:spacing w:after="0" w:line="1" w:lineRule="exact"/>
        <w:rPr>
          <w:rFonts w:ascii="Times New Roman" w:cs="Times New Roman" w:eastAsia="Times New Roman" w:hAnsi="Times New Roman"/>
          <w:sz w:val="17"/>
          <w:szCs w:val="17"/>
          <w:color w:val="auto"/>
        </w:rPr>
      </w:pPr>
    </w:p>
    <w:p>
      <w:pPr>
        <w:ind w:left="440" w:firstLine="4"/>
        <w:spacing w:after="0" w:line="256" w:lineRule="auto"/>
        <w:tabs>
          <w:tab w:leader="none" w:pos="70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Loan Tranche 2 borrowing, no later than 12:00 P.M. (Eastern time) ten (10) Business Days (or such shorter period as may be agreed by Agent, Term Loan Servicer and the Lenders) prior to such proposed borrowing.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75" w:name="page476"/>
    <w:bookmarkEnd w:id="475"/>
    <w:p>
      <w:pPr>
        <w:ind w:left="1120" w:hanging="257"/>
        <w:spacing w:after="0"/>
        <w:tabs>
          <w:tab w:leader="none" w:pos="11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Scheduled Repayments; Mandatory Prepayments; Optional Prepayments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780" w:right="60" w:firstLine="905"/>
        <w:spacing w:after="0" w:line="263" w:lineRule="auto"/>
        <w:tabs>
          <w:tab w:leader="none" w:pos="198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become due and payable, and the Borrowers shall repay each Term Loan through, scheduled principal payments as set forth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attached hereto. Notwithstanding the payment schedule set forth above, the outstanding principal amount of each Term Loan shall become immediately due and payable in full on the Termination Date.</w:t>
      </w:r>
    </w:p>
    <w:p>
      <w:pPr>
        <w:spacing w:after="0" w:line="68" w:lineRule="exact"/>
        <w:rPr>
          <w:rFonts w:ascii="Times New Roman" w:cs="Times New Roman" w:eastAsia="Times New Roman" w:hAnsi="Times New Roman"/>
          <w:sz w:val="18"/>
          <w:szCs w:val="18"/>
          <w:color w:val="auto"/>
        </w:rPr>
      </w:pPr>
    </w:p>
    <w:p>
      <w:pPr>
        <w:ind w:left="1960" w:hanging="275"/>
        <w:spacing w:after="0"/>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become due and payable and Borrowers shall prepay each Term Loan in the following amounts and at the</w:t>
      </w:r>
    </w:p>
    <w:p>
      <w:pPr>
        <w:spacing w:after="0" w:line="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times:</w:t>
      </w:r>
    </w:p>
    <w:p>
      <w:pPr>
        <w:spacing w:after="0" w:line="95" w:lineRule="exact"/>
        <w:rPr>
          <w:rFonts w:ascii="Times New Roman" w:cs="Times New Roman" w:eastAsia="Times New Roman" w:hAnsi="Times New Roman"/>
          <w:sz w:val="18"/>
          <w:szCs w:val="18"/>
          <w:color w:val="auto"/>
        </w:rPr>
      </w:pPr>
    </w:p>
    <w:p>
      <w:pPr>
        <w:ind w:left="980" w:firstLine="903"/>
        <w:spacing w:after="0" w:line="251" w:lineRule="auto"/>
        <w:tabs>
          <w:tab w:leader="none" w:pos="2087"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Agent shall otherwise consent in writing, subject to Borrower’s option to apply casualty proceeds in accordance with this Section 2.1(a)(ii)(B)(i), within five (5) Business Days after the date on which any Credit Party (or Agent as loss payee or assignee) receives any casualty proceeds in excess of Five Hundred Thousand Dollars ($500,000) with respect to any Collateral, an amount equal to one hundred percent (100%) of such proceeds (net of out-of-pocket expenses and repayment of secured debt permitted under clause (c) of the definition of Permitted Debt and encumbering the property that suffered such casualty), or such lesser portion of such proceeds as Agent shall elect to apply to the Term Loans and related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no Event of Default then exists, any such casualty proceeds in excess of Five Hundred Thousand Dollars ($500,000) may instead be used by Borrowers within three hundred and sixty (360) days from the receipt of such proceeds to replace, repair, purchase or otherwise reinvest such proceeds in assets used or useful in the business of the Credit Parties;</w:t>
      </w:r>
    </w:p>
    <w:p>
      <w:pPr>
        <w:spacing w:after="0" w:line="84" w:lineRule="exact"/>
        <w:rPr>
          <w:rFonts w:ascii="Times New Roman" w:cs="Times New Roman" w:eastAsia="Times New Roman" w:hAnsi="Times New Roman"/>
          <w:sz w:val="18"/>
          <w:szCs w:val="18"/>
          <w:color w:val="auto"/>
        </w:rPr>
      </w:pPr>
    </w:p>
    <w:p>
      <w:pPr>
        <w:ind w:left="980" w:right="40" w:firstLine="903"/>
        <w:spacing w:after="0" w:line="269" w:lineRule="auto"/>
        <w:tabs>
          <w:tab w:leader="none" w:pos="2136" w:val="left"/>
        </w:tabs>
        <w:numPr>
          <w:ilvl w:val="2"/>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Section 5.6(b) and unless Agent shall otherwise consent in writing, within five (5) Business Days of receipt by any Credit Party of the proceeds of any Asset Disposition permitted under clauses (b) and (k) of the definition of Permitted Asset Disposition or any Asset Disposition that does not constitute a Permitted Asset Disposition, an amount equal to one hundred percent (100%) of the net cash proceeds of such Asset Disposition (net of out-of-pocket expenses and repayment of secured debt permitted under clause (c) of the definition of Permitted Debt and encumbering such asset, and any and all fees, costs, expenses and taxes incurred in connection with such Asset Disposition), or such lesser portion as Agent shall elect to apply to the Obligations;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so long as no Event of Default then exists, any such net cash proceeds may instead be used by Borrowers within three hundred and sixty (360) days from the receipt of such proceeds to reinvest such proceeds in assets used or useful in the business of the Credit Parties;</w:t>
      </w:r>
    </w:p>
    <w:p>
      <w:pPr>
        <w:spacing w:after="0" w:line="66" w:lineRule="exact"/>
        <w:rPr>
          <w:rFonts w:ascii="Times New Roman" w:cs="Times New Roman" w:eastAsia="Times New Roman" w:hAnsi="Times New Roman"/>
          <w:sz w:val="17"/>
          <w:szCs w:val="17"/>
          <w:color w:val="auto"/>
        </w:rPr>
      </w:pPr>
    </w:p>
    <w:p>
      <w:pPr>
        <w:ind w:left="980" w:right="300" w:firstLine="903"/>
        <w:spacing w:after="0" w:line="278" w:lineRule="auto"/>
        <w:tabs>
          <w:tab w:leader="none" w:pos="2186"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interest that is deemed to be in excess of the Maximum Lawful Rate (as defined below) and is required to be applied to the reduction of the principal balance of the Loans by any Lender as provided for in Section 2.7; and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76" w:name="page477"/>
    <w:bookmarkEnd w:id="476"/>
    <w:p>
      <w:pPr>
        <w:ind w:left="980" w:right="300" w:firstLine="903"/>
        <w:spacing w:after="0" w:line="278" w:lineRule="auto"/>
        <w:tabs>
          <w:tab w:leader="none" w:pos="2176" w:val="left"/>
        </w:tabs>
        <w:numPr>
          <w:ilvl w:val="4"/>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upon the termination of all Revolving Loan Commitments and the payment of the then existing aggregate outstanding principal amount of the Revolving Loans, the aggregate outstanding Obligations in full;</w:t>
      </w:r>
    </w:p>
    <w:p>
      <w:pPr>
        <w:spacing w:after="0" w:line="55" w:lineRule="exact"/>
        <w:rPr>
          <w:rFonts w:ascii="Times New Roman" w:cs="Times New Roman" w:eastAsia="Times New Roman" w:hAnsi="Times New Roman"/>
          <w:sz w:val="18"/>
          <w:szCs w:val="18"/>
          <w:color w:val="auto"/>
        </w:rPr>
      </w:pPr>
    </w:p>
    <w:p>
      <w:pPr>
        <w:ind w:left="780" w:right="60" w:firstLine="905"/>
        <w:spacing w:after="0" w:line="254" w:lineRule="auto"/>
        <w:tabs>
          <w:tab w:leader="none" w:pos="1976" w:val="left"/>
        </w:tabs>
        <w:numPr>
          <w:ilvl w:val="3"/>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may from time to time, with at least five (5) Business Days prior irrevocable written notice (which notice may be conditioned on the closing of a refinancing or other applicable transaction) to Agent, prepay the Term Loans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each such prepayment (other than mandatory partial prepayments required under this Agreement) shall be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$1,000,000 (or a higher integral multiple of $1,000,000) (or, if less, the outstanding principal balance of the Term Loans) and (y) each such prepayment shall be accompanied by all prepayment fees and any other fees required hereunder and any fees required under the Fee Letter or any Financing Document in connection with such prepayments.</w:t>
      </w:r>
    </w:p>
    <w:p>
      <w:pPr>
        <w:spacing w:after="0" w:line="76" w:lineRule="exact"/>
        <w:rPr>
          <w:rFonts w:ascii="Times New Roman" w:cs="Times New Roman" w:eastAsia="Times New Roman" w:hAnsi="Times New Roman"/>
          <w:sz w:val="18"/>
          <w:szCs w:val="18"/>
          <w:color w:val="auto"/>
        </w:rPr>
      </w:pPr>
    </w:p>
    <w:p>
      <w:pPr>
        <w:ind w:left="440" w:right="80" w:firstLine="737"/>
        <w:spacing w:after="0" w:line="254" w:lineRule="auto"/>
        <w:tabs>
          <w:tab w:leader="none" w:pos="148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Prepayments</w:t>
      </w:r>
      <w:r>
        <w:rPr>
          <w:rFonts w:ascii="Times New Roman" w:cs="Times New Roman" w:eastAsia="Times New Roman" w:hAnsi="Times New Roman"/>
          <w:sz w:val="18"/>
          <w:szCs w:val="18"/>
          <w:color w:val="auto"/>
        </w:rPr>
        <w:t xml:space="preserve">. Except as this Agreement may specifically provide otherwise, all prepayments of the Term Loan shall be applied by Term Loan Servicer to the Term Loans and related Obligations on a pro-rata basis as provided in the immediately following sentence. Notwithstanding anything to the contrary contained in the foregoing, in the event that there have been multiple advances under the Term Loan each of which such advances has a separate amortization schedule of principal payments under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attached hereto, each prepayment of the Term Loan shall be applied by Term Loan Servicer to reduce and prepay the principal balance of the advances then outstanding on a pro-rata basis.</w:t>
      </w:r>
    </w:p>
    <w:p>
      <w:pPr>
        <w:spacing w:after="0" w:line="76" w:lineRule="exact"/>
        <w:rPr>
          <w:rFonts w:ascii="Times New Roman" w:cs="Times New Roman" w:eastAsia="Times New Roman" w:hAnsi="Times New Roman"/>
          <w:sz w:val="18"/>
          <w:szCs w:val="18"/>
          <w:color w:val="auto"/>
        </w:rPr>
      </w:pPr>
    </w:p>
    <w:p>
      <w:pPr>
        <w:ind w:left="440" w:firstLine="737"/>
        <w:spacing w:after="0" w:line="263" w:lineRule="auto"/>
        <w:tabs>
          <w:tab w:leader="none" w:pos="147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 All payments by or on behalf of each Borrower to Term Loan Servicer of principal, interest, fees, expenses, charges and all other amounts owing solely in respect of the Term Loans under the Financing Documents shall be made to the Term Loan Payment Account.</w:t>
      </w:r>
    </w:p>
    <w:p>
      <w:pPr>
        <w:spacing w:after="0" w:line="68"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20" w:firstLine="947"/>
        <w:spacing w:after="0" w:line="250" w:lineRule="auto"/>
        <w:tabs>
          <w:tab w:leader="none" w:pos="1596"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 and Borrowings</w:t>
      </w:r>
      <w:r>
        <w:rPr>
          <w:rFonts w:ascii="Times New Roman" w:cs="Times New Roman" w:eastAsia="Times New Roman" w:hAnsi="Times New Roman"/>
          <w:sz w:val="18"/>
          <w:szCs w:val="18"/>
          <w:color w:val="auto"/>
        </w:rPr>
        <w:t>. On the terms and subject to the conditions set forth herein, each Lender severally agrees to make loans to Borrowers from time to time as set forth herein (each a “</w:t>
      </w:r>
      <w:r>
        <w:rPr>
          <w:rFonts w:ascii="Times New Roman" w:cs="Times New Roman" w:eastAsia="Times New Roman" w:hAnsi="Times New Roman"/>
          <w:sz w:val="18"/>
          <w:szCs w:val="18"/>
          <w:b w:val="1"/>
          <w:bCs w:val="1"/>
          <w:color w:val="auto"/>
        </w:rPr>
        <w:t>Revolving Loan</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equal to such Lender’s Revolving Loan Commitment Percentage of Revolving Loans requested by Borrowers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giving effect thereto, the Revolving Loan Outstandings shall not exceed the Revolving Loan Limit. Borrowers shall deliver to Agent a Notice of Borrowing with respect to each proposed borrowing of a Revolving Loan, such Notice of Borrowing to be delivered before 1:00 p.m. (Eastern time) two (2) Business Days prior to the date of such proposed borrowing (other than a borrowing made on the Closing Date, which may be delivered before 12:00 p.m. (Eastern Time on the Closing Date). Each Borrower and each Revolving Lender hereby authorizes Agent to make Revolving Loans on behalf of Revolving Lenders, at any time in its Permitted Discretion, to pay principal owing in respect of the Revolving Loans and interest, fees, expenses and other charges payable by any Credit Party in respect of the Revolving Loans from time to time arising under this Agreement or any other Financing Document (it being understood that Agent shall not be entitled to make discretionary Revolving Loans to pay any amounts due and owing under or in respect of the Term Loans). The Borrowing Base shall be determined by Agent based on the most recent Borrowing Base Certificate delivered to Agent in accordance with this Agreement (absent manifest error) and such other information as may be available to Agent, in each case in its Permitted Discretion. Without limiting any other rights and remedies of Agent hereunder or under the other Financing Documents, the Revolving Loans shall be subject to Agent’s continuing right to withhold Reserves from the Borrowing Base, and to increase and decrease such Reserves from time to time, if and to the extent that in Agent’s Permitted Discretion, such Reserves are necessary.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77" w:name="page478"/>
    <w:bookmarkEnd w:id="477"/>
    <w:p>
      <w:pPr>
        <w:ind w:left="1640" w:hanging="253"/>
        <w:spacing w:after="0"/>
        <w:tabs>
          <w:tab w:leader="none" w:pos="16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Mandatory Revolving Loan Repayments and Prepayments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0" w:firstLine="903"/>
        <w:spacing w:after="0" w:line="258" w:lineRule="auto"/>
        <w:tabs>
          <w:tab w:leader="none" w:pos="216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Loan Commitment shall terminate on the Termination Date. On such Termination Date, there shall become due, and Borrowers shall pay, the entire outstanding principal amount of each Revolving Loan, together with accrued and unpaid Obligations pertaining thereto incurred to, but excluding the Termination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payment is made not later than 12:00 Noon (Eastern time) on the Termination Date.</w:t>
      </w:r>
    </w:p>
    <w:p>
      <w:pPr>
        <w:spacing w:after="0" w:line="72" w:lineRule="exact"/>
        <w:rPr>
          <w:rFonts w:ascii="Times New Roman" w:cs="Times New Roman" w:eastAsia="Times New Roman" w:hAnsi="Times New Roman"/>
          <w:sz w:val="18"/>
          <w:szCs w:val="18"/>
          <w:color w:val="auto"/>
        </w:rPr>
      </w:pPr>
    </w:p>
    <w:p>
      <w:pPr>
        <w:ind w:left="980" w:right="120" w:firstLine="903"/>
        <w:spacing w:after="0" w:line="278" w:lineRule="auto"/>
        <w:tabs>
          <w:tab w:leader="none" w:pos="215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Revolving Loan Outstandings exceed the Revolving Loan Limit, then, on the next succeeding Business Day, Borrowers shall repay the Revolving Loans, in an aggregate amount equal to such excess.</w:t>
      </w:r>
    </w:p>
    <w:p>
      <w:pPr>
        <w:spacing w:after="0" w:line="55" w:lineRule="exact"/>
        <w:rPr>
          <w:rFonts w:ascii="Times New Roman" w:cs="Times New Roman" w:eastAsia="Times New Roman" w:hAnsi="Times New Roman"/>
          <w:sz w:val="18"/>
          <w:szCs w:val="18"/>
          <w:color w:val="auto"/>
        </w:rPr>
      </w:pPr>
    </w:p>
    <w:p>
      <w:pPr>
        <w:ind w:left="980" w:firstLine="903"/>
        <w:spacing w:after="0" w:line="263" w:lineRule="auto"/>
        <w:tabs>
          <w:tab w:leader="none" w:pos="215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payable on account of Revolving Loans shall be payable by Borrowers to Agent (I) immediately upon the receipt by any Borrower or Agent of any payments on or proceeds from any of the Accounts, to the extent of such payments or proceeds, as further described in Section 2.11 below, and (II) in full on the Termination Date.</w:t>
      </w:r>
    </w:p>
    <w:p>
      <w:pPr>
        <w:spacing w:after="0" w:line="66" w:lineRule="exact"/>
        <w:rPr>
          <w:rFonts w:ascii="Times New Roman" w:cs="Times New Roman" w:eastAsia="Times New Roman" w:hAnsi="Times New Roman"/>
          <w:sz w:val="18"/>
          <w:szCs w:val="18"/>
          <w:color w:val="auto"/>
        </w:rPr>
      </w:pPr>
    </w:p>
    <w:p>
      <w:pPr>
        <w:ind w:left="440" w:right="80" w:firstLine="947"/>
        <w:spacing w:after="0" w:line="258" w:lineRule="auto"/>
        <w:tabs>
          <w:tab w:leader="none" w:pos="169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Borrowers may from time to time prepay the Revolving Loans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partial prepayment shall be in an amount equal to $100,000 or a higher integral multiple of $25,000 (or, if less, the principal amount of Revolving Loans outstanding). For the avoidance of doubt, nothing in this clause shall permit termination of the Revolving Loan Commitment by Borrower other than in accordance with Section 2.12(b).</w:t>
      </w:r>
    </w:p>
    <w:p>
      <w:pPr>
        <w:spacing w:after="0" w:line="74" w:lineRule="exact"/>
        <w:rPr>
          <w:rFonts w:ascii="Times New Roman" w:cs="Times New Roman" w:eastAsia="Times New Roman" w:hAnsi="Times New Roman"/>
          <w:sz w:val="18"/>
          <w:szCs w:val="18"/>
          <w:color w:val="auto"/>
        </w:rPr>
      </w:pPr>
    </w:p>
    <w:p>
      <w:pPr>
        <w:ind w:left="440" w:right="100" w:firstLine="947"/>
        <w:spacing w:after="0" w:line="278" w:lineRule="auto"/>
        <w:tabs>
          <w:tab w:leader="none" w:pos="16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 All payments by or on behalf of each Borrower to Agent under the Financing Documents (other than those described in Section 2.1(a)(iv) above) shall be made to the Revolving Loan Payment Account.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Interest, Interest Calculations and Certain Fees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40" w:hanging="250"/>
        <w:spacing w:after="0"/>
        <w:tabs>
          <w:tab w:leader="none" w:pos="12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120" w:firstLine="947"/>
        <w:spacing w:after="0" w:line="258" w:lineRule="auto"/>
        <w:tabs>
          <w:tab w:leader="none" w:pos="159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following the Closing Date, except as expressly set forth in this Agreement, Loans and the other Obligations shall bear interest at the sum of the SOFR Interest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Interest on the Loans shall be paid monthly in arrears on the first (1st) day of each month and on the maturity of such Loans, whether by acceleration or otherwise. Interest on all other Obligations shall be payable within two (2) Business Days upon written and invoiced demand.</w:t>
      </w:r>
    </w:p>
    <w:p>
      <w:pPr>
        <w:spacing w:after="0" w:line="72" w:lineRule="exact"/>
        <w:rPr>
          <w:rFonts w:ascii="Times New Roman" w:cs="Times New Roman" w:eastAsia="Times New Roman" w:hAnsi="Times New Roman"/>
          <w:sz w:val="18"/>
          <w:szCs w:val="18"/>
          <w:color w:val="auto"/>
        </w:rPr>
      </w:pPr>
    </w:p>
    <w:p>
      <w:pPr>
        <w:ind w:left="440" w:right="140" w:firstLine="947"/>
        <w:spacing w:after="0" w:line="263" w:lineRule="auto"/>
        <w:tabs>
          <w:tab w:leader="none" w:pos="1645"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interest, all funds transferred to the Revolving Loan Payment Account during the Cash Dominion Period for application to any Revolving Loans shall be subject to a two (2) Business Day clearance period and all interest accruing on such funds during such clearance period shall accrue for the benefit of Agent, and not for the benefit of the Lenders.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78" w:name="page479"/>
    <w:bookmarkEnd w:id="478"/>
    <w:p>
      <w:pPr>
        <w:ind w:left="440" w:right="140" w:firstLine="947"/>
        <w:spacing w:after="0" w:line="258" w:lineRule="auto"/>
        <w:tabs>
          <w:tab w:leader="none" w:pos="1695"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connection with the use or administration of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effectiveness of any Conforming Changes.</w:t>
      </w:r>
    </w:p>
    <w:p>
      <w:pPr>
        <w:spacing w:after="0" w:line="72" w:lineRule="exact"/>
        <w:rPr>
          <w:rFonts w:ascii="Times New Roman" w:cs="Times New Roman" w:eastAsia="Times New Roman" w:hAnsi="Times New Roman"/>
          <w:sz w:val="18"/>
          <w:szCs w:val="18"/>
          <w:color w:val="auto"/>
        </w:rPr>
      </w:pPr>
    </w:p>
    <w:p>
      <w:pPr>
        <w:ind w:right="120" w:firstLine="990"/>
        <w:spacing w:after="0" w:line="269" w:lineRule="auto"/>
        <w:tabs>
          <w:tab w:leader="none" w:pos="1234"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Unused Line Fee</w:t>
      </w:r>
      <w:r>
        <w:rPr>
          <w:rFonts w:ascii="Times New Roman" w:cs="Times New Roman" w:eastAsia="Times New Roman" w:hAnsi="Times New Roman"/>
          <w:sz w:val="17"/>
          <w:szCs w:val="17"/>
          <w:color w:val="auto"/>
        </w:rPr>
        <w:t xml:space="preserve">. From and following the Closing Date, Borrowers shall pay Agent, for the benefit of all Lenders committed to make Revolving Loans, in accordance with their respective Pro Rata Shares, a fee in an amount equal to (1) if the average daily balance of the sum of the Revolving Loan Outstandings during the preceding month is greater than or equal to the Minimum Balance: (i) (A) the average daily amount of the Revolving Loan Limit during the preceding month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average daily balance of the sum of the Revolving Loan Outstandings during the preceding month,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one half of one percent (0.50%) per annum or (2) if the Minimum Balance is greater than the average daily balance of the sum of the Revolving Loan Outstandings during the preceding month: (i) (A) the average daily amount of the Revolving Loan Limit during the preceding month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Minimum Balance,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one half of one percent (0.50%) per annum. The unused line fee shall be paid monthly in arrears on the first day of each month and shall be deemed fully earned when due and payable and, once paid, shall be non-refundable.</w:t>
      </w:r>
    </w:p>
    <w:p>
      <w:pPr>
        <w:spacing w:after="0" w:line="66" w:lineRule="exact"/>
        <w:rPr>
          <w:rFonts w:ascii="Times New Roman" w:cs="Times New Roman" w:eastAsia="Times New Roman" w:hAnsi="Times New Roman"/>
          <w:sz w:val="17"/>
          <w:szCs w:val="17"/>
          <w:color w:val="auto"/>
        </w:rPr>
      </w:pPr>
    </w:p>
    <w:p>
      <w:pPr>
        <w:ind w:right="280" w:firstLine="990"/>
        <w:spacing w:after="0" w:line="278" w:lineRule="auto"/>
        <w:tabs>
          <w:tab w:leader="none" w:pos="12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In addition to the other fees set forth herein, the Borrowers agree to pay Agent or Term Loan Servicer, as applicable, the fees set forth in each Fee Letter.</w:t>
      </w:r>
    </w:p>
    <w:p>
      <w:pPr>
        <w:spacing w:after="0" w:line="55" w:lineRule="exact"/>
        <w:rPr>
          <w:rFonts w:ascii="Times New Roman" w:cs="Times New Roman" w:eastAsia="Times New Roman" w:hAnsi="Times New Roman"/>
          <w:sz w:val="18"/>
          <w:szCs w:val="18"/>
          <w:color w:val="auto"/>
        </w:rPr>
      </w:pPr>
    </w:p>
    <w:p>
      <w:pPr>
        <w:ind w:right="240" w:firstLine="990"/>
        <w:spacing w:after="0" w:line="263" w:lineRule="auto"/>
        <w:tabs>
          <w:tab w:leader="none" w:pos="123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Balance Fee</w:t>
      </w:r>
      <w:r>
        <w:rPr>
          <w:rFonts w:ascii="Times New Roman" w:cs="Times New Roman" w:eastAsia="Times New Roman" w:hAnsi="Times New Roman"/>
          <w:sz w:val="18"/>
          <w:szCs w:val="18"/>
          <w:color w:val="auto"/>
        </w:rPr>
        <w:t>. On the first day of each month, beginning the first full month after the Closing Date, the Borrowers agree to pay to Agent, for the ratable benefit of all Revolving Loan Lenders, the sum of the Minimum Balance Fee due for the prior month (if any). The Minimum Balance Fee shall be deemed fully earned when due and payable and, once paid, shall be non-refundable.</w:t>
      </w:r>
    </w:p>
    <w:p>
      <w:pPr>
        <w:spacing w:after="0" w:line="68" w:lineRule="exact"/>
        <w:rPr>
          <w:rFonts w:ascii="Times New Roman" w:cs="Times New Roman" w:eastAsia="Times New Roman" w:hAnsi="Times New Roman"/>
          <w:sz w:val="18"/>
          <w:szCs w:val="18"/>
          <w:color w:val="auto"/>
        </w:rPr>
      </w:pPr>
    </w:p>
    <w:p>
      <w:pPr>
        <w:ind w:firstLine="990"/>
        <w:spacing w:after="0" w:line="253" w:lineRule="auto"/>
        <w:tabs>
          <w:tab w:leader="none" w:pos="12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Management Fee</w:t>
      </w:r>
      <w:r>
        <w:rPr>
          <w:rFonts w:ascii="Times New Roman" w:cs="Times New Roman" w:eastAsia="Times New Roman" w:hAnsi="Times New Roman"/>
          <w:sz w:val="18"/>
          <w:szCs w:val="18"/>
          <w:color w:val="auto"/>
        </w:rPr>
        <w:t xml:space="preserve">. From and following the Closing Date, Borrowers shall pay Agent, for its own account and not for the benefit of any other Lenders, a fee in an amount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greater of (A) the average end-of-day principal balance of Revolving Loans outstanding during the immediately preceding month and (B) the Minimum Balance,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one half of one percent (0.50%) per annum. For purposes of calculating the average end-of-day principal balance of Revolving Loans, all funds paid into the Revolving Loan Payment Account (or which were required to be paid into the Revolving Loan Payment Account hereunder) or otherwise received by Agent for the account of Borrowers shall be subject to a two (2) Business Day clearance period. The collateral management fee shall be payable monthly in arrears on the first day of each calendar month and shall be deemed fully earned when due and payable and, once paid, shall be non-refundable.</w:t>
      </w:r>
    </w:p>
    <w:p>
      <w:pPr>
        <w:spacing w:after="0" w:line="77"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160" w:firstLine="990"/>
        <w:spacing w:after="0" w:line="277" w:lineRule="auto"/>
        <w:tabs>
          <w:tab w:leader="none" w:pos="1234"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Deferred Revolving Loan Origination Fee</w:t>
      </w:r>
      <w:r>
        <w:rPr>
          <w:rFonts w:ascii="Times New Roman" w:cs="Times New Roman" w:eastAsia="Times New Roman" w:hAnsi="Times New Roman"/>
          <w:sz w:val="17"/>
          <w:szCs w:val="17"/>
          <w:color w:val="auto"/>
        </w:rPr>
        <w:t>. If Lenders’ funding obligations in respect of the Revolving Loan Commitment under this Agreement terminate or are permanently reduced for any reason (whether by voluntary termination by Borrowers, by reason of the occurrence of an Event of Default or the automatic termination of the Revolving Loan Commitments (including any automatic termination due to the occurrence of an Event of Default described in Section 10.1(f)) or otherwise) prior to the Maturity Date, Borrowers shall pay to Agent on the date of such reduction, for</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79" w:name="page480"/>
    <w:bookmarkEnd w:id="47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benefit of all Lenders committed to make Revolving Loans on the Closing Date, a fee as compensation for the costs of such Lenders being prepared to make funds available to Borrowers under this Agreement, equal to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the amount of the Revolving Loan Commitment so terminated or permanently reduced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the following applicable percentage amount: (x) three percent (3.00%) if such termination or permanent reduction occurs in the first year following the Closing Date, (y) two percent (2.00%) if such termination or permanent reduction occurs in the second year following the Closing Date, and (z) one percent (1.00%) thereafter. All fees payable pursuant to this paragraph shall be deemed fully-earned on the Closing Date and non-refundable once paid.</w:t>
      </w:r>
    </w:p>
    <w:p>
      <w:pPr>
        <w:spacing w:after="0" w:line="77" w:lineRule="exact"/>
        <w:rPr>
          <w:sz w:val="20"/>
          <w:szCs w:val="20"/>
          <w:color w:val="auto"/>
        </w:rPr>
      </w:pPr>
    </w:p>
    <w:p>
      <w:pPr>
        <w:jc w:val="both"/>
        <w:ind w:right="80" w:firstLine="990"/>
        <w:spacing w:after="0" w:line="268" w:lineRule="auto"/>
        <w:tabs>
          <w:tab w:leader="none" w:pos="1195"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Prepayment Fee</w:t>
      </w:r>
      <w:r>
        <w:rPr>
          <w:rFonts w:ascii="Times New Roman" w:cs="Times New Roman" w:eastAsia="Times New Roman" w:hAnsi="Times New Roman"/>
          <w:sz w:val="17"/>
          <w:szCs w:val="17"/>
          <w:color w:val="auto"/>
        </w:rPr>
        <w:t xml:space="preserve">. If any advance under the Term Loan is prepaid at any time, in whole or in part, for any reason (whether by voluntary prepayment by Borrower, by mandatory prepayment by Borrower, by reason of the occurrence of an Event of Default or otherwise, or if the Term Loan shall become accelerated (including any automatic acceleration due to the occurrence of an Event of Default described in Section 10.1(f)) or otherwise) and due and payable in full, other than, for the avoidance of doubt (x) any scheduled repayments of principal pursuant to </w:t>
      </w:r>
      <w:r>
        <w:rPr>
          <w:rFonts w:ascii="Times New Roman" w:cs="Times New Roman" w:eastAsia="Times New Roman" w:hAnsi="Times New Roman"/>
          <w:sz w:val="17"/>
          <w:szCs w:val="17"/>
          <w:u w:val="single" w:color="auto"/>
          <w:color w:val="auto"/>
        </w:rPr>
        <w:t>Section 2.1(a)(ii)(A)</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firstLine="7"/>
        <w:spacing w:after="0" w:line="249" w:lineRule="auto"/>
        <w:tabs>
          <w:tab w:leader="none" w:pos="25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the Term Loans made (or required to be made) on the Maturity Date, Borrowers shall pay to Term Loan Servicer, for the benefit of all Term Lenders in accordance with their Pro Rata Shares, as compensation for the costs of such Lenders making funds available to Borrowers under this Agreement, a prepayment fee (the “</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xml:space="preserve">”) calculated in accordance with this subsection. The Prepayment Fee in respect of the Term Loans shall be equal to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the amount of principal being prepaid (or required to be prepaid, if such amount is greater)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the following applicable percentage amount: (x) three percent (3.00%) for the first year following the Closing Date, (y) two percent (2.00%) for the second year following the Closing Date, and (z) one percent (1.00%) thereafter. Notwithstanding the foregoing, the Prepayment Fee shall not apply to or be assessed upon any prepayment made by Borrowers if such payments were required by Agent to be made pursuant to Section 2.1(a)(ii)(B) subpart (i) (relating to casualty proceeds), or subpart (iii) (relating to payments exceeding the Maximum Lawful Rate). All fees payable pursuant to this paragraph shall be deemed fully earned when due and payable, and non-refundable once paid.</w:t>
      </w:r>
    </w:p>
    <w:p>
      <w:pPr>
        <w:spacing w:after="0" w:line="81" w:lineRule="exact"/>
        <w:rPr>
          <w:rFonts w:ascii="Times New Roman" w:cs="Times New Roman" w:eastAsia="Times New Roman" w:hAnsi="Times New Roman"/>
          <w:sz w:val="18"/>
          <w:szCs w:val="18"/>
          <w:color w:val="auto"/>
        </w:rPr>
      </w:pPr>
    </w:p>
    <w:p>
      <w:pPr>
        <w:ind w:right="60" w:firstLine="990"/>
        <w:spacing w:after="0" w:line="254" w:lineRule="auto"/>
        <w:tabs>
          <w:tab w:leader="none" w:pos="1195"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Fees</w:t>
      </w:r>
      <w:r>
        <w:rPr>
          <w:rFonts w:ascii="Times New Roman" w:cs="Times New Roman" w:eastAsia="Times New Roman" w:hAnsi="Times New Roman"/>
          <w:sz w:val="18"/>
          <w:szCs w:val="18"/>
          <w:color w:val="auto"/>
        </w:rPr>
        <w:t>. Borrowers shall pay to Agent, for its own account and not for the benefit of any other Lenders, all reasonable and documented, out-of-pocket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 subject to the limitations set forth in Section 4.6 (in the case of audits and field examinations) and Section 4.14(c) (in the case of valuations or appraisals of the Collateral).</w:t>
      </w:r>
    </w:p>
    <w:p>
      <w:pPr>
        <w:spacing w:after="0" w:line="76" w:lineRule="exact"/>
        <w:rPr>
          <w:rFonts w:ascii="Times New Roman" w:cs="Times New Roman" w:eastAsia="Times New Roman" w:hAnsi="Times New Roman"/>
          <w:sz w:val="18"/>
          <w:szCs w:val="18"/>
          <w:color w:val="auto"/>
        </w:rPr>
      </w:pPr>
    </w:p>
    <w:p>
      <w:pPr>
        <w:ind w:right="20" w:firstLine="990"/>
        <w:spacing w:after="0" w:line="263" w:lineRule="auto"/>
        <w:tabs>
          <w:tab w:leader="none" w:pos="123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Wire Fees</w:t>
      </w:r>
      <w:r>
        <w:rPr>
          <w:rFonts w:ascii="Times New Roman" w:cs="Times New Roman" w:eastAsia="Times New Roman" w:hAnsi="Times New Roman"/>
          <w:sz w:val="18"/>
          <w:szCs w:val="18"/>
          <w:color w:val="auto"/>
        </w:rPr>
        <w:t>. Borrowers shall pay to Agent or Term Loan Servicer, for its own account and not for the account of any other Lenders, on written demand, fees for incoming and outgoing wires made for the account of Borrowers, such fees to be based on Agent’s or Term Loan Servicer’s, as applicable, then current wire fee schedule (available upon written request of the Borrowers).</w:t>
      </w:r>
    </w:p>
    <w:p>
      <w:pPr>
        <w:spacing w:after="0" w:line="68" w:lineRule="exact"/>
        <w:rPr>
          <w:rFonts w:ascii="Times New Roman" w:cs="Times New Roman" w:eastAsia="Times New Roman" w:hAnsi="Times New Roman"/>
          <w:sz w:val="18"/>
          <w:szCs w:val="18"/>
          <w:color w:val="auto"/>
        </w:rPr>
      </w:pPr>
    </w:p>
    <w:p>
      <w:pPr>
        <w:ind w:right="140" w:firstLine="990"/>
        <w:spacing w:after="0" w:line="274" w:lineRule="auto"/>
        <w:tabs>
          <w:tab w:leader="none" w:pos="1195"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Late Charges</w:t>
      </w:r>
      <w:r>
        <w:rPr>
          <w:rFonts w:ascii="Times New Roman" w:cs="Times New Roman" w:eastAsia="Times New Roman" w:hAnsi="Times New Roman"/>
          <w:sz w:val="17"/>
          <w:szCs w:val="17"/>
          <w:color w:val="auto"/>
        </w:rPr>
        <w:t>. If payments of principal (other than a final installment of principal upon the Termination Date), interest due on the Obligations, or any other amounts due hereunder or under the other Financing Documents are not timely made and remain overdue for a period of five</w:t>
      </w:r>
    </w:p>
    <w:p>
      <w:pPr>
        <w:ind w:right="1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days, Borrowers, without notice or demand by Agent, promptly shall pay to Agent, for its own account and not for the benefit of any other Lenders, as additional compensation to Agent in administering the Obligations, an amount equal to two percent (2.0%) of each delinquent payment.</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80" w:name="page481"/>
    <w:bookmarkEnd w:id="480"/>
    <w:p>
      <w:pPr>
        <w:jc w:val="both"/>
        <w:ind w:right="180" w:firstLine="990"/>
        <w:spacing w:after="0" w:line="285" w:lineRule="auto"/>
        <w:tabs>
          <w:tab w:leader="none" w:pos="1284"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Computation of Interest and Related Fees</w:t>
      </w:r>
      <w:r>
        <w:rPr>
          <w:rFonts w:ascii="Times New Roman" w:cs="Times New Roman" w:eastAsia="Times New Roman" w:hAnsi="Times New Roman"/>
          <w:sz w:val="17"/>
          <w:szCs w:val="17"/>
          <w:color w:val="auto"/>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spacing w:after="0" w:line="52" w:lineRule="exact"/>
        <w:rPr>
          <w:rFonts w:ascii="Times New Roman" w:cs="Times New Roman" w:eastAsia="Times New Roman" w:hAnsi="Times New Roman"/>
          <w:sz w:val="17"/>
          <w:szCs w:val="17"/>
          <w:color w:val="auto"/>
        </w:rPr>
      </w:pPr>
    </w:p>
    <w:p>
      <w:pPr>
        <w:ind w:right="80" w:firstLine="990"/>
        <w:spacing w:after="0" w:line="253" w:lineRule="auto"/>
        <w:tabs>
          <w:tab w:leader="none" w:pos="123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Automated Clearing House Payments</w:t>
      </w:r>
      <w:r>
        <w:rPr>
          <w:rFonts w:ascii="Times New Roman" w:cs="Times New Roman" w:eastAsia="Times New Roman" w:hAnsi="Times New Roman"/>
          <w:sz w:val="18"/>
          <w:szCs w:val="18"/>
          <w:color w:val="auto"/>
        </w:rPr>
        <w:t>. If Agent or Term Loan Servicer (or their respective designated servicers or trustees on behalf of a securitization vehicle) so elects, monthly payments of principal, interest, fees, expenses or any other amounts due and owing from Borrower to Agent or Term Loan Servicer hereunder shall be paid to Agent or Term Loan Servicer, as applicable, by Automated Clearing House debit of immediately available funds from the financial institution account designated by Borrower Representative in the Automated Clearing House debit authorization executed by Borrowers or Borrower Representative in connection with this Agreement, and shall be effective upon receipt. Borrowers shall execute any and all forms and documentation necessary from time to time to effectuate such automatic debiting. In no event shall any such payments be refunded to Borrowers.</w:t>
      </w:r>
    </w:p>
    <w:p>
      <w:pPr>
        <w:spacing w:after="0" w:line="7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 Conforming Changes.</w:t>
      </w:r>
    </w:p>
    <w:p>
      <w:pPr>
        <w:spacing w:after="0" w:line="113" w:lineRule="exact"/>
        <w:rPr>
          <w:rFonts w:ascii="Times New Roman" w:cs="Times New Roman" w:eastAsia="Times New Roman" w:hAnsi="Times New Roman"/>
          <w:sz w:val="18"/>
          <w:szCs w:val="18"/>
          <w:color w:val="auto"/>
        </w:rPr>
      </w:pPr>
    </w:p>
    <w:p>
      <w:pPr>
        <w:ind w:left="440" w:right="100" w:firstLine="947"/>
        <w:spacing w:after="0" w:line="251" w:lineRule="auto"/>
        <w:tabs>
          <w:tab w:leader="none" w:pos="159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implementation of any Benchmark Replacement and the effectiveness of any Conforming Changes.</w:t>
      </w:r>
    </w:p>
    <w:p>
      <w:pPr>
        <w:spacing w:after="0" w:line="84" w:lineRule="exact"/>
        <w:rPr>
          <w:rFonts w:ascii="Times New Roman" w:cs="Times New Roman" w:eastAsia="Times New Roman" w:hAnsi="Times New Roman"/>
          <w:sz w:val="18"/>
          <w:szCs w:val="18"/>
          <w:color w:val="auto"/>
        </w:rPr>
      </w:pPr>
    </w:p>
    <w:p>
      <w:pPr>
        <w:jc w:val="both"/>
        <w:ind w:left="440" w:right="140" w:firstLine="947"/>
        <w:spacing w:after="0" w:line="270" w:lineRule="auto"/>
        <w:tabs>
          <w:tab w:leader="none" w:pos="1645"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w:t>
      </w:r>
    </w:p>
    <w:p>
      <w:pPr>
        <w:spacing w:after="0" w:line="1" w:lineRule="exact"/>
        <w:rPr>
          <w:rFonts w:ascii="Times New Roman" w:cs="Times New Roman" w:eastAsia="Times New Roman" w:hAnsi="Times New Roman"/>
          <w:sz w:val="17"/>
          <w:szCs w:val="17"/>
          <w:color w:val="auto"/>
        </w:rPr>
      </w:pPr>
    </w:p>
    <w:p>
      <w:pPr>
        <w:ind w:left="4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to the contrary herein or in any other Financing Document, at any time, (a) if the then-current 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“Interest Period” (or any similar or analogous definition) for all Benchmark settings at or after such time to reinstate such previously removed tenor. Agent will promptly notify Borrower Representative of the removal or reinstatement of any tenor of a Benchmark pursuant to this Section.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81" w:name="page482"/>
    <w:bookmarkEnd w:id="481"/>
    <w:p>
      <w:pPr>
        <w:ind w:right="140" w:firstLine="990"/>
        <w:spacing w:after="0" w:line="263" w:lineRule="auto"/>
        <w:tabs>
          <w:tab w:leader="none" w:pos="123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Upon Borrower Representative’s receipt of notice of the commencement of a Benchmark Unavailability Period, the Borrower may revoke any pending request for a SOFR Loan and make requests for Base Rate Loans and any outstanding affected Loans will be deemed to have been converted into Base Rate Loans at the end of the applicable Interest Period.</w:t>
      </w:r>
    </w:p>
    <w:p>
      <w:pPr>
        <w:spacing w:after="0" w:line="175" w:lineRule="exact"/>
        <w:rPr>
          <w:sz w:val="20"/>
          <w:szCs w:val="20"/>
          <w:color w:val="auto"/>
        </w:rPr>
      </w:pPr>
    </w:p>
    <w:p>
      <w:pPr>
        <w:ind w:right="1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portion of the Loans made by each Lender shall be evidenced, if so requested by such Lender, by one or more promissory notes executed by Borrowers on a joint and several basis (each,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 an original principal amount equal to such Lender’s Revolving Loan Commitment Amount or Term Loan Commitments, as applicable.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General Provisions Regarding Payment; Loan Accounts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1" w:lineRule="auto"/>
        <w:tabs>
          <w:tab w:leader="none" w:pos="12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each Credit Party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a Payment Account before 12:00 Noon (Eastern time) on any date shall be deemed received by Agent or Term Loan Servicer, as applicable, on such date, and any payments received in the applicable Payment Account at or after 12:00 Noon (Eastern time) on any date shall be deemed received by Agent or Term Loan Servicer, as applicable, on the next succeeding Business Day.</w:t>
      </w:r>
    </w:p>
    <w:p>
      <w:pPr>
        <w:spacing w:after="0" w:line="78" w:lineRule="exact"/>
        <w:rPr>
          <w:rFonts w:ascii="Times New Roman" w:cs="Times New Roman" w:eastAsia="Times New Roman" w:hAnsi="Times New Roman"/>
          <w:sz w:val="18"/>
          <w:szCs w:val="18"/>
          <w:color w:val="auto"/>
        </w:rPr>
      </w:pPr>
    </w:p>
    <w:p>
      <w:pPr>
        <w:ind w:right="20" w:firstLine="990"/>
        <w:spacing w:after="0" w:line="251" w:lineRule="auto"/>
        <w:tabs>
          <w:tab w:leader="none" w:pos="123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maintain a revolving loan account (the “</w:t>
      </w:r>
      <w:r>
        <w:rPr>
          <w:rFonts w:ascii="Times New Roman" w:cs="Times New Roman" w:eastAsia="Times New Roman" w:hAnsi="Times New Roman"/>
          <w:sz w:val="18"/>
          <w:szCs w:val="18"/>
          <w:b w:val="1"/>
          <w:bCs w:val="1"/>
          <w:color w:val="auto"/>
        </w:rPr>
        <w:t>Revolving Loan Account</w:t>
      </w:r>
      <w:r>
        <w:rPr>
          <w:rFonts w:ascii="Times New Roman" w:cs="Times New Roman" w:eastAsia="Times New Roman" w:hAnsi="Times New Roman"/>
          <w:sz w:val="18"/>
          <w:szCs w:val="18"/>
          <w:color w:val="auto"/>
        </w:rPr>
        <w:t xml:space="preserve">”) on its books to record Revolving Loans and other extensions of credit made by the Revolving Lenders hereunder or under any other Financing Document, and all payments thereon made by each Borrower. All entries in the Revolving Loan Account shall be made in accordance with Agent’s customary accounting practices as in effect from time to time. The balance in the Revolving Loan Account, as recorded in Agent’s books and records at any time shall be conclusive and binding evidence of the amounts due and owing to Agent by each Borrower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failure to so record or any error in so recording shall not limit or otherwise affect any Borrower’s duty to pay all amounts owing hereunder or under any other Financing Document. Agent shall endeavor to provide Borrowers with a monthly statement regarding the Revolving Loan Account (but none of Agent or any Lender shall have any liability if Agent shall fail to provide any such statement).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82" w:name="page483"/>
    <w:bookmarkEnd w:id="482"/>
    <w:p>
      <w:pPr>
        <w:ind w:right="80" w:firstLine="990"/>
        <w:spacing w:after="0" w:line="251" w:lineRule="auto"/>
        <w:tabs>
          <w:tab w:leader="none" w:pos="122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 Loan Servicer shall maintain a term loan account (the “</w:t>
      </w:r>
      <w:r>
        <w:rPr>
          <w:rFonts w:ascii="Times New Roman" w:cs="Times New Roman" w:eastAsia="Times New Roman" w:hAnsi="Times New Roman"/>
          <w:sz w:val="18"/>
          <w:szCs w:val="18"/>
          <w:b w:val="1"/>
          <w:bCs w:val="1"/>
          <w:color w:val="auto"/>
        </w:rPr>
        <w:t>Term Loan Account</w:t>
      </w:r>
      <w:r>
        <w:rPr>
          <w:rFonts w:ascii="Times New Roman" w:cs="Times New Roman" w:eastAsia="Times New Roman" w:hAnsi="Times New Roman"/>
          <w:sz w:val="18"/>
          <w:szCs w:val="18"/>
          <w:color w:val="auto"/>
        </w:rPr>
        <w:t xml:space="preserve">”) on its books to record Term Loans and other extensions of credit made by the Term Lenders hereunder or under any other Financing Document, and all payments thereon made by each Borrower. All entries in the Term Loan Account shall be made in accordance with Term Loan Servicer’s customary accounting practices as in effect from time to time. The balance in the Term Loan Account, as recorded in Term Loan Servicer’s books and records at any time shall be conclusive and binding evidence of the amounts due and owing to Term Loan Servicer by each Borrower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failure to so record or any error in so recording shall not limit or otherwise affect any Borrower’s duty to pay all amounts owing hereunder or under any other Financing Document. Term Loan Servicer shall endeavor to provide Borrowers with a monthly statement regarding the Term Loan Account (but none of Term Loan Servicer or any Lender shall have any liability if Term Loan Servicer shall fail to provide any such statement). Unless any Borrower notifies Term Loan Servicer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93"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Maximum Interest</w:t>
      </w:r>
      <w:r>
        <w:rPr>
          <w:rFonts w:ascii="Times New Roman" w:cs="Times New Roman" w:eastAsia="Times New Roman" w:hAnsi="Times New Roman"/>
          <w:sz w:val="18"/>
          <w:szCs w:val="18"/>
          <w:color w:val="auto"/>
        </w:rPr>
        <w:t>. In no event shall the interest charged with respect to the Loans or any other Obligations of 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Times New Roman" w:cs="Times New Roman" w:eastAsia="Times New Roman" w:hAnsi="Times New Roman"/>
          <w:sz w:val="18"/>
          <w:szCs w:val="18"/>
          <w:b w:val="1"/>
          <w:bCs w:val="1"/>
          <w:color w:val="auto"/>
        </w:rPr>
        <w:t>Stated Rate</w:t>
      </w:r>
      <w:r>
        <w:rPr>
          <w:rFonts w:ascii="Times New Roman" w:cs="Times New Roman" w:eastAsia="Times New Roman" w:hAnsi="Times New Roman"/>
          <w:sz w:val="18"/>
          <w:szCs w:val="18"/>
          <w:color w:val="auto"/>
        </w:rPr>
        <w:t>”) would exceed the highest rate of interest permitted under any applicable law to be charged (the “</w:t>
      </w:r>
      <w:r>
        <w:rPr>
          <w:rFonts w:ascii="Times New Roman" w:cs="Times New Roman" w:eastAsia="Times New Roman" w:hAnsi="Times New Roman"/>
          <w:sz w:val="18"/>
          <w:szCs w:val="18"/>
          <w:b w:val="1"/>
          <w:bCs w:val="1"/>
          <w:color w:val="auto"/>
        </w:rPr>
        <w:t>Maximum Lawful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then for so long as the Maximum Lawful Rate would be so exceeded, the rate of interest payable shall be equal to the Maximum Lawful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at any time thereafter the Stated Rate is less than the Maximum Lawful Rate, each Borrower shall, to the extent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days in the year in which such calculation is made.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Taxes; Capital Adequacy: Increased Costs; Inability to Determine Rates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990"/>
        <w:spacing w:after="0" w:line="253" w:lineRule="auto"/>
        <w:tabs>
          <w:tab w:leader="none" w:pos="122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 Indemnified Tax, then the Credit Parties shall pay such additional amount or amounts as is necessary to ensure that the net amount actually received by Agent, Term Loan Servicer and each Lender will equal the full amount such recipient would have received had no such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83" w:name="page484"/>
    <w:bookmarkEnd w:id="48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withholding or deduction been required (including, without limitation, such withholdings and deductions applicable to additional sums payable under this Section 2.8). After payment of any Tax by a Credit Party to a Governmental Authority pursuant to this Section 2.8, such Credit Party shall promptly forward to Agent and Term Loan Servicer the original or a certified copy of an official receipt, a copy of the return reporting such payment, or other documentation reasonably satisfactory to Agent and Term Loan Servicer evidencing such payment to such authority. Credit Parties shall timely pay to the relevant Governmental Authority in accordance with applicable Law, or at the option of Agent or Term Loan Servicer, as applicable, timely reimburse Agent or Term Loan Servicer, as applicable for the payment of, any Other Taxes.</w:t>
      </w:r>
    </w:p>
    <w:p>
      <w:pPr>
        <w:spacing w:after="0" w:line="77" w:lineRule="exact"/>
        <w:rPr>
          <w:sz w:val="20"/>
          <w:szCs w:val="20"/>
          <w:color w:val="auto"/>
        </w:rPr>
      </w:pPr>
    </w:p>
    <w:p>
      <w:pPr>
        <w:ind w:firstLine="990"/>
        <w:spacing w:after="0" w:line="253" w:lineRule="auto"/>
        <w:tabs>
          <w:tab w:leader="none" w:pos="1235"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shall indemnify Agent, Term Loan Servicer and Lenders, within ten (10) days after demand thereof, for the full amount of any Indemnified Taxes (including Indemnified Taxes imposed or asserted on or attributable to amounts payable under this Section 2.8) payable or paid by Agent, Term Loan Servicer or any Lender or required to be withheld or deducted from a payment to Agent, Term Loan Servicer or any Lender and any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and Term Loan Servicer), or by Agent or Term Loan Servicer, as applicable, on its own behalf or on behalf of a Lender, shall be conclusive absent manifest error.</w:t>
      </w:r>
    </w:p>
    <w:p>
      <w:pPr>
        <w:spacing w:after="0" w:line="77" w:lineRule="exact"/>
        <w:rPr>
          <w:rFonts w:ascii="Times New Roman" w:cs="Times New Roman" w:eastAsia="Times New Roman" w:hAnsi="Times New Roman"/>
          <w:sz w:val="18"/>
          <w:szCs w:val="18"/>
          <w:color w:val="auto"/>
        </w:rPr>
      </w:pPr>
    </w:p>
    <w:p>
      <w:pPr>
        <w:ind w:right="40" w:firstLine="990"/>
        <w:spacing w:after="0" w:line="251" w:lineRule="auto"/>
        <w:tabs>
          <w:tab w:leader="none" w:pos="1225"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Financing Document shall deliver to Borrower Representative, Agent and Term Loan Servicer, at the time or times prescribed by applicable Law or reasonably requested by Borrower Representative, Agent or Term Loan Servicer, such properly completed and executed documentation reasonably requested by Borrower Representative, Agent or Term Loan Servicer as will permit such payments to be made without withholding or at a reduced rate of withholding. In addition, any Lender, if reasonably requested by Borrower Representative, Agent or Term Loan Servicer, shall deliver such other documentation prescribed by applicable Law or reasonably requested by Borrowers, Agent or Term Loan Servicer as will enable Borrowers, Agent or Term Loan Servicer, as applicable,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2.8(c)(i), 2.8(c)(ii) and 2.8(e)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79" w:lineRule="exact"/>
        <w:rPr>
          <w:rFonts w:ascii="Times New Roman" w:cs="Times New Roman" w:eastAsia="Times New Roman" w:hAnsi="Times New Roman"/>
          <w:sz w:val="18"/>
          <w:szCs w:val="18"/>
          <w:color w:val="auto"/>
        </w:rPr>
      </w:pPr>
    </w:p>
    <w:p>
      <w:pPr>
        <w:ind w:left="440" w:right="140" w:firstLine="947"/>
        <w:spacing w:after="0" w:line="266" w:lineRule="auto"/>
        <w:tabs>
          <w:tab w:leader="none" w:pos="1596" w:val="left"/>
        </w:tabs>
        <w:numPr>
          <w:ilvl w:val="2"/>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that is not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(each such Lender a “</w:t>
      </w:r>
      <w:r>
        <w:rPr>
          <w:rFonts w:ascii="Times New Roman" w:cs="Times New Roman" w:eastAsia="Times New Roman" w:hAnsi="Times New Roman"/>
          <w:sz w:val="17"/>
          <w:szCs w:val="17"/>
          <w:b w:val="1"/>
          <w:bCs w:val="1"/>
          <w:color w:val="auto"/>
        </w:rPr>
        <w:t>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shall, to the extent permitted by Law, execute and deliver to Borrower Representative, Agent and Term Loan Servicer (in such number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copies as shall be requested by the recipient) on or prior to the date on which such Foreign Lender becomes a Lender under this Agreement (and from time to time thereafter upon the reasonable request of the Borrower Representative, Agent or Term Loan Servicer) whichever of the following is applicable: (A) in the case of a Foreign Lender claiming the benefits of an income tax treaty to which the United States is a party,</w:t>
      </w:r>
    </w:p>
    <w:p>
      <w:pPr>
        <w:ind w:left="700" w:hanging="256"/>
        <w:spacing w:after="0"/>
        <w:tabs>
          <w:tab w:leader="none" w:pos="7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Financing Document, two (2) properly completed and executed originals of IRS Forms</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W-8BEN or W-8BEN-E (or successor form) establishing an exemption from, or reduction of,</w:t>
      </w:r>
    </w:p>
    <w:p>
      <w:pPr>
        <w:spacing w:after="0" w:line="1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52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84" w:name="page485"/>
    <w:bookmarkEnd w:id="484"/>
    <w:p>
      <w:pPr>
        <w:ind w:left="440" w:right="1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U.S. federal withholding tax pursuant to the “interest” article of such tax treaty and (y) with respect to any other applicable payments under any Financing Documents, two (2) properly completed and executed originals of IRS Forms W-8BEN or W-8BEN-E (or successor form) establishing an exemption from, or reduction of, U.S. federal withholding tax pursuant to the “business profits” or “other income” article of such tax treaty;</w:t>
      </w:r>
    </w:p>
    <w:p>
      <w:pPr>
        <w:spacing w:after="0" w:line="1" w:lineRule="exact"/>
        <w:rPr>
          <w:sz w:val="20"/>
          <w:szCs w:val="20"/>
          <w:color w:val="auto"/>
        </w:rPr>
      </w:pPr>
    </w:p>
    <w:p>
      <w:pPr>
        <w:ind w:left="440" w:right="60" w:firstLine="4"/>
        <w:spacing w:after="0" w:line="262" w:lineRule="auto"/>
        <w:tabs>
          <w:tab w:leader="none" w:pos="722"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two (2) executed originals of IRS Form W-8ECI (or successor form); (C)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7"/>
          <w:szCs w:val="17"/>
          <w:u w:val="single" w:color="auto"/>
          <w:color w:val="auto"/>
        </w:rPr>
        <w:t>Exhibit E-1</w:t>
      </w:r>
      <w:r>
        <w:rPr>
          <w:rFonts w:ascii="Times New Roman" w:cs="Times New Roman" w:eastAsia="Times New Roman" w:hAnsi="Times New Roman"/>
          <w:sz w:val="17"/>
          <w:szCs w:val="17"/>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 w:cs="Times New Roman" w:eastAsia="Times New Roman" w:hAnsi="Times New Roman"/>
          <w:sz w:val="17"/>
          <w:szCs w:val="17"/>
          <w:b w:val="1"/>
          <w:bCs w:val="1"/>
          <w:color w:val="auto"/>
        </w:rPr>
        <w:t>U.S.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Compliance Certificate</w:t>
      </w:r>
      <w:r>
        <w:rPr>
          <w:rFonts w:ascii="Times New Roman" w:cs="Times New Roman" w:eastAsia="Times New Roman" w:hAnsi="Times New Roman"/>
          <w:sz w:val="17"/>
          <w:szCs w:val="17"/>
          <w:color w:val="auto"/>
        </w:rPr>
        <w:t>”) and (y) two (2) executed originals of IRS Forms W-8BEN or W-8BEN-E (or successor form); (D) to the extent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Foreign Lender is not the beneficial owner, two (2) executed originals of IRS Form W-8IMY, accompanied by IRS Form W-8ECI, IRS Form W-8BEN or W-8BEN-E (or successor form), a U.S. Tax Compliance Certificate substantially in the form of </w:t>
      </w:r>
      <w:r>
        <w:rPr>
          <w:rFonts w:ascii="Times New Roman" w:cs="Times New Roman" w:eastAsia="Times New Roman" w:hAnsi="Times New Roman"/>
          <w:sz w:val="17"/>
          <w:szCs w:val="17"/>
          <w:u w:val="single" w:color="auto"/>
          <w:color w:val="auto"/>
        </w:rPr>
        <w:t>Exhibit E-2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E-3</w:t>
      </w:r>
      <w:r>
        <w:rPr>
          <w:rFonts w:ascii="Times New Roman" w:cs="Times New Roman" w:eastAsia="Times New Roman" w:hAnsi="Times New Roman"/>
          <w:sz w:val="17"/>
          <w:szCs w:val="17"/>
          <w:color w:val="auto"/>
        </w:rPr>
        <w:t xml:space="preserve">, IRS Form W-9 (or successor form), and/or other certification documents from each beneficial owner,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7"/>
          <w:szCs w:val="17"/>
          <w:u w:val="single" w:color="auto"/>
          <w:color w:val="auto"/>
        </w:rPr>
        <w:t>Exhibit E-4</w:t>
      </w:r>
      <w:r>
        <w:rPr>
          <w:rFonts w:ascii="Times New Roman" w:cs="Times New Roman" w:eastAsia="Times New Roman" w:hAnsi="Times New Roman"/>
          <w:sz w:val="17"/>
          <w:szCs w:val="17"/>
          <w:color w:val="auto"/>
        </w:rPr>
        <w:t xml:space="preserve"> on behalf of each such direct and indirect partner; or</w:t>
      </w:r>
    </w:p>
    <w:p>
      <w:pPr>
        <w:spacing w:after="0" w:line="5" w:lineRule="exact"/>
        <w:rPr>
          <w:rFonts w:ascii="Times New Roman" w:cs="Times New Roman" w:eastAsia="Times New Roman" w:hAnsi="Times New Roman"/>
          <w:sz w:val="17"/>
          <w:szCs w:val="17"/>
          <w:color w:val="auto"/>
        </w:rPr>
      </w:pPr>
    </w:p>
    <w:p>
      <w:pPr>
        <w:ind w:left="440" w:firstLine="4"/>
        <w:spacing w:after="0" w:line="249" w:lineRule="auto"/>
        <w:tabs>
          <w:tab w:leader="none" w:pos="71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applicable forms, certificates or documents prescribed by the IRS. Each Lender agrees that if any form or certification it previously delivered expires or becomes obsolete or inaccurate in any respect, it shall update such form or certification or promptly notify Borrower Representative, Agent and Term Loan Servicer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spacing w:after="0" w:line="82" w:lineRule="exact"/>
        <w:rPr>
          <w:rFonts w:ascii="Times New Roman" w:cs="Times New Roman" w:eastAsia="Times New Roman" w:hAnsi="Times New Roman"/>
          <w:sz w:val="18"/>
          <w:szCs w:val="18"/>
          <w:color w:val="auto"/>
        </w:rPr>
      </w:pPr>
    </w:p>
    <w:p>
      <w:pPr>
        <w:ind w:left="440" w:right="40" w:firstLine="947"/>
        <w:spacing w:after="0" w:line="251" w:lineRule="auto"/>
        <w:tabs>
          <w:tab w:leader="none" w:pos="1645"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shall, to the extent permitted by Law, provide to Borrower Representative, Agent and Term Loan Servicer on or prior to the date on which such Lender becomes a Lender under this Agreement (and from time to time thereafter upon the reasonable request of the Borrower Representative, Term Loan Servicer or Agent), a properly completed and executed IRS Form W-9 or any successor form certifying as to such Lender’s entitlement to an exemption from U.S. backup withholding and other applicable forms, certificates or documents prescribed by the IRS or reasonably requested by Borrower Representative, Term Loan Servicer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spacing w:after="0" w:line="82" w:lineRule="exact"/>
        <w:rPr>
          <w:rFonts w:ascii="Times New Roman" w:cs="Times New Roman" w:eastAsia="Times New Roman" w:hAnsi="Times New Roman"/>
          <w:sz w:val="18"/>
          <w:szCs w:val="18"/>
          <w:color w:val="auto"/>
        </w:rPr>
      </w:pPr>
    </w:p>
    <w:p>
      <w:pPr>
        <w:ind w:left="440" w:right="100" w:firstLine="947"/>
        <w:spacing w:after="0" w:line="254" w:lineRule="auto"/>
        <w:tabs>
          <w:tab w:leader="none" w:pos="1695"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Borrower Representative, Agent and Term Loan Servicer (in such number of copies as shall be requested by the recipient) on or prior to the date on which such Foreign Lender becomes a Lender under this Agreement (and from time to time thereafter upon the reasonable request of the Borrower Representative, Term Loan Servicer or Agent), executed copies of any other form prescribed by applicable Law as a basis for claiming exemption from or a reduction in U.S. Federal withholding Tax, duly completed, together with such supplementary documentation as may be prescribed by applicable law to permit Borrowers, Agent or Term Loan Servicer to determine the withholding or deduction required to be made.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85" w:name="page486"/>
    <w:bookmarkEnd w:id="485"/>
    <w:p>
      <w:pPr>
        <w:ind w:firstLine="990"/>
        <w:spacing w:after="0" w:line="250" w:lineRule="auto"/>
        <w:tabs>
          <w:tab w:leader="none" w:pos="12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If the Agent, the Term Loan Servicer or any Lender determines, in its reasonable discretion, that it has received a refund in respect of any Taxes as to which it has been indemnified by any Borrower pursuant to this Section 2.8 (including by the payment of additional amounts pursuant to this Section 2.8), then it shall promptly pay an amount equal to such refund to Borrowers, net of all reasonable out-of-pocket expenses of such Lender or of Agent or Term Loan Servicer with respect thereto, including any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Borrowers, upon the written request of such Lender, Agent or Term Loan Servicer, agree to repay any amount paid over to Borrowers to such Lender or to Agent or Term Loan Servicer (plus any related penalties, interest or other charges imposed by the relevant Governmental Authority) in the event such Lender, Agent or Term Loan Servicer is required, for any reason, to repay such refund to such Governmental Authority. Notwithstanding anything to the contrary in this Section 2.8, in no event will the indemnified party be required to pay any amount to an indemnifying party pursuant to this Section 2.8(d)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2.8(d) shall not be construed to require any indemnified party to make available its Tax returns (or any other information relating to its Taxes that it deems confidential) to the indemnifying party or any other Person.</w:t>
      </w:r>
    </w:p>
    <w:p>
      <w:pPr>
        <w:spacing w:after="0" w:line="194" w:lineRule="exact"/>
        <w:rPr>
          <w:rFonts w:ascii="Times New Roman" w:cs="Times New Roman" w:eastAsia="Times New Roman" w:hAnsi="Times New Roman"/>
          <w:sz w:val="18"/>
          <w:szCs w:val="18"/>
          <w:color w:val="auto"/>
        </w:rPr>
      </w:pPr>
    </w:p>
    <w:p>
      <w:pPr>
        <w:ind w:right="20" w:firstLine="990"/>
        <w:spacing w:after="0" w:line="251" w:lineRule="auto"/>
        <w:tabs>
          <w:tab w:leader="none" w:pos="122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Agent and Term Loan Servicer at the time or times prescribed by Law and at such time or times reasonably requested by Borrower Representative, Agent or Term Loan Servicer such documentation prescribed by applicable Law (including as prescribed by Section 1471(b)(3)(C)(i) of the Code) and such additional documentation reasonably requested by Borrower Representative, Agent or Term Loan Servicer as may be necessary for Borrowers, Agent and Term Loan Servicer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ind w:right="60" w:firstLine="990"/>
        <w:spacing w:after="0" w:line="251" w:lineRule="auto"/>
        <w:tabs>
          <w:tab w:leader="none" w:pos="12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Agent and Term Loan Servicer, within ten (10) days after demand therefor, for (i) any Indemnified Taxes attributable to such Lender (but only to the extent that any Credit Party has not already indemnified Agent or Term Loan Servicer, as applicable, for such Indemnified Taxes and without limiting the obligation of the Credit Parties to do so), (ii) any Taxes attributable to such Lender’s failure to comply with the provisions of Section 11.17 relating to the maintenance of a Participant Register and (iii) any Excluded Taxes attributable to such Lender, in each case, that are payable or paid by Agent or Term Loan Servicer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or Term Loan Servicer, as appliable, shall be conclusive absent manifest error. Each Lender hereby authorizes Agent and Term Loan Servicer to set off and apply any and all amounts at any time owing to such Lender under any Financing Document or otherwise payable by Agent or Term Loan Servicer, as applicable, to such Lender from any other source against any amount due to Agent or Term Loan Servicer, as applicable, under this paragraph (f).</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86" w:name="page487"/>
    <w:bookmarkEnd w:id="486"/>
    <w:p>
      <w:pPr>
        <w:ind w:right="20" w:firstLine="990"/>
        <w:spacing w:after="0" w:line="249" w:lineRule="auto"/>
        <w:tabs>
          <w:tab w:leader="none" w:pos="12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If any Lender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demand by such Lender (which demand shall be accompanied by a certificate setting forth the basis for such demand and a calculation of the amount thereof in reasonable detail, a copy of which shall be furnished to Agent and Term Loan Servicer),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spacing w:after="0" w:line="200" w:lineRule="exact"/>
        <w:rPr>
          <w:rFonts w:ascii="Times New Roman" w:cs="Times New Roman" w:eastAsia="Times New Roman" w:hAnsi="Times New Roman"/>
          <w:sz w:val="18"/>
          <w:szCs w:val="18"/>
          <w:color w:val="auto"/>
        </w:rPr>
      </w:pPr>
    </w:p>
    <w:p>
      <w:pPr>
        <w:ind w:right="80" w:firstLine="990"/>
        <w:spacing w:after="0" w:line="251" w:lineRule="auto"/>
        <w:tabs>
          <w:tab w:leader="none" w:pos="12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with respect to this Agreement, or any SOFR Loan made by it (except for Indemnified Taxes or Excluded Taxes); or (iii) impose on any Lender any other condition, cost or expense affecting this Agreement or SOFR Loans made by such Lender, and the result of any of the foregoing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191" w:lineRule="exact"/>
        <w:rPr>
          <w:rFonts w:ascii="Times New Roman" w:cs="Times New Roman" w:eastAsia="Times New Roman" w:hAnsi="Times New Roman"/>
          <w:sz w:val="18"/>
          <w:szCs w:val="18"/>
          <w:color w:val="auto"/>
        </w:rPr>
      </w:pPr>
    </w:p>
    <w:p>
      <w:pPr>
        <w:ind w:firstLine="990"/>
        <w:spacing w:after="0" w:line="254" w:lineRule="auto"/>
        <w:tabs>
          <w:tab w:leader="none" w:pos="119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any of the clauses in this Section 2.8, or requires Borrowers to pay any additional amount to any Lender or any Governmental Authority for the account of any Lender pursuant to Section 2.8, then, upon the written request of Borrower Representative, such Lender shall use reasonable efforts to designate a different lending office for funding or booking its Loans hereunder or to assign its rights and obligations hereunder (subject to the provisions of Section 11.17) to another of its offices, branches or affiliates, if, in the reasonable judgment of such Lender, such designation or assignment (i) would eliminate or materially reduce amounts payable pursuant to any such Section, as the case may be, in the future, (ii) would not subject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7" w:right="519" w:bottom="1440" w:gutter="0" w:footer="0" w:header="0"/>
        </w:sectPr>
      </w:pPr>
    </w:p>
    <w:bookmarkStart w:id="487" w:name="page488"/>
    <w:bookmarkEnd w:id="487"/>
    <w:p>
      <w:pPr>
        <w:ind w:right="1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Lender to any unreimbursed cost or expense and (iii) would not otherwise be disadvantageous to such Lender (as determined in its sole good faith discretion). Without limitation of the provisions of Section 13.14, each Borrower hereby agrees to pay all reasonable and documented, out-of-pocket costs and expenses incurred by any Lender in connection with any such designation or assignment.</w:t>
      </w:r>
    </w:p>
    <w:p>
      <w:pPr>
        <w:spacing w:after="0" w:line="175" w:lineRule="exact"/>
        <w:rPr>
          <w:sz w:val="20"/>
          <w:szCs w:val="20"/>
          <w:color w:val="auto"/>
        </w:rPr>
      </w:pPr>
    </w:p>
    <w:p>
      <w:pPr>
        <w:ind w:right="140" w:firstLine="990"/>
        <w:spacing w:after="0" w:line="254" w:lineRule="auto"/>
        <w:tabs>
          <w:tab w:leader="none" w:pos="11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2.2(o),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spacing w:after="0" w:line="183" w:lineRule="exact"/>
        <w:rPr>
          <w:rFonts w:ascii="Times New Roman" w:cs="Times New Roman" w:eastAsia="Times New Roman" w:hAnsi="Times New Roman"/>
          <w:sz w:val="18"/>
          <w:szCs w:val="18"/>
          <w:color w:val="auto"/>
        </w:rPr>
      </w:pPr>
    </w:p>
    <w:p>
      <w:pPr>
        <w:ind w:firstLine="990"/>
        <w:spacing w:after="0" w:line="254" w:lineRule="auto"/>
        <w:tabs>
          <w:tab w:leader="none" w:pos="123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Representative (through Agent) that the circumstances giving rise to such determination no longer exist. Upon receipt of such notice, all SOFR Loans shall become Base Rate Loans. Upon any such conversion, Borrower shall also pay any additional amounts required pursuant to this Agreement.</w:t>
      </w:r>
    </w:p>
    <w:p>
      <w:pPr>
        <w:spacing w:after="0" w:line="183" w:lineRule="exact"/>
        <w:rPr>
          <w:rFonts w:ascii="Times New Roman" w:cs="Times New Roman" w:eastAsia="Times New Roman" w:hAnsi="Times New Roman"/>
          <w:sz w:val="18"/>
          <w:szCs w:val="18"/>
          <w:color w:val="auto"/>
        </w:rPr>
      </w:pPr>
    </w:p>
    <w:p>
      <w:pPr>
        <w:ind w:right="380" w:firstLine="990"/>
        <w:spacing w:after="0" w:line="278" w:lineRule="auto"/>
        <w:tabs>
          <w:tab w:leader="none" w:pos="11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2.8 shall survive the resignation or replacement of Agent or Term Loan Servicer or any assignment of rights by, or the replacement of, a Lender and the repayment, satisfaction or discharge of all Obligations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Appointment of Borrower Representative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51" w:lineRule="auto"/>
        <w:tabs>
          <w:tab w:leader="none" w:pos="122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appoints and constitutes Borrower Representative as its agent and attorney-in-fact to request and receive Loans in the name or on behalf of such Borrower and any other Borrowers, deliver Notices of Borrowing and Borrowing Base Certificates give instructions with respect to the disbursement of the proceeds of the Loans ,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Term Loan Servicer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or Term Loan Servicer, as applicable, may at any time and from time to time require that Loans to or for the account of any Borrower be disbursed directly to an operating account of such Borrower.</w:t>
      </w:r>
    </w:p>
    <w:p>
      <w:pPr>
        <w:spacing w:after="0" w:line="191" w:lineRule="exact"/>
        <w:rPr>
          <w:rFonts w:ascii="Times New Roman" w:cs="Times New Roman" w:eastAsia="Times New Roman" w:hAnsi="Times New Roman"/>
          <w:sz w:val="18"/>
          <w:szCs w:val="18"/>
          <w:color w:val="auto"/>
        </w:rPr>
      </w:pPr>
    </w:p>
    <w:p>
      <w:pPr>
        <w:jc w:val="both"/>
        <w:ind w:right="80" w:firstLine="990"/>
        <w:spacing w:after="0" w:line="263" w:lineRule="auto"/>
        <w:tabs>
          <w:tab w:leader="none" w:pos="123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hereby accepts the appointment by Borrowers to act as the agent and attorney-in-fact of Borrowers pursuant to this Section 2.9. Borrower Representative shall ensure that the disbursement of any Loans that are at any time requested by or to be remitted to or for the account of a Borrower, shall be remitted or issued to or for the account of such Borrower.</w:t>
      </w:r>
    </w:p>
    <w:p>
      <w:pPr>
        <w:spacing w:after="0" w:line="175" w:lineRule="exact"/>
        <w:rPr>
          <w:rFonts w:ascii="Times New Roman" w:cs="Times New Roman" w:eastAsia="Times New Roman" w:hAnsi="Times New Roman"/>
          <w:sz w:val="18"/>
          <w:szCs w:val="18"/>
          <w:color w:val="auto"/>
        </w:rPr>
      </w:pPr>
    </w:p>
    <w:p>
      <w:pPr>
        <w:ind w:right="120" w:firstLine="990"/>
        <w:spacing w:after="0" w:line="263" w:lineRule="auto"/>
        <w:tabs>
          <w:tab w:leader="none" w:pos="122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appoints and constitutes Borrower Representative as its agent to receive statements on account and all other notices from Agent, Term Loan Servicer and the Lenders with respect to the Obligations or otherwise under or in connection with this Agreement and the other Financing Documents.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88" w:name="page489"/>
    <w:bookmarkEnd w:id="488"/>
    <w:p>
      <w:pPr>
        <w:ind w:right="200" w:firstLine="990"/>
        <w:spacing w:after="0" w:line="263" w:lineRule="auto"/>
        <w:tabs>
          <w:tab w:leader="none" w:pos="123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notice, election, representation, warranty,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made or delivered directly by such Borrower.</w:t>
      </w:r>
    </w:p>
    <w:p>
      <w:pPr>
        <w:spacing w:after="0" w:line="175" w:lineRule="exact"/>
        <w:rPr>
          <w:rFonts w:ascii="Times New Roman" w:cs="Times New Roman" w:eastAsia="Times New Roman" w:hAnsi="Times New Roman"/>
          <w:sz w:val="18"/>
          <w:szCs w:val="18"/>
          <w:color w:val="auto"/>
        </w:rPr>
      </w:pPr>
    </w:p>
    <w:p>
      <w:pPr>
        <w:ind w:right="60" w:firstLine="990"/>
        <w:spacing w:after="0" w:line="270" w:lineRule="auto"/>
        <w:tabs>
          <w:tab w:leader="none" w:pos="122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resignation by or termination of the appointment of Borrower Representative as agent and attorney-in-fact as aforesaid shall be effective, except after ten (10) Business Days’ prior written notice to Agent and Term Loan Servicer. If the Borrower Representative resigns under this Agreement, Borrowers shall be entitled to appoint a successor Borrower Representative (which shall be a Borrower and shall be reasonably acceptable to Agent and Term Loan Servicer as such successor). Upon the acceptance of its appointment as successor Borrower Representative hereunder, such successor Borrower Representative shall succeed to all the rights, powers and duties of the retiring Borrower Representative and the term “Borrower Representative” means such successor Borrower Representative for all purposes of this Agreement and the other Financing Documents, and the retiring or terminated Borrower Representative’s appointment, powers and duties as Borrower Representative shall be thereupon terminated.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Joint and Several Liability; Rights of Contribution; Subordination and Subrogation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firstLine="990"/>
        <w:spacing w:after="0" w:line="250" w:lineRule="auto"/>
        <w:tabs>
          <w:tab w:leader="none" w:pos="122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are defined collectively to include all Persons named as one of the Borrowers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references herein to “any Borrower”, “each Borrower” or similar references, shall be construed as a reference to each 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Section 10.1 of this Agreement are to be applied to each individual Person named as one of the Borrowers herein (as well as to all such Persons taken as a whole), such that the occurrence of any of the events described in Section 10.1 of this Agreement as to any Person named as one of the Borrowers herein shall constitute an Event of Default even if such event has not occurred as to any other Persons named as the Borrowers or as to all such Persons taken as a whole.</w:t>
      </w:r>
    </w:p>
    <w:p>
      <w:pPr>
        <w:spacing w:after="0" w:line="191" w:lineRule="exact"/>
        <w:rPr>
          <w:rFonts w:ascii="Times New Roman" w:cs="Times New Roman" w:eastAsia="Times New Roman" w:hAnsi="Times New Roman"/>
          <w:sz w:val="18"/>
          <w:szCs w:val="18"/>
          <w:color w:val="auto"/>
        </w:rPr>
      </w:pPr>
    </w:p>
    <w:p>
      <w:pPr>
        <w:ind w:right="40" w:firstLine="990"/>
        <w:spacing w:after="0" w:line="254" w:lineRule="auto"/>
        <w:tabs>
          <w:tab w:leader="none" w:pos="12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Term Loan Servicer,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89" w:name="page490"/>
    <w:bookmarkEnd w:id="489"/>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Conveyance, and the liability of such Borrower and this Agreement shall automatically be deemed to have been amended accordingly. For purposes hereof, the term “</w:t>
      </w:r>
      <w:r>
        <w:rPr>
          <w:rFonts w:ascii="Times New Roman" w:cs="Times New Roman" w:eastAsia="Times New Roman" w:hAnsi="Times New Roman"/>
          <w:sz w:val="18"/>
          <w:szCs w:val="18"/>
          <w:b w:val="1"/>
          <w:bCs w:val="1"/>
          <w:color w:val="auto"/>
        </w:rPr>
        <w:t>Fraudulent Conveyance</w:t>
      </w:r>
      <w:r>
        <w:rPr>
          <w:rFonts w:ascii="Times New Roman" w:cs="Times New Roman" w:eastAsia="Times New Roman" w:hAnsi="Times New Roman"/>
          <w:sz w:val="18"/>
          <w:szCs w:val="18"/>
          <w:color w:val="auto"/>
        </w:rPr>
        <w:t>” means a fraudulent conveyance under Section 548 of Chapter 11 of Title II of the Bankruptcy Code or a fraudulent conveyance or fraudulent transfer under the applicable provisions of any fraudulent conveyance or fraudulent transfer law or similar law of any state, nation or other governmental unit, as in effect from time to time.</w:t>
      </w:r>
    </w:p>
    <w:p>
      <w:pPr>
        <w:spacing w:after="0" w:line="180" w:lineRule="exact"/>
        <w:rPr>
          <w:sz w:val="20"/>
          <w:szCs w:val="20"/>
          <w:color w:val="auto"/>
        </w:rPr>
      </w:pPr>
    </w:p>
    <w:p>
      <w:pPr>
        <w:ind w:right="40" w:firstLine="990"/>
        <w:spacing w:after="0" w:line="253" w:lineRule="auto"/>
        <w:tabs>
          <w:tab w:leader="none" w:pos="122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is hereby authorized, without notice or demand (except as otherwise specifically required under this Agreement) and without affecting the liability of any Borrower hereunder, at any time and from time to time, to (i) renew, extend or otherwise increase the time for payment of the Obligations; (ii) with the written agreement of any Borrower, change the terms relating to the Obligations or otherwise modify, amend or change the terms of any Note or other agreement, document or instrument now or hereafter executed by any Borrower and delivered to Agent for any Lender;</w:t>
      </w:r>
    </w:p>
    <w:p>
      <w:pPr>
        <w:spacing w:after="0" w:line="2" w:lineRule="exact"/>
        <w:rPr>
          <w:rFonts w:ascii="Times New Roman" w:cs="Times New Roman" w:eastAsia="Times New Roman" w:hAnsi="Times New Roman"/>
          <w:sz w:val="18"/>
          <w:szCs w:val="18"/>
          <w:color w:val="auto"/>
        </w:rPr>
      </w:pPr>
    </w:p>
    <w:p>
      <w:pPr>
        <w:ind w:firstLine="7"/>
        <w:spacing w:after="0" w:line="249" w:lineRule="auto"/>
        <w:tabs>
          <w:tab w:leader="none" w:pos="31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partial payments of the Obligations; (iv) take and hold any Collateral for the payment of the Obligations or for the payment of any guaranties of the Obligations and exchange, enforce, waive and release any such Collateral; (v) apply any such Collateral and direct the order or manner of sale thereof as Agent, in its reasonable discretion, may determine; and (vi) settle, release, compromise, collect or otherwise liquidate the Obligations and any Collateral therefor in any manner, all guarantor and surety defenses being hereby waived by each Borrower.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reasonable discretion, without affecting the validity or enforceability of the Obligations of any other Borrower.</w:t>
      </w:r>
    </w:p>
    <w:p>
      <w:pPr>
        <w:spacing w:after="0" w:line="189"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except as hereinafter provided, its obligations hereunder shall be unconditional, irrespective of</w:t>
      </w:r>
    </w:p>
    <w:p>
      <w:pPr>
        <w:spacing w:after="0" w:line="26" w:lineRule="exact"/>
        <w:rPr>
          <w:sz w:val="20"/>
          <w:szCs w:val="20"/>
          <w:color w:val="auto"/>
        </w:rPr>
      </w:pPr>
    </w:p>
    <w:p>
      <w:pPr>
        <w:ind w:right="20" w:firstLine="7"/>
        <w:spacing w:after="0" w:line="249" w:lineRule="auto"/>
        <w:tabs>
          <w:tab w:leader="none" w:pos="21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89" w:lineRule="exact"/>
        <w:rPr>
          <w:rFonts w:ascii="Times New Roman" w:cs="Times New Roman" w:eastAsia="Times New Roman" w:hAnsi="Times New Roman"/>
          <w:sz w:val="18"/>
          <w:szCs w:val="18"/>
          <w:color w:val="auto"/>
        </w:rPr>
      </w:pPr>
    </w:p>
    <w:p>
      <w:pPr>
        <w:ind w:right="40" w:firstLine="990"/>
        <w:spacing w:after="0" w:line="253" w:lineRule="auto"/>
        <w:tabs>
          <w:tab w:leader="none" w:pos="122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hereby agree, as between themselves, that to the extent that Agent or Term Loan Servicer, on behalf of Lenders, shall have received from any Borrower any Recovery Amount (as defined below), then the paying Borrower shall have a right of contribution against each other Borrower in an amount equal to such other Borrower’s contributive share of such Recovery Amount;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any Borrower suffers a Deficiency Amount (as defined below), then the Borrower suffering the Deficiency Amount shall be entitled to seek and receive contribution from and against the other Borrowers in an amount equal to the Deficiency Amount;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no event shall the aggregate amounts so reimbursed by reason of the contribution of any Borrower equal or exceed an amount that would, if paid, constitute or result in Fraudulent Conveyance. Until all Obligations have been paid and satisfied in full (other than inchoate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indemnification obligations for which no claim has yet been made), no payment made by or for the account of a Borrower including, without limitation,</w:t>
      </w:r>
    </w:p>
    <w:p>
      <w:pPr>
        <w:spacing w:after="0" w:line="37" w:lineRule="exact"/>
        <w:rPr>
          <w:sz w:val="20"/>
          <w:szCs w:val="20"/>
          <w:color w:val="auto"/>
        </w:rPr>
      </w:pPr>
    </w:p>
    <w:p>
      <w:pPr>
        <w:ind w:right="20" w:firstLine="7"/>
        <w:spacing w:after="0" w:line="248" w:lineRule="auto"/>
        <w:tabs>
          <w:tab w:leader="none" w:pos="21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(other than inchoate indemnification obligations for which no claim has yet been made) have been paid in full, and no Borrower shall exercise any right or remedy with respect to this Section 2.10(e) until the Obligations (other than inchoate indemnification obligations for which no claim has yet been made) have been paid in full. As used in this Section 2.10(e), the term “</w:t>
      </w:r>
      <w:r>
        <w:rPr>
          <w:rFonts w:ascii="Times New Roman" w:cs="Times New Roman" w:eastAsia="Times New Roman" w:hAnsi="Times New Roman"/>
          <w:sz w:val="18"/>
          <w:szCs w:val="18"/>
          <w:b w:val="1"/>
          <w:bCs w:val="1"/>
          <w:color w:val="auto"/>
        </w:rPr>
        <w:t>Recovery Amount</w:t>
      </w:r>
      <w:r>
        <w:rPr>
          <w:rFonts w:ascii="Times New Roman" w:cs="Times New Roman" w:eastAsia="Times New Roman" w:hAnsi="Times New Roman"/>
          <w:sz w:val="18"/>
          <w:szCs w:val="18"/>
          <w:color w:val="auto"/>
        </w:rPr>
        <w:t>” means the amount of proceeds received by or credited to Agent or Term Loan Servicer from the exercise of any remedy of the Lenders under this Agreement or the other Financing Documents, including, without limitation, the sale of any Collateral. As used in this Section 2.10(e), the term “</w:t>
      </w:r>
      <w:r>
        <w:rPr>
          <w:rFonts w:ascii="Times New Roman" w:cs="Times New Roman" w:eastAsia="Times New Roman" w:hAnsi="Times New Roman"/>
          <w:sz w:val="18"/>
          <w:szCs w:val="18"/>
          <w:b w:val="1"/>
          <w:bCs w:val="1"/>
          <w:color w:val="auto"/>
        </w:rPr>
        <w:t>Deficiency Amount</w:t>
      </w:r>
      <w:r>
        <w:rPr>
          <w:rFonts w:ascii="Times New Roman" w:cs="Times New Roman" w:eastAsia="Times New Roman" w:hAnsi="Times New Roman"/>
          <w:sz w:val="18"/>
          <w:szCs w:val="18"/>
          <w:color w:val="auto"/>
        </w:rPr>
        <w: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Zero Dollars ($0) through contributions and reimbursements made under the terms of this Section 2.10(e) or otherwise.</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Collections and Lockbox Account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220" w:firstLine="990"/>
        <w:spacing w:after="0" w:line="272" w:lineRule="auto"/>
        <w:tabs>
          <w:tab w:leader="none" w:pos="1225"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shall maintain a lockbox (the “</w:t>
      </w:r>
      <w:r>
        <w:rPr>
          <w:rFonts w:ascii="Times New Roman" w:cs="Times New Roman" w:eastAsia="Times New Roman" w:hAnsi="Times New Roman"/>
          <w:sz w:val="17"/>
          <w:szCs w:val="17"/>
          <w:b w:val="1"/>
          <w:bCs w:val="1"/>
          <w:color w:val="auto"/>
        </w:rPr>
        <w:t>Lockbox</w:t>
      </w:r>
      <w:r>
        <w:rPr>
          <w:rFonts w:ascii="Times New Roman" w:cs="Times New Roman" w:eastAsia="Times New Roman" w:hAnsi="Times New Roman"/>
          <w:sz w:val="17"/>
          <w:szCs w:val="17"/>
          <w:color w:val="auto"/>
        </w:rPr>
        <w:t>”) with a United States depository institution reasonably acceptable to Agent (the “</w:t>
      </w:r>
      <w:r>
        <w:rPr>
          <w:rFonts w:ascii="Times New Roman" w:cs="Times New Roman" w:eastAsia="Times New Roman" w:hAnsi="Times New Roman"/>
          <w:sz w:val="17"/>
          <w:szCs w:val="17"/>
          <w:b w:val="1"/>
          <w:bCs w:val="1"/>
          <w:color w:val="auto"/>
        </w:rPr>
        <w:t>Lockbox Bank</w:t>
      </w:r>
      <w:r>
        <w:rPr>
          <w:rFonts w:ascii="Times New Roman" w:cs="Times New Roman" w:eastAsia="Times New Roman" w:hAnsi="Times New Roman"/>
          <w:sz w:val="17"/>
          <w:szCs w:val="17"/>
          <w:color w:val="auto"/>
        </w:rPr>
        <w:t>”), subject to the provisions of this Agreement, and, subject to Section 7.4, shall execute with the Lockbox Bank a Deposit Account Control Agreement. Borrowers shall direct all Account Debtors to make payments (i) into the Lockbox for deposit into the Lockbox Account and/or</w:t>
      </w:r>
    </w:p>
    <w:p>
      <w:pPr>
        <w:ind w:firstLine="7"/>
        <w:spacing w:after="0" w:line="250" w:lineRule="auto"/>
        <w:tabs>
          <w:tab w:leader="none" w:pos="26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into the Lockbox Account;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Agent shall otherwise direct by written notice to Borrowers, Borrowers shall be permitted to cause Account Debtors who are individuals to pay Accounts directly to Borrowers, which Borrowers shall then administer and apply in the manner required below. All funds deposited into a Lockbox Account shall be transferred (x) during any Cash Dominion Period, into the Revolving Loan Payment Account by the close of each Business Day, or (y) on any Business Day not occurring during a Cash Dominion Period, into a Borrower operating Deposit Account subject to a Deposit Account Control Agreement.</w:t>
      </w:r>
    </w:p>
    <w:p>
      <w:pPr>
        <w:spacing w:after="0" w:line="18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b w:val="1"/>
          <w:bCs w:val="1"/>
          <w:color w:val="auto"/>
        </w:rPr>
        <w:t>]</w:t>
      </w:r>
    </w:p>
    <w:p>
      <w:pPr>
        <w:spacing w:after="0" w:line="224" w:lineRule="exact"/>
        <w:rPr>
          <w:rFonts w:ascii="Times New Roman" w:cs="Times New Roman" w:eastAsia="Times New Roman" w:hAnsi="Times New Roman"/>
          <w:sz w:val="18"/>
          <w:szCs w:val="18"/>
          <w:color w:val="auto"/>
        </w:rPr>
      </w:pPr>
    </w:p>
    <w:p>
      <w:pPr>
        <w:ind w:right="20" w:firstLine="990"/>
        <w:spacing w:after="0" w:line="254" w:lineRule="auto"/>
        <w:tabs>
          <w:tab w:leader="none" w:pos="1225"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lockbox agreement or Deposit Account Control Agreement to the contrary, Borrowers agree that they shall be liable for any fees and charges in effect from time to time and charged by the Lockbox Bank in connection with the Lockbox, the Lockbox Account, and that Agent shall have no liability therefor. Borrowers hereby indemnify and agree to hold Agent harmless from any and all liabilities, claims, losses and demands whatsoever, including reasonable and documented attorneys’ fees and expenses, arising from or relating to actions of Agent or the Lockbox Bank pursuant to this Section or any lockbox agreement or Deposit Account Control Agreement or similar agreement, except to the extent of such losses arising solely from Agent’s gross negligence or willful misconduct.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491" w:name="page492"/>
    <w:bookmarkEnd w:id="491"/>
    <w:p>
      <w:pPr>
        <w:ind w:right="20" w:firstLine="990"/>
        <w:spacing w:after="0" w:line="255" w:lineRule="auto"/>
        <w:tabs>
          <w:tab w:leader="none" w:pos="123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During any Cash Dominion Period, Agent shall apply, on a daily basis, all funds transferred into the Revolving Loan Payment Account pursuant to this Section 2.11 to reduce the outstanding Revolving Loans in such order of application as Agent shall elect. If as the result of collections of Accounts pursuant to the terms and conditions of this Section, a credit balance exists with respect to the Revolving Loan Account, such credit balance shall not accrue interest in favor of Borrowers, but Agent shall transfer such funds into an account designated by Borrower Representative for so long as no Event of Default exists.</w:t>
      </w:r>
    </w:p>
    <w:p>
      <w:pPr>
        <w:spacing w:after="0" w:line="184" w:lineRule="exact"/>
        <w:rPr>
          <w:rFonts w:ascii="Times New Roman" w:cs="Times New Roman" w:eastAsia="Times New Roman" w:hAnsi="Times New Roman"/>
          <w:sz w:val="18"/>
          <w:szCs w:val="18"/>
          <w:color w:val="auto"/>
        </w:rPr>
      </w:pPr>
    </w:p>
    <w:p>
      <w:pPr>
        <w:ind w:firstLine="990"/>
        <w:spacing w:after="0" w:line="258" w:lineRule="auto"/>
        <w:tabs>
          <w:tab w:leader="none" w:pos="122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collections of Accounts or proceeds of other Collateral comprising part of the Borrowing Base are not sent directly to the Lockbox or Lockbox Account but are received by any Borrower, such collections shall be held in trust for the benefit of Agent pursuant to an express trust created hereby and immediately remitted, in the form received, to applicable Lockbox or Lockbox Account. No such funds received by any Borrower shall be commingled with other funds of the Credit Parties.</w:t>
      </w:r>
    </w:p>
    <w:p>
      <w:pPr>
        <w:spacing w:after="0" w:line="179" w:lineRule="exact"/>
        <w:rPr>
          <w:rFonts w:ascii="Times New Roman" w:cs="Times New Roman" w:eastAsia="Times New Roman" w:hAnsi="Times New Roman"/>
          <w:sz w:val="18"/>
          <w:szCs w:val="18"/>
          <w:color w:val="auto"/>
        </w:rPr>
      </w:pPr>
    </w:p>
    <w:p>
      <w:pPr>
        <w:ind w:right="20" w:firstLine="990"/>
        <w:spacing w:after="0" w:line="253" w:lineRule="auto"/>
        <w:tabs>
          <w:tab w:leader="none" w:pos="120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acknowledge and agree that compliance with the terms of this Section is essential, and that Agent and Lenders will suffer immediate and irreparable injury and have no adequate remedy at law, if, at any time following the initial borrowing of Revolving Loans, any Borrower, through acts or omissions, causes or permits Account Debtors to send payments other than to the Lockbox or Lockbox Accounts or if any Borrower fails to promptly deposit collections of Accounts or proceeds of other Collateral comprising part of the Borrowing Base in the Lockbox Account as herein required. Accordingly, in addition to all other rights and remedies of Agent and Lenders hereunder, Agent shall have the right to seek specific performance of the Borrowers’ obligations under this Section, and any other equitable relief as Agent may deem necessary or appropriate, and Borrowers waive any requirement for the posting of a bond in connection with such equitable relief.</w:t>
      </w:r>
    </w:p>
    <w:p>
      <w:pPr>
        <w:spacing w:after="0" w:line="184" w:lineRule="exact"/>
        <w:rPr>
          <w:rFonts w:ascii="Times New Roman" w:cs="Times New Roman" w:eastAsia="Times New Roman" w:hAnsi="Times New Roman"/>
          <w:sz w:val="18"/>
          <w:szCs w:val="18"/>
          <w:color w:val="auto"/>
        </w:rPr>
      </w:pPr>
    </w:p>
    <w:p>
      <w:pPr>
        <w:ind w:right="420" w:firstLine="990"/>
        <w:spacing w:after="0" w:line="263" w:lineRule="auto"/>
        <w:tabs>
          <w:tab w:leader="none" w:pos="123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not, and Borrowers shall not suffer or permit any Credit Party to, (i) withdraw any amounts from any Lockbox Account, (ii) change the procedures or sweep instructions under the agreements governing any Lockbox Accounts, or (iii) send to or deposit in any Lockbox Account any funds other than payments made with respect to and proceeds of Accounts or other Collateral.</w:t>
      </w:r>
    </w:p>
    <w:p>
      <w:pPr>
        <w:spacing w:after="0" w:line="175" w:lineRule="exact"/>
        <w:rPr>
          <w:rFonts w:ascii="Times New Roman" w:cs="Times New Roman" w:eastAsia="Times New Roman" w:hAnsi="Times New Roman"/>
          <w:sz w:val="18"/>
          <w:szCs w:val="18"/>
          <w:color w:val="auto"/>
        </w:rPr>
      </w:pPr>
    </w:p>
    <w:p>
      <w:pPr>
        <w:ind w:right="320" w:firstLine="990"/>
        <w:spacing w:after="0" w:line="258" w:lineRule="auto"/>
        <w:tabs>
          <w:tab w:leader="none" w:pos="123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Agent’s written request following the occurrence and during the continuance of a Cash Dominion Event, Borrowers shall promptly (and in any event within 3 Business Days) execute an amendment to the Deposit Account Control Agreement with respect to any Lockbox Account and Lockbox providing that the Lockbox Bank shall wire, or otherwise transfer, in immediately available funds, on a daily basis to the Revolving Loan Payment Account all funds received or deposited into such Collections Account.</w:t>
      </w:r>
    </w:p>
    <w:p>
      <w:pPr>
        <w:spacing w:after="0" w:line="179" w:lineRule="exact"/>
        <w:rPr>
          <w:rFonts w:ascii="Times New Roman" w:cs="Times New Roman" w:eastAsia="Times New Roman" w:hAnsi="Times New Roman"/>
          <w:sz w:val="18"/>
          <w:szCs w:val="18"/>
          <w:color w:val="auto"/>
        </w:rPr>
      </w:pPr>
    </w:p>
    <w:p>
      <w:pPr>
        <w:ind w:right="100" w:firstLine="990"/>
        <w:spacing w:after="0" w:line="252" w:lineRule="auto"/>
        <w:tabs>
          <w:tab w:leader="none" w:pos="11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shall cooperate with Agent in the identification and reconciliation on a daily basis of all amounts received in or required to be deposited into the Lockbox Accounts. If more than twenty percent (20.0%) of the collections of Accounts received by Borrowers during any given fifteen (15) day period is not identified or reconciled to the reasonable satisfaction of Agent within ten (10) Business Days of receipt, Agent shall not be obligated to make further advances under this Agreement until such amount is identified or is reconciled to the reasonable satisfaction of Agent, as the case may be. In addition, if any such amount cannot be identified or reconciled to the reasonable satisfaction of Agent, Agent may utilize its own staff or, if it deems necessary, engage an outside auditor, in either case at Borrowers’ expense (which in the case of Agent’s own staff shall be in accordance with Agent’s then prevailing customary charges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reasonable and documented out-of-pocket expenses)), to make such examination and report as may be necessary to identify and reconcile such amount.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92" w:name="page493"/>
    <w:bookmarkEnd w:id="492"/>
    <w:p>
      <w:pPr>
        <w:ind w:right="20" w:firstLine="990"/>
        <w:spacing w:after="0" w:line="258" w:lineRule="auto"/>
        <w:tabs>
          <w:tab w:leader="none" w:pos="11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any Borrower breaches its obligation to direct payments of the proceeds of the Collateral comprising part of the Borrowing Base to the Lockbox Account, Agent, as the irrevocably made, constituted and appointed true and lawful attorney for Borrowers, may, by the signature or other act of any of Agent’s authorized representatives (without requiring any of them to do so), direct any Account Debtor to pay proceeds of the Collateral comprising part of the Borrowing Base to Borrowers by directing payment to the Lockbox Account.</w:t>
      </w:r>
    </w:p>
    <w:p>
      <w:pPr>
        <w:spacing w:after="0" w:line="179" w:lineRule="exact"/>
        <w:rPr>
          <w:rFonts w:ascii="Times New Roman" w:cs="Times New Roman" w:eastAsia="Times New Roman" w:hAnsi="Times New Roman"/>
          <w:sz w:val="18"/>
          <w:szCs w:val="18"/>
          <w:color w:val="auto"/>
        </w:rPr>
      </w:pPr>
    </w:p>
    <w:p>
      <w:pPr>
        <w:ind w:right="420" w:firstLine="990"/>
        <w:spacing w:after="0" w:line="278" w:lineRule="auto"/>
        <w:tabs>
          <w:tab w:leader="none" w:pos="123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2.11 shall be deemed to limit any of Agent or Lenders remedies following an Event of Default under this Agreement, any Deposit Account Control Agreement or any other Financing Document or under applicable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Termination; Restriction on Termination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firstLine="990"/>
        <w:spacing w:after="0" w:line="263" w:lineRule="auto"/>
        <w:tabs>
          <w:tab w:leader="none" w:pos="12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Lenders</w:t>
      </w:r>
      <w:r>
        <w:rPr>
          <w:rFonts w:ascii="Times New Roman" w:cs="Times New Roman" w:eastAsia="Times New Roman" w:hAnsi="Times New Roman"/>
          <w:sz w:val="18"/>
          <w:szCs w:val="18"/>
          <w:color w:val="auto"/>
        </w:rPr>
        <w:t>. In addition to the rights set forth in Section 10.2, Agent may, and at the direction of Required Lenders shall, terminate this Agreement upon or after the occurrence and during the continuance of an Event of Default by giving written notice to the Borrower Representative.</w:t>
      </w:r>
    </w:p>
    <w:p>
      <w:pPr>
        <w:spacing w:after="0" w:line="175" w:lineRule="exact"/>
        <w:rPr>
          <w:rFonts w:ascii="Times New Roman" w:cs="Times New Roman" w:eastAsia="Times New Roman" w:hAnsi="Times New Roman"/>
          <w:sz w:val="18"/>
          <w:szCs w:val="18"/>
          <w:color w:val="auto"/>
        </w:rPr>
      </w:pPr>
    </w:p>
    <w:p>
      <w:pPr>
        <w:ind w:firstLine="990"/>
        <w:spacing w:after="0" w:line="252" w:lineRule="auto"/>
        <w:tabs>
          <w:tab w:leader="none" w:pos="123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Borrowers</w:t>
      </w:r>
      <w:r>
        <w:rPr>
          <w:rFonts w:ascii="Times New Roman" w:cs="Times New Roman" w:eastAsia="Times New Roman" w:hAnsi="Times New Roman"/>
          <w:sz w:val="18"/>
          <w:szCs w:val="18"/>
          <w:color w:val="auto"/>
        </w:rPr>
        <w:t xml:space="preserve">. Upon at least five (5) Business Day’ prior written notice (which may be conditioned on the closing of a refinancing or other applicable transaction) and pursuant to payoff documentation in form and substance reasonably satisfactory to Agent and Term Loan Servicer, Borrowers may, at their option, terminate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termination shall be effective until Borrowers have complied with Section 2.12(c) and the Obligations, including the payment of all fees due and owing under any Fee Letter, are paid in full (other than inchoate indemnification obligations for which no claim has yet been made). Any notice of termination given by Borrowers shall be irrevocable unless all Lenders otherwise agree in writing and no Lender shall have any obligation to make any Loans on or after the termination date stated in such notice. Borrowers may elect to terminate this Agreement in its entirety only. No section of this Agreement or type of Loan available hereunder may be terminated singly.</w:t>
      </w:r>
    </w:p>
    <w:p>
      <w:pPr>
        <w:spacing w:after="0" w:line="187" w:lineRule="exact"/>
        <w:rPr>
          <w:rFonts w:ascii="Times New Roman" w:cs="Times New Roman" w:eastAsia="Times New Roman" w:hAnsi="Times New Roman"/>
          <w:sz w:val="18"/>
          <w:szCs w:val="18"/>
          <w:color w:val="auto"/>
        </w:rPr>
      </w:pPr>
    </w:p>
    <w:p>
      <w:pPr>
        <w:ind w:right="20" w:firstLine="990"/>
        <w:spacing w:after="0" w:line="251" w:lineRule="auto"/>
        <w:tabs>
          <w:tab w:leader="none" w:pos="12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Termination</w:t>
      </w:r>
      <w:r>
        <w:rPr>
          <w:rFonts w:ascii="Times New Roman" w:cs="Times New Roman" w:eastAsia="Times New Roman" w:hAnsi="Times New Roman"/>
          <w:sz w:val="18"/>
          <w:szCs w:val="18"/>
          <w:color w:val="auto"/>
        </w:rPr>
        <w:t>. All of the Obligations shall be immediately due and payable upon the Termination Date. All undertakings, agreements, covenants, warranties and representations of the Credit Parties contained in the Financing Documents shall survive any such termination and Agent shall retain its Liens in the Collateral and Agent, Term Loan Servicer and each Lender shall retain all of its rights and remedies under the Financing Documents notwithstanding such termination until all Obligations have been discharged or paid, in full, in immediately available funds, including, without limitation, all Obligations under Section 2.2 and the terms of any Fee Letter resulting from such termination (in each case, other than inchoate indemnification obligations for which no claim has yet been made). Upon the payment in full, in cash in immediately available funds, of all Obligations (other than inchoate indemnification obligations for which no claim has yet been made) and the termination of the Revolving Loan Commitments and Term Loan Commitments, as Borrower may reasonably request, Agent shall, at Borrower’s sole cost and expense, execute and deliver such documents evidencing the release and termination of the security interest in the Collateral granted under this Agreement and the other Financing Documents pursuant to and in accordance with the terms of any applicable payoff documentation.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20"/>
          </w:cols>
          <w:pgMar w:left="480" w:top="268" w:right="599" w:bottom="1440" w:gutter="0" w:footer="0" w:header="0"/>
        </w:sectPr>
      </w:pPr>
    </w:p>
    <w:bookmarkStart w:id="493" w:name="page494"/>
    <w:bookmarkEnd w:id="4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3 - REPRESENTATIONS AND WARRANTIES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induce Agent and Lenders to enter into this Agreement and to make the Loans and other credit accommodations contemplated hereby, each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each other Credit Party party hereto, hereby represents and warrants to Agent and each Lender that:</w:t>
      </w:r>
    </w:p>
    <w:p>
      <w:pPr>
        <w:spacing w:after="0" w:line="202"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Existence and Power</w:t>
      </w:r>
      <w:r>
        <w:rPr>
          <w:rFonts w:ascii="Times New Roman" w:cs="Times New Roman" w:eastAsia="Times New Roman" w:hAnsi="Times New Roman"/>
          <w:sz w:val="17"/>
          <w:szCs w:val="17"/>
          <w:color w:val="auto"/>
        </w:rPr>
        <w:t xml:space="preserve">. Each Credit Party (a) is an entity as specified on </w:t>
      </w:r>
      <w:r>
        <w:rPr>
          <w:rFonts w:ascii="Times New Roman" w:cs="Times New Roman" w:eastAsia="Times New Roman" w:hAnsi="Times New Roman"/>
          <w:sz w:val="17"/>
          <w:szCs w:val="17"/>
          <w:u w:val="single" w:color="auto"/>
          <w:color w:val="auto"/>
        </w:rPr>
        <w:t>Schedule 3.1</w:t>
      </w:r>
      <w:r>
        <w:rPr>
          <w:rFonts w:ascii="Times New Roman" w:cs="Times New Roman" w:eastAsia="Times New Roman" w:hAnsi="Times New Roman"/>
          <w:sz w:val="17"/>
          <w:szCs w:val="17"/>
          <w:color w:val="auto"/>
        </w:rPr>
        <w:t xml:space="preserve">, (b) is duly organized, validly existing and in good standing under the laws of the jurisdiction of its organization specified on </w:t>
      </w:r>
      <w:r>
        <w:rPr>
          <w:rFonts w:ascii="Times New Roman" w:cs="Times New Roman" w:eastAsia="Times New Roman" w:hAnsi="Times New Roman"/>
          <w:sz w:val="17"/>
          <w:szCs w:val="17"/>
          <w:u w:val="single" w:color="auto"/>
          <w:color w:val="auto"/>
        </w:rPr>
        <w:t>Schedule 3.1</w:t>
      </w:r>
      <w:r>
        <w:rPr>
          <w:rFonts w:ascii="Times New Roman" w:cs="Times New Roman" w:eastAsia="Times New Roman" w:hAnsi="Times New Roman"/>
          <w:sz w:val="17"/>
          <w:szCs w:val="17"/>
          <w:color w:val="auto"/>
        </w:rPr>
        <w:t xml:space="preserve">, (c) has the same legal name as it appears in such Credit Party’s Organizational Documents and an organizational identification number (if any), in each case as specified on </w:t>
      </w:r>
      <w:r>
        <w:rPr>
          <w:rFonts w:ascii="Times New Roman" w:cs="Times New Roman" w:eastAsia="Times New Roman" w:hAnsi="Times New Roman"/>
          <w:sz w:val="17"/>
          <w:szCs w:val="17"/>
          <w:u w:val="single" w:color="auto"/>
          <w:color w:val="auto"/>
        </w:rPr>
        <w:t>Schedule 3.1</w:t>
      </w:r>
      <w:r>
        <w:rPr>
          <w:rFonts w:ascii="Times New Roman" w:cs="Times New Roman" w:eastAsia="Times New Roman" w:hAnsi="Times New Roman"/>
          <w:sz w:val="17"/>
          <w:szCs w:val="17"/>
          <w:color w:val="auto"/>
        </w:rPr>
        <w:t xml:space="preserve">, (d) has all powers to own its assets and has powers and all Permits necessary in the operation of its business as presently conducted or as proposed to be conducted, except where the failure to have such powers or Permits could not reasonably be expected to have a Material Adverse Effect, and (e) is qualified to do business as a foreign entity in each jurisdiction in which it is required to be so qualified, which jurisdictions as of the Closing Date are specified on </w:t>
      </w:r>
      <w:r>
        <w:rPr>
          <w:rFonts w:ascii="Times New Roman" w:cs="Times New Roman" w:eastAsia="Times New Roman" w:hAnsi="Times New Roman"/>
          <w:sz w:val="17"/>
          <w:szCs w:val="17"/>
          <w:u w:val="single" w:color="auto"/>
          <w:color w:val="auto"/>
        </w:rPr>
        <w:t>Schedule 3.1</w:t>
      </w:r>
      <w:r>
        <w:rPr>
          <w:rFonts w:ascii="Times New Roman" w:cs="Times New Roman" w:eastAsia="Times New Roman" w:hAnsi="Times New Roman"/>
          <w:sz w:val="17"/>
          <w:szCs w:val="17"/>
          <w:color w:val="auto"/>
        </w:rPr>
        <w:t xml:space="preserve">, except in the case of this clause (e) where the failure to be so qualified could not reasonably be expected to have a Material Adverse Effect. Except as set forth on </w:t>
      </w:r>
      <w:r>
        <w:rPr>
          <w:rFonts w:ascii="Times New Roman" w:cs="Times New Roman" w:eastAsia="Times New Roman" w:hAnsi="Times New Roman"/>
          <w:sz w:val="17"/>
          <w:szCs w:val="17"/>
          <w:u w:val="single" w:color="auto"/>
          <w:color w:val="auto"/>
        </w:rPr>
        <w:t>Schedule 3.1</w:t>
      </w:r>
      <w:r>
        <w:rPr>
          <w:rFonts w:ascii="Times New Roman" w:cs="Times New Roman" w:eastAsia="Times New Roman" w:hAnsi="Times New Roman"/>
          <w:sz w:val="17"/>
          <w:szCs w:val="17"/>
          <w:color w:val="auto"/>
        </w:rPr>
        <w:t>, no Credit Party over the five (5) year period preceding the Closing Date (x) has had any name other than its current name, or (y) was incorporated or organized under the laws of any jurisdiction other than its current jurisdiction of incorporation or organization.</w:t>
      </w:r>
    </w:p>
    <w:p>
      <w:pPr>
        <w:spacing w:after="0" w:line="175"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Organization and Governmental Authorization; No Contravention</w:t>
      </w:r>
      <w:r>
        <w:rPr>
          <w:rFonts w:ascii="Times New Roman" w:cs="Times New Roman" w:eastAsia="Times New Roman" w:hAnsi="Times New Roman"/>
          <w:sz w:val="18"/>
          <w:szCs w:val="18"/>
          <w:color w:val="auto"/>
        </w:rPr>
        <w:t>. The execution, delivery and performance by each Credit Party of the Financing Documents to which it is a party (a) are within its powers, (b) have been duly authorized by all necessary action pursuant to its Organizational Documents, (c) require no further action by or in respect of, or filing with, any Governmental Authority other than (i) recordings, filings and other perfection actions in connection with the Liens granted to Agent under this Agreement or any Security Document and (ii) those obtained or made on or prior to the Closing Date and (d) do not violate, conflict with or cause a breach or a default under (i) any material requirement of Law applicable to any Credit Party, (ii) any of the Organizational Documents of any Credit Party, or (iii) any agreement or instrument binding upon it, except for such violations, conflicts, breaches or defaults as could not, with respect to this clause (iii), reasonably be expected to have a Material Adverse Effect.</w:t>
      </w:r>
    </w:p>
    <w:p>
      <w:pPr>
        <w:spacing w:after="0" w:line="187"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Each of the Financing Documents to which any Credit Party is a party constitutes a valid and 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spacing w:after="0" w:line="180"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issued and outstanding equity securities of each of the Credit Parties as of the Closing Date are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All issued and outstanding Equity Interests of each of the Credit Parties are duly authorized and validly issued, and, to the extent such Credit Party is a corporation, fully paid, nonassessable, and free and clear of all Liens other than Permitted Liens, and such equity securities were issued in compliance with all applicable Laws. The identity of the holders of the equity securities of each of the Credit Parties and the percentage of their fully-diluted ownership of the equity securities of each of the Credit Parties as of the Closing Date is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No shares of the capital stock or other Equity Interests of any Credit Party, other than those described above, are issued and outstanding as of the Closing Date.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as of the Closing Date there are no preemptive or other outstanding rights, options, warrants, conversion rights or similar agreements or understandings for the purchase or acquisition from any Credit Party of any equity securities of any such entity.</w:t>
      </w:r>
    </w:p>
    <w:p>
      <w:pPr>
        <w:spacing w:after="0" w:line="18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All written information delivered to Agent and pertaining to the financial condition of any Credit Party fairly in all material respects presents the financial position of such Credit Party as of such date and for such period then ended in conformity with GAAP (and as to unaudited financial statements, subject to normal year-end adjustments and the absence of footnote disclosures). Since December 31, 2022, there has been (a) no material adverse change in the business, operations, properties, prospects or financial condition of any Credit Party and (b) no fact, event or circumstance that could reasonably be expected to result in a Material Adverse Effect.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494" w:name="page495"/>
    <w:bookmarkEnd w:id="494"/>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3.6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3.6</w:t>
      </w:r>
      <w:r>
        <w:rPr>
          <w:rFonts w:ascii="Times New Roman" w:cs="Times New Roman" w:eastAsia="Times New Roman" w:hAnsi="Times New Roman"/>
          <w:sz w:val="18"/>
          <w:szCs w:val="18"/>
          <w:color w:val="auto"/>
        </w:rPr>
        <w:t xml:space="preserve"> as of the Closing Date, and except as hereafter disclosed to Agent in writing, there is no Litigation pending against, or to such Borrower’s knowledge threatened in writing against, any Credit Party or any of their Subsidiaries, which, if adversely determined, could reasonably be expected to result in any judgment or liability of more than Five Hundred Thousand Dollars ($500,000). There is no Litigation pending against any Credit Party or any of their Subsidiaries in which an adverse decision could reasonably be expected to have a Material Adverse Effect or which in any manner draws into question the validity of any of the Financing Documents.</w:t>
      </w:r>
    </w:p>
    <w:p>
      <w:pPr>
        <w:spacing w:after="0" w:line="184"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Each Borrower and each of its Subsidiaries is the lawful owner of, has good and marketable title to and is in lawful possession of, or has valid leasehold interests in, all material properties, accounts and other assets (real or personal, tangible, intangible or mixed) purported or reported to be owned or leased (as the case may be) by such Person.</w:t>
      </w:r>
    </w:p>
    <w:p>
      <w:pPr>
        <w:spacing w:after="0" w:line="175"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Event of Default, or to such Borrower’s knowledge, Default, has occurred and is continuing. No Credit Party is in breach or default under or with respect to any contract, agreement, lease or other instrument to which it is a party or by which its property is bound or affected, which breach or default could reasonably be expected to have a Material Adverse Effect.</w:t>
      </w:r>
    </w:p>
    <w:p>
      <w:pPr>
        <w:spacing w:after="0" w:line="175"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As of the Closing Date, except as would not reasonably be expected to have a Material Adverse Effect (i) there are no strikes or other labor disputes pending or, to any Borrower’s knowledge, threatened in writing against any Credit Party, (ii) hours worked and payments made to the employees of the Credit Parties have not been in material violation of the Fair Labor Standards Act or any other applicable Law dealing with such matters and (iii)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 the result of which could reasonably be expected to have a Material Adverse Effect.</w:t>
      </w:r>
    </w:p>
    <w:p>
      <w:pPr>
        <w:spacing w:after="0" w:line="187"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Credit Party is an “investment company” or a company “controlled” by an “investment company” or a “subsidiary” of an “investment company,” all within the meaning of the Investment Company Act of 1940.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0" w:firstLine="990"/>
        <w:spacing w:after="0" w:line="278" w:lineRule="auto"/>
        <w:tabs>
          <w:tab w:leader="none" w:pos="122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their Subsidiaries do not own any stock, partnership interest or other equity securities, except for Permitted Investments. Without limiting the foregoing, the Credit Parties and their Subsidiaries do not own or hold any Margin Stock.</w:t>
      </w:r>
    </w:p>
    <w:p>
      <w:pPr>
        <w:spacing w:after="0" w:line="162" w:lineRule="exact"/>
        <w:rPr>
          <w:rFonts w:ascii="Times New Roman" w:cs="Times New Roman" w:eastAsia="Times New Roman" w:hAnsi="Times New Roman"/>
          <w:sz w:val="18"/>
          <w:szCs w:val="18"/>
          <w:color w:val="auto"/>
        </w:rPr>
      </w:pPr>
    </w:p>
    <w:p>
      <w:pPr>
        <w:ind w:right="160" w:firstLine="990"/>
        <w:spacing w:after="0" w:line="258" w:lineRule="auto"/>
        <w:tabs>
          <w:tab w:leader="none" w:pos="123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proceeds from the Loans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95" w:name="page496"/>
    <w:bookmarkEnd w:id="4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3.12 </w:t>
      </w:r>
      <w:r>
        <w:rPr>
          <w:rFonts w:ascii="Times New Roman" w:cs="Times New Roman" w:eastAsia="Times New Roman" w:hAnsi="Times New Roman"/>
          <w:sz w:val="18"/>
          <w:szCs w:val="18"/>
          <w:u w:val="single" w:color="auto"/>
          <w:color w:val="auto"/>
        </w:rPr>
        <w:t>Compliance With Laws; Anti-Terrorism Laws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20" w:firstLine="444"/>
        <w:spacing w:after="0" w:line="308" w:lineRule="auto"/>
        <w:tabs>
          <w:tab w:leader="none" w:pos="679"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is in compliance with the requirements of all applicable Laws, (including all applicable Healthcare Laws), except for such Laws (including all applicable Healthcare Laws) the noncompliance with which could not reasonably be expected to have a Material Adverse Effect.</w:t>
      </w:r>
    </w:p>
    <w:p>
      <w:pPr>
        <w:spacing w:after="0" w:line="33" w:lineRule="exact"/>
        <w:rPr>
          <w:rFonts w:ascii="Times New Roman" w:cs="Times New Roman" w:eastAsia="Times New Roman" w:hAnsi="Times New Roman"/>
          <w:sz w:val="17"/>
          <w:szCs w:val="17"/>
          <w:color w:val="auto"/>
        </w:rPr>
      </w:pPr>
    </w:p>
    <w:p>
      <w:pPr>
        <w:ind w:left="700" w:hanging="256"/>
        <w:spacing w:after="0"/>
        <w:tabs>
          <w:tab w:leader="none" w:pos="7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Credit Parties and, to the knowledge of the Credit Parties, none of their Affiliates (i) is in violation of any Anti-Terrorism Law,</w:t>
      </w:r>
    </w:p>
    <w:p>
      <w:pPr>
        <w:spacing w:after="0" w:line="25" w:lineRule="exact"/>
        <w:rPr>
          <w:rFonts w:ascii="Times New Roman" w:cs="Times New Roman" w:eastAsia="Times New Roman" w:hAnsi="Times New Roman"/>
          <w:sz w:val="18"/>
          <w:szCs w:val="18"/>
          <w:color w:val="auto"/>
        </w:rPr>
      </w:pPr>
    </w:p>
    <w:p>
      <w:pPr>
        <w:ind w:right="200" w:firstLine="7"/>
        <w:spacing w:after="0" w:line="262" w:lineRule="auto"/>
        <w:tabs>
          <w:tab w:leader="none" w:pos="262"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engages in or conspires to engage in any transaction that evades or avoids, or has the purpose of evading or avoiding, or attempts to violate, any 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w:t>
      </w:r>
    </w:p>
    <w:p>
      <w:pPr>
        <w:spacing w:after="0" w:line="2" w:lineRule="exact"/>
        <w:rPr>
          <w:rFonts w:ascii="Times New Roman" w:cs="Times New Roman" w:eastAsia="Times New Roman" w:hAnsi="Times New Roman"/>
          <w:sz w:val="17"/>
          <w:szCs w:val="17"/>
          <w:color w:val="auto"/>
        </w:rPr>
      </w:pPr>
    </w:p>
    <w:p>
      <w:pPr>
        <w:ind w:right="2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conducts any business or engages in making or receiving any contribution of funds, goods or services directly or indirectly to or for the benefit of any Blocked Person or Sanctioned Country, or (B) deals in, or otherwise engages in any transaction directly or indirectly relating to, any property or interest in property blocked pursuant to Executive Order No. 13224, any similar executive order or other Anti-Terrorism Law.</w:t>
      </w:r>
    </w:p>
    <w:p>
      <w:pPr>
        <w:spacing w:after="0" w:line="185"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federal income tax returns, all state income tax returns, and all other material federal, state and local tax returns, reports and statements required to be filed by or on behalf of each Credit Party have been filed with the appropriate Governmental Authorities in all jurisdictions in which such returns, reports and statements are required to be filed (in the case of state and local sales and use tax returns, reports and statements, as determined in good faith by such Credit Party) and, except to the extent subject to a Permitted Contest, all Taxes (including real property Taxes) and other charges shown to be due and payable in respect of such tax returns, reports and statements have been timely paid prior to the date on which any fine, penalty, interest, late charge or loss may be added thereto for nonpayment thereof (in the case of state and local sales and use Taxes, as determined in good faith by such Credit Party). Except to the extent subject to a Permitted Contest, all state and local sales and use Taxes required to be paid by each Credit Party (as determined in good faith by such Credit Party) in excess of (x) One Hundred Thousand Dollars ($100,000) for any state or local sales or use taxes in any individual state or locality and (y) Two Hundred Fifty Thousand Dollars ($250,000) in the aggregate (any state and local sales and use Taxes below the thresholds in the foregoing (x) and (y), “</w:t>
      </w:r>
      <w:r>
        <w:rPr>
          <w:rFonts w:ascii="Times New Roman" w:cs="Times New Roman" w:eastAsia="Times New Roman" w:hAnsi="Times New Roman"/>
          <w:sz w:val="18"/>
          <w:szCs w:val="18"/>
          <w:b w:val="1"/>
          <w:bCs w:val="1"/>
          <w:color w:val="auto"/>
        </w:rPr>
        <w:t>Excluded Sales Taxes</w:t>
      </w:r>
      <w:r>
        <w:rPr>
          <w:rFonts w:ascii="Times New Roman" w:cs="Times New Roman" w:eastAsia="Times New Roman" w:hAnsi="Times New Roman"/>
          <w:sz w:val="18"/>
          <w:szCs w:val="18"/>
          <w:color w:val="auto"/>
        </w:rPr>
        <w:t xml:space="preserve">”), have been paid. All federal and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 For the avoidance of doubt, this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shall not be breached if (i) based on a good faith belief that it was not required to do so, a Credit Party did not file tax returns, reports or statements with respect to state or local sales and use Taxes, and did not pay state or local sale and use Taxes which would have been shown as due and payable thereon, and (ii) it is later determined by a Governmental Authority that such Credit Party was required to file any such tax returns, reports or statements and pay such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Credit Party files such tax returns, reports or statements and pays such Taxes within a reasonable amount of time (not to exceed ten (10) Business Days) following a final determination by such Governmental Authority.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96" w:name="page497"/>
    <w:bookmarkEnd w:id="4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3.14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54" w:lineRule="auto"/>
        <w:tabs>
          <w:tab w:leader="none" w:pos="122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have a Material Adverse Effect, (i) each ERISA Plan (and the related trusts and funding agreements) complies in form and in operation with, has been administered in compliance with, and the terms of each ERISA Plan satisfy, the applicable requirements of ERISA and the Code, (ii) each ERISA Plan which is intended to be qualified under Section 401(a) of the Code is so qualified, and the United States Internal Revenue Service has issued a favorable determination letter or opinion letter with respect to each such ERISA Plan which may be relied on currently and (iii) no Credit Party has incurred liability for any material excise tax under any of Sections 4971 through 5000 of the Code.</w:t>
      </w:r>
    </w:p>
    <w:p>
      <w:pPr>
        <w:spacing w:after="0" w:line="76" w:lineRule="exact"/>
        <w:rPr>
          <w:rFonts w:ascii="Times New Roman" w:cs="Times New Roman" w:eastAsia="Times New Roman" w:hAnsi="Times New Roman"/>
          <w:sz w:val="18"/>
          <w:szCs w:val="18"/>
          <w:color w:val="auto"/>
        </w:rPr>
      </w:pPr>
    </w:p>
    <w:p>
      <w:pPr>
        <w:ind w:firstLine="990"/>
        <w:spacing w:after="0" w:line="250" w:lineRule="auto"/>
        <w:tabs>
          <w:tab w:leader="none" w:pos="12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each Credit Party and each Subsidiary is in compliance with the applicable provisions of ERISA and the provision of the Code relating to ERISA Plans and the regulations and published interpretations therein. During the thirty-six (36) month period prior to the Closing Date or the making of any Loan (i) no steps have been taken to terminate any Pension Plan, and (ii) no contribution failure has occurred with respect to any Pension Plan sufficient to give rise to a Lien under Section 303(k) of ERISA or Section 430(k) of the Code and no event has occurred that would give rise to a Lien under Section 4068 of ERISA. Except as would not reasonably be expected, individually or in the aggregate, to have a Material Adverse Effect, (i) no condition exists or event or transaction has occurred with respect to any Pension Plan which could result in the incurrence by any Credit Party of any material liability, fine or penalty, (ii) no Credit Party has incurred liability to the PBGC (other than for current premiums) with respect to any employee Pension Plan, (iii) all contributions (if any) have been made on a timely basis to any Multiemployer Plan that are required to be made by any Credit Party or any other member of the Controlled Group under the terms of the plan or of any collective bargaining agreement or by applicable Law, (iv)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and (v) no Credit Party nor any member of the Controlled Group has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88" w:lineRule="exact"/>
        <w:rPr>
          <w:sz w:val="20"/>
          <w:szCs w:val="20"/>
          <w:color w:val="auto"/>
        </w:rPr>
      </w:pPr>
    </w:p>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Consummation of Financing Documents; Brokers</w:t>
      </w:r>
      <w:r>
        <w:rPr>
          <w:rFonts w:ascii="Times New Roman" w:cs="Times New Roman" w:eastAsia="Times New Roman" w:hAnsi="Times New Roman"/>
          <w:sz w:val="18"/>
          <w:szCs w:val="18"/>
          <w:color w:val="auto"/>
        </w:rPr>
        <w:t>. Except for fees payable to Agent, Term Loan Servicer and/or Lenders and Armentum Partners, LLC and its Affiliates (which amounts shall be paid on the Closing Date out of the proceeds of the Loans), no broker, finder or other intermediary has brought about the obtaining, making or closing of the transactions contemplated by the Financing Documents, and no Credit Party has or will have any obligation to any Person in respect of any finder’s or brokerage fees, commissions or other expenses in connection herewith or therewith.</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Except for the agreements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as of the Closing Date there are no Material Contracts. The consummation of the transactions contemplated by the Financing Documents will not give rise to a right of termination in favor of any party to any Material Contract (other than any Credit Party), except for such Material Contracts the noncompliance with which would not reasonably be expected to have a Material Adverse Effect.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497" w:name="page498"/>
    <w:bookmarkEnd w:id="4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3.18 </w:t>
      </w:r>
      <w:r>
        <w:rPr>
          <w:rFonts w:ascii="Times New Roman" w:cs="Times New Roman" w:eastAsia="Times New Roman" w:hAnsi="Times New Roman"/>
          <w:sz w:val="18"/>
          <w:szCs w:val="18"/>
          <w:u w:val="single" w:color="auto"/>
          <w:color w:val="auto"/>
        </w:rPr>
        <w:t>Compliance with Environmental Requirements; No Hazardous Materials</w:t>
      </w:r>
      <w:r>
        <w:rPr>
          <w:rFonts w:ascii="Times New Roman" w:cs="Times New Roman" w:eastAsia="Times New Roman" w:hAnsi="Times New Roman"/>
          <w:sz w:val="18"/>
          <w:szCs w:val="18"/>
          <w:color w:val="auto"/>
        </w:rPr>
        <w:t xml:space="preserve">. Except in each case as set forth on </w:t>
      </w:r>
      <w:r>
        <w:rPr>
          <w:rFonts w:ascii="Times New Roman" w:cs="Times New Roman" w:eastAsia="Times New Roman" w:hAnsi="Times New Roman"/>
          <w:sz w:val="18"/>
          <w:szCs w:val="18"/>
          <w:u w:val="single" w:color="auto"/>
          <w:color w:val="auto"/>
        </w:rPr>
        <w:t>Schedule 3.18</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54" w:lineRule="auto"/>
        <w:tabs>
          <w:tab w:leader="none" w:pos="1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notification, demand, request for information, citation, summons, complaint or order has been issued, no complaint has been filed, no penalty has been assessed and no investigation or review is pending, or to such Credit Party’s knowledge, threatened in writing by any Governmental Authority or other Person with respect to any (i) alleged violation by any Credit Party of any Environmental Law, (ii) alleged failure by any Credit Party to have any Permits required in connection with the conduct of its business or to comply with the terms and conditions thereof, (iii) any generation, treatment, storage, recycling, transportation or disposal of any Hazardous Materials, or (iv) release of Hazardous Materials, in each case except as could not reasonably be expected to have a Material Adverse Effect; and</w:t>
      </w:r>
    </w:p>
    <w:p>
      <w:pPr>
        <w:spacing w:after="0" w:line="76" w:lineRule="exact"/>
        <w:rPr>
          <w:rFonts w:ascii="Times New Roman" w:cs="Times New Roman" w:eastAsia="Times New Roman" w:hAnsi="Times New Roman"/>
          <w:sz w:val="18"/>
          <w:szCs w:val="18"/>
          <w:color w:val="auto"/>
        </w:rPr>
      </w:pPr>
    </w:p>
    <w:p>
      <w:pPr>
        <w:ind w:firstLine="990"/>
        <w:spacing w:after="0" w:line="253" w:lineRule="auto"/>
        <w:tabs>
          <w:tab w:leader="none" w:pos="12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property now owned or leased by any Credit Party and, to the knowledge of each Credit Party, no such property previously owned or leased by any Credit Party, to which any Credit Party has, directly or indirectly, transported or arranged for the transportation of any Hazardous Materials in violation of applicable Law, is listed or, to such Credit Party’s knowledge, proposed for listing, on the National Priorities List promulgated pursuant to CERCLA, or CERCLIS (as defined in CERCLA) or any similar state list or is the subject of federal, state or local enforcement actions or, to the knowledge of such Credit Party, other investigations which may lead to claims against any Credit Party for clean-up costs, remedial work, damage to natural resources or personal injury claims, including, without limitation, claims under CERCLA, except, in each case, as could not reasonably be expected to have a Material Adverse Effect.</w:t>
      </w:r>
    </w:p>
    <w:p>
      <w:pPr>
        <w:spacing w:after="0" w:line="184"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For purposes of this Section 3.18, each Credit Party shall be deemed to include any business or business entity (including a corporation) that is, in whole or in part, a predecessor of such Credit Party.</w:t>
      </w:r>
    </w:p>
    <w:p>
      <w:pPr>
        <w:spacing w:after="0" w:line="162" w:lineRule="exact"/>
        <w:rPr>
          <w:sz w:val="20"/>
          <w:szCs w:val="20"/>
          <w:color w:val="auto"/>
        </w:rPr>
      </w:pPr>
    </w:p>
    <w:p>
      <w:pPr>
        <w:ind w:right="10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Intellectual Property and License Agreements</w:t>
      </w:r>
      <w:r>
        <w:rPr>
          <w:rFonts w:ascii="Times New Roman" w:cs="Times New Roman" w:eastAsia="Times New Roman" w:hAnsi="Times New Roman"/>
          <w:sz w:val="18"/>
          <w:szCs w:val="18"/>
          <w:color w:val="auto"/>
        </w:rPr>
        <w:t>. A list of all Registered Intellectual Property of each Credit Party and all material in-bound license or sublicense agreements, and exclusive out-bound license or sublicense agreements (but, in each case, excluding in-bound licenses of over-the-counter and other software that is commercially available to the public and open source licenses in the Ordinary Course of Business), as of the Closing Date and, as updated pursuant to Section 4.15, is set forth on Schedule 3.19. Except for Permitted Licenses and Permitted Liens, each Credit Party is the sole owner of its material Intellectual Property free and clear of any Liens. Except as could not be reasonably expected to have a Material Adverse Effect, each patent owned or licensed by any Credit Party is valid and enforceable in all respects and no Intellectual Property has been judged invalid or unenforceable, in whole or in part, and to the best of Credit Parties’ knowledge, no claim has been made that any part of the Credit Parties’ Intellectual Property violates the rights of any third party.</w:t>
      </w:r>
    </w:p>
    <w:p>
      <w:pPr>
        <w:spacing w:after="0" w:line="187" w:lineRule="exact"/>
        <w:rPr>
          <w:sz w:val="20"/>
          <w:szCs w:val="20"/>
          <w:color w:val="auto"/>
        </w:rPr>
      </w:pPr>
    </w:p>
    <w:p>
      <w:pPr>
        <w:ind w:right="60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After giving effect to the Loan advance and the liabilities and obligations of each Credit Party under the Financing Documents, each Borrower and each additional Credit Party is Solvent, taken together on a consolidated basis.</w:t>
      </w:r>
    </w:p>
    <w:p>
      <w:pPr>
        <w:spacing w:after="0" w:line="162" w:lineRule="exact"/>
        <w:rPr>
          <w:sz w:val="20"/>
          <w:szCs w:val="20"/>
          <w:color w:val="auto"/>
        </w:rPr>
      </w:pPr>
    </w:p>
    <w:p>
      <w:pPr>
        <w:ind w:righ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None of the written factual information (other than any projections and any general economic or specific industry information) furnished by or on behalf of any Credit Party to Agent or any Lender in connection with the consummation of the transactions contemplated by the Financing Documents, when furnished and taken as a whole, contains any untrue statement of a material fact or omits to state a material fact necessary to make the statements contained herein or therein, when taken as a whole, not materially misleading in light of the circumstances under which such statements were made. All financial projections delivered to Agent and the Lenders by Credit Parties (or their agents) have been prepared on the basis of the assumptions stated therein. Such</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98" w:name="page499"/>
    <w:bookmarkEnd w:id="49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projections represent each Credit Party’s best estimate of such Credit Party’s future financial performance and such assumptions are believed by such Credit Party to be fair and reasonable in light of current business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Credit Parties can give no assurance that such projections will be attained. Agent and each Lender acknowledges and agrees that all financial performance projections delivered to Agent represent Borrowers’ best good faith estimate of future financial performance and are based on assumptions believed by Credit Parties to be fair and reasonable in light of current market conditions as of the date thereof, it being acknowledged and agreed by Agent and Lenders that projections as to future events are not to be viewed as facts and that the actual results during the period or periods covered by such projections may differ from the projected results.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Credit Parties do not own any Equity Interests or Subsidiaries except for Permitted Investments.</w:t>
      </w:r>
    </w:p>
    <w:p>
      <w:pPr>
        <w:spacing w:after="0" w:line="221" w:lineRule="exact"/>
        <w:rPr>
          <w:sz w:val="20"/>
          <w:szCs w:val="20"/>
          <w:color w:val="auto"/>
        </w:rPr>
      </w:pPr>
    </w:p>
    <w:p>
      <w:pPr>
        <w:jc w:val="both"/>
        <w:ind w:right="30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Accuracy of Schedules</w:t>
      </w:r>
      <w:r>
        <w:rPr>
          <w:rFonts w:ascii="Times New Roman" w:cs="Times New Roman" w:eastAsia="Times New Roman" w:hAnsi="Times New Roman"/>
          <w:sz w:val="18"/>
          <w:szCs w:val="18"/>
          <w:color w:val="auto"/>
        </w:rPr>
        <w:t>. All information set forth in the Schedules to this Agreement is true, accurate and complete in all material respects as of the Closing Date. All information set forth in the Perfection Certificate is true, accurate and complete in all material respects as of the Closing Date and any other subsequent date in which Borrower is required to update such certificate.</w:t>
      </w:r>
    </w:p>
    <w:p>
      <w:pPr>
        <w:spacing w:after="0" w:line="175"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Eligible Accounts</w:t>
      </w:r>
      <w:r>
        <w:rPr>
          <w:rFonts w:ascii="Times New Roman" w:cs="Times New Roman" w:eastAsia="Times New Roman" w:hAnsi="Times New Roman"/>
          <w:sz w:val="18"/>
          <w:szCs w:val="18"/>
          <w:color w:val="auto"/>
        </w:rPr>
        <w:t>. As to each Account that is identified by Borrowers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Business of the applicable Borrower, and (b) not excluded as ineligible by virtue of one or more of the excluding criteria set forth in the definition of “Eligible Account”.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990"/>
        <w:spacing w:after="0" w:line="263" w:lineRule="auto"/>
        <w:tabs>
          <w:tab w:leader="none" w:pos="122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to the knowledge of each Credit Party, each PC is in compliance with all applicable Healthcare Laws and is not in violation of any order of any Governmental Authority regulating, enforcing or overseeing compliance with Healthcare Laws, except for such noncompliance or violation which could not reasonably be expected to have a Material Adverse Effect.</w:t>
      </w:r>
    </w:p>
    <w:p>
      <w:pPr>
        <w:spacing w:after="0" w:line="68" w:lineRule="exact"/>
        <w:rPr>
          <w:rFonts w:ascii="Times New Roman" w:cs="Times New Roman" w:eastAsia="Times New Roman" w:hAnsi="Times New Roman"/>
          <w:sz w:val="18"/>
          <w:szCs w:val="18"/>
          <w:color w:val="auto"/>
        </w:rPr>
      </w:pPr>
    </w:p>
    <w:p>
      <w:pPr>
        <w:ind w:firstLine="990"/>
        <w:spacing w:after="0" w:line="250" w:lineRule="auto"/>
        <w:tabs>
          <w:tab w:leader="none" w:pos="12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investigations that could not reasonably be expected to have a Material Adverse Effect, as of the Closing Date, none of the Credit Parties and, to the knowledge of any Credit Party, none of the PCs has received a subpoena or written notice that it is subject to any investigation by any Governmental Authority with respect to any Healthcare Law, nor, to the knowledge of any Credit Party, is any investigation threatened in writing. Borrower and, to the knowledge of each Credit Party, each PC holds and maintains in good standing and without limitation or impairment all material Permits required by applicable Law, except as could not reasonably be expected to have a Material Adverse Effect. As of the Closing Date, none of the Credit Parties and, to the knowledge of any Credit Party, none of the PCs have reported any material “breach” of “unsecured protected health information” (as such terms are defined in HIPAA) affecting 500 or more individuals to the Office for Civil Rights of the Department of Health and Human Services or any state agency. As of the Closing Date, except as could not reasonably be expected to have a Material Adverse Effect, none of the Credit Parties and, to the knowledge of any Credit Party, none of the PCs had any security or data breaches compromising or otherwise involving individually identifiable information, and no violation of Healthcare Laws has occurred that required any Credit Party or, to the knowledge of any Credit Party, any PC to provide written notification to any Governmental Authority. Credit Parties have established a compliance plan, the purpose of which is to assure that each such Person is in compliance in all material respects with applicable Health Care Laws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499" w:name="page500"/>
    <w:bookmarkEnd w:id="499"/>
    <w:p>
      <w:pPr>
        <w:ind w:right="60" w:firstLine="990"/>
        <w:spacing w:after="0" w:line="258" w:lineRule="auto"/>
        <w:tabs>
          <w:tab w:leader="none" w:pos="122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Credit Party nor, to the knowledge of any Credit Party, any PC is subject to any Proceeding or, to any Credit Party’s knowledge, investigation by any Governmental Authority (including the Office of the Inspector General of the United States Department of Health and Human Services), which could reasonably be expected to result in the revocation, transfer, surrender, suspension of any material Permits of Borrower or any PC or otherwise reasonably be expected to result in a Material Adverse Effect.</w:t>
      </w:r>
    </w:p>
    <w:p>
      <w:pPr>
        <w:spacing w:after="0" w:line="72" w:lineRule="exact"/>
        <w:rPr>
          <w:rFonts w:ascii="Times New Roman" w:cs="Times New Roman" w:eastAsia="Times New Roman" w:hAnsi="Times New Roman"/>
          <w:sz w:val="18"/>
          <w:szCs w:val="18"/>
          <w:color w:val="auto"/>
        </w:rPr>
      </w:pPr>
    </w:p>
    <w:p>
      <w:pPr>
        <w:ind w:right="200" w:firstLine="990"/>
        <w:spacing w:after="0" w:line="278" w:lineRule="auto"/>
        <w:tabs>
          <w:tab w:leader="none" w:pos="123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 Credit Party nor, to the knowledge of any Credit Party, any PC has received written notice of any pending Regulatory Reporting Event.</w:t>
      </w:r>
    </w:p>
    <w:p>
      <w:pPr>
        <w:spacing w:after="0" w:line="16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Senior Indebtedness Status</w:t>
      </w:r>
      <w:r>
        <w:rPr>
          <w:rFonts w:ascii="Times New Roman" w:cs="Times New Roman" w:eastAsia="Times New Roman" w:hAnsi="Times New Roman"/>
          <w:sz w:val="18"/>
          <w:szCs w:val="18"/>
          <w:color w:val="auto"/>
        </w:rPr>
        <w:t>. The Obligations of each Credit Party under this Agreement and each of the other Financing Documents ranks and shall continue to rank at least senior in priority of payment to all Debt that is contractually subordinated to the Obligations of each such Person under this Agreement and is designated as “Senior Indebtedness” (or an equivalent term) under all instruments and documents, now or in the future, relating to all Debt that is contractually subordinated to the Obligations under this Agreement of each such Person.</w:t>
      </w:r>
    </w:p>
    <w:p>
      <w:pPr>
        <w:spacing w:after="0" w:line="180"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Practice Entity Documents</w:t>
      </w:r>
      <w:r>
        <w:rPr>
          <w:rFonts w:ascii="Times New Roman" w:cs="Times New Roman" w:eastAsia="Times New Roman" w:hAnsi="Times New Roman"/>
          <w:sz w:val="18"/>
          <w:szCs w:val="18"/>
          <w:color w:val="auto"/>
        </w:rPr>
        <w:t>. The Credit Parties have provided to Agent complete copies of each Practice Entity Document, including all schedules and exhibits referred to therein or delivered pursuant thereto, if any, and all amendments thereto, waivers relating thereto and other side letters or agreements affecting the term thereof. None of such agreements and documents has been amended or supplemented, nor have any of the provisions thereof been waived, except pursuant to a written agreement or agreement which has heretofore been delivered to Agent. All Practice Entity Documents comply in all material respects with all requirements of Healthcare Laws.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4 - AFFIRMATIVE 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Credit Party agrees that: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Financial Statements, Other Reports and Notices</w:t>
      </w:r>
      <w:r>
        <w:rPr>
          <w:rFonts w:ascii="Times New Roman" w:cs="Times New Roman" w:eastAsia="Times New Roman" w:hAnsi="Times New Roman"/>
          <w:sz w:val="18"/>
          <w:szCs w:val="18"/>
          <w:color w:val="auto"/>
        </w:rPr>
        <w:t>. The Credit Parties will deliver to Agent:</w:t>
      </w:r>
    </w:p>
    <w:p>
      <w:pPr>
        <w:spacing w:after="0" w:line="114" w:lineRule="exact"/>
        <w:rPr>
          <w:sz w:val="20"/>
          <w:szCs w:val="20"/>
          <w:color w:val="auto"/>
        </w:rPr>
      </w:pPr>
    </w:p>
    <w:p>
      <w:pPr>
        <w:ind w:right="60" w:firstLine="990"/>
        <w:spacing w:after="0" w:line="254" w:lineRule="auto"/>
        <w:tabs>
          <w:tab w:leader="none" w:pos="122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thirty (30) days after the last day of each month, a company prepared consolidated and consolidating balance sheet, cash flow and income statement (including year-to-date results) covering Parent and its Consolidated Subsidiaries’ consolidated and consolidating operations during the period, prepared in accordance with GAAP (subject to normal year-end adjustments and the absence of footnote disclosures), consistently applied, setting forth in comparative form the corresponding figures as at the end of the corresponding month of the previous fiscal year and, where applicable, the quarterly projected figures for such period based upon the projections required hereunder, all in reasonable detail, certified by a Responsible Officer and in a form reasonably acceptable to Agent;</w:t>
      </w:r>
    </w:p>
    <w:p>
      <w:pPr>
        <w:spacing w:after="0" w:line="76" w:lineRule="exact"/>
        <w:rPr>
          <w:rFonts w:ascii="Times New Roman" w:cs="Times New Roman" w:eastAsia="Times New Roman" w:hAnsi="Times New Roman"/>
          <w:sz w:val="18"/>
          <w:szCs w:val="18"/>
          <w:color w:val="auto"/>
        </w:rPr>
      </w:pPr>
    </w:p>
    <w:p>
      <w:pPr>
        <w:ind w:right="120" w:firstLine="990"/>
        <w:spacing w:after="0" w:line="263" w:lineRule="auto"/>
        <w:tabs>
          <w:tab w:leader="none" w:pos="123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Agent’s reasonable request, together with the financial reporting package described in (a) above, evidence of payment and satisfaction of all payroll, withholding and similar Taxes due and owing by all Credit Parties with respect to the payroll period(s) occurring during such month;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00" w:name="page501"/>
    <w:bookmarkEnd w:id="500"/>
    <w:p>
      <w:pPr>
        <w:ind w:right="20" w:firstLine="990"/>
        <w:spacing w:after="0" w:line="258" w:lineRule="auto"/>
        <w:tabs>
          <w:tab w:leader="none" w:pos="1225"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later than 120 days after the last day of Parent’s fiscal year, audited consolidated and consolidating financial statements prepared under GAAP, consistently applied, together with an unqualified opinion (other than a going concern qualification based solely on the upcoming maturity date of the Debt under this Agreement occurring within 12 months of the date of such audit) on the financial statements from an independent certified public accounting firm acceptable to Agent in its reasonable discretion;</w:t>
      </w:r>
    </w:p>
    <w:p>
      <w:pPr>
        <w:spacing w:after="0" w:line="72" w:lineRule="exact"/>
        <w:rPr>
          <w:rFonts w:ascii="Times New Roman" w:cs="Times New Roman" w:eastAsia="Times New Roman" w:hAnsi="Times New Roman"/>
          <w:sz w:val="18"/>
          <w:szCs w:val="18"/>
          <w:color w:val="auto"/>
        </w:rPr>
      </w:pPr>
    </w:p>
    <w:p>
      <w:pPr>
        <w:ind w:right="80" w:firstLine="990"/>
        <w:spacing w:after="0" w:line="253" w:lineRule="auto"/>
        <w:tabs>
          <w:tab w:leader="none" w:pos="1235"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such Credit Party is or becomes subject to the reporting requirements under the Securities and Exchange Act of 1934, within ten (10) Business Days of delivery or filing thereof, copies of all statements, reports and notices made available to such Credit Party’s security holders or to any holders of Subordinated Debt and copies of all reports and other filings made by such Credit Party with any stock exchange on which any securities of any Credit Party are traded and/or the SEC; provided that to the extent any of the foregoing is available on the SEC EDGAR website, delivery to Agent will be deemed to have been delivered on the date (i) on which such materials are publicly available as posted on the SEC EDGAR website and Borrower Representative posts such documents, or provides a link thereto, on Borrower Representative’s website on the Internet at Borrower Representative’s website address;</w:t>
      </w:r>
    </w:p>
    <w:p>
      <w:pPr>
        <w:spacing w:after="0" w:line="77" w:lineRule="exact"/>
        <w:rPr>
          <w:rFonts w:ascii="Times New Roman" w:cs="Times New Roman" w:eastAsia="Times New Roman" w:hAnsi="Times New Roman"/>
          <w:sz w:val="18"/>
          <w:szCs w:val="18"/>
          <w:color w:val="auto"/>
        </w:rPr>
      </w:pPr>
    </w:p>
    <w:p>
      <w:pPr>
        <w:jc w:val="both"/>
        <w:ind w:firstLine="990"/>
        <w:spacing w:after="0" w:line="258" w:lineRule="auto"/>
        <w:tabs>
          <w:tab w:leader="none" w:pos="1225"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prompt, but in no event later than when the next Compliance Certificate is required to be delivered, written report of any legal actions pending or threatened in writing against any Credit Party or any of its Subsidiaries that could reasonably be expected to result in damages or costs to any Credit Party or any of its Subsidiaries of Five Hundred Thousand Dollars ($500,000) or more or otherwise could be reasonably expected to result in a Material Adverse Effect;</w:t>
      </w:r>
    </w:p>
    <w:p>
      <w:pPr>
        <w:spacing w:after="0" w:line="72"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of an event that materially and adversely affects the value of any Material Intangible Asset;</w:t>
      </w:r>
    </w:p>
    <w:p>
      <w:pPr>
        <w:spacing w:after="0" w:line="113" w:lineRule="exact"/>
        <w:rPr>
          <w:rFonts w:ascii="Times New Roman" w:cs="Times New Roman" w:eastAsia="Times New Roman" w:hAnsi="Times New Roman"/>
          <w:sz w:val="18"/>
          <w:szCs w:val="18"/>
          <w:color w:val="auto"/>
        </w:rPr>
      </w:pPr>
    </w:p>
    <w:p>
      <w:pPr>
        <w:ind w:right="300" w:firstLine="990"/>
        <w:spacing w:after="0" w:line="278" w:lineRule="auto"/>
        <w:tabs>
          <w:tab w:leader="none" w:pos="1235"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start of each fiscal year, projections for the forthcoming two fiscal years, on a quarterly basis for the current year and on an annual basis for the subsequent year;</w:t>
      </w:r>
    </w:p>
    <w:p>
      <w:pPr>
        <w:spacing w:after="0" w:line="55" w:lineRule="exact"/>
        <w:rPr>
          <w:rFonts w:ascii="Times New Roman" w:cs="Times New Roman" w:eastAsia="Times New Roman" w:hAnsi="Times New Roman"/>
          <w:sz w:val="18"/>
          <w:szCs w:val="18"/>
          <w:color w:val="auto"/>
        </w:rPr>
      </w:pPr>
    </w:p>
    <w:p>
      <w:pPr>
        <w:ind w:right="240" w:firstLine="990"/>
        <w:spacing w:after="0" w:line="263" w:lineRule="auto"/>
        <w:tabs>
          <w:tab w:leader="none" w:pos="1235"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within ten (10) Business Days of any request therefor) such readily available other budgets, sales projections, operating plans and other financial information and information, reports or statements regarding the Credit Parties, their business and the Collateral as Agent may from time to time reasonably request;</w:t>
      </w:r>
    </w:p>
    <w:p>
      <w:pPr>
        <w:spacing w:after="0" w:line="68" w:lineRule="exact"/>
        <w:rPr>
          <w:rFonts w:ascii="Times New Roman" w:cs="Times New Roman" w:eastAsia="Times New Roman" w:hAnsi="Times New Roman"/>
          <w:sz w:val="18"/>
          <w:szCs w:val="18"/>
          <w:color w:val="auto"/>
        </w:rPr>
      </w:pPr>
    </w:p>
    <w:p>
      <w:pPr>
        <w:ind w:right="440" w:firstLine="990"/>
        <w:spacing w:after="0" w:line="274" w:lineRule="auto"/>
        <w:tabs>
          <w:tab w:leader="none" w:pos="1195"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each delivery of financial statements pursuant to clause (a) above, deliver to Agent a duly completed Compliance Certificate signed by a Responsible Officer setting forth calculations showing (i) compliance with the financial covenants set forth in Article 6 and</w:t>
      </w:r>
    </w:p>
    <w:p>
      <w:pPr>
        <w:ind w:right="100" w:firstLine="7"/>
        <w:spacing w:after="0" w:line="262" w:lineRule="auto"/>
        <w:tabs>
          <w:tab w:leader="none" w:pos="262"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(as determined in accordance with GAAP) for the Defined Period attributable to the PCs, (iii) Credit Party Unrestricted Cash and Liquidity of the Borrowers as of the date that is five (5) Business Days prior to the delivery of the appliable Compliance Certificate, and (iv) monthly cash and Cash Equivalents of (w) Borrowers, (x) Credit Parties taken as a whole, (y) the Non-Credit Party Subsidiaries and (z) the PCs, as of the date that is five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Business Days prior to the delivery of the applicable Compliance Certificate;</w:t>
      </w:r>
    </w:p>
    <w:p>
      <w:pPr>
        <w:spacing w:after="0" w:line="95" w:lineRule="exact"/>
        <w:rPr>
          <w:rFonts w:ascii="Times New Roman" w:cs="Times New Roman" w:eastAsia="Times New Roman" w:hAnsi="Times New Roman"/>
          <w:sz w:val="17"/>
          <w:szCs w:val="17"/>
          <w:color w:val="auto"/>
        </w:rPr>
      </w:pPr>
    </w:p>
    <w:p>
      <w:pPr>
        <w:ind w:right="420" w:firstLine="990"/>
        <w:spacing w:after="0" w:line="278" w:lineRule="auto"/>
        <w:tabs>
          <w:tab w:leader="none" w:pos="119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last day of such month, deliver to Agent a duly completed Borrowing Base Certificate signed by a Responsible Officer, with aged listings of accounts receivable and accounts payable (by invoice date);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01" w:name="page502"/>
    <w:bookmarkEnd w:id="501"/>
    <w:p>
      <w:pPr>
        <w:ind w:right="200" w:firstLine="990"/>
        <w:spacing w:after="0" w:line="278" w:lineRule="auto"/>
        <w:tabs>
          <w:tab w:leader="none" w:pos="123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written notice to Agent promptly, but in any event within ten (10) Business Days of a Responsible Officer of a Credit Party receiving written notice or otherwise becoming aware that:</w:t>
      </w:r>
    </w:p>
    <w:p>
      <w:pPr>
        <w:spacing w:after="0" w:line="55" w:lineRule="exact"/>
        <w:rPr>
          <w:sz w:val="20"/>
          <w:szCs w:val="20"/>
          <w:color w:val="auto"/>
        </w:rPr>
      </w:pPr>
    </w:p>
    <w:p>
      <w:pPr>
        <w:ind w:right="180" w:firstLine="990"/>
        <w:spacing w:after="0" w:line="278" w:lineRule="auto"/>
        <w:tabs>
          <w:tab w:leader="none" w:pos="119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is conducting an investigation or review (other than routine reviews in the Ordinary Course of Business) of any Permit the loss of which could be reasonably expected to result in a Material Adverse Effect;</w:t>
      </w:r>
    </w:p>
    <w:p>
      <w:pPr>
        <w:spacing w:after="0" w:line="55" w:lineRule="exact"/>
        <w:rPr>
          <w:rFonts w:ascii="Times New Roman" w:cs="Times New Roman" w:eastAsia="Times New Roman" w:hAnsi="Times New Roman"/>
          <w:sz w:val="18"/>
          <w:szCs w:val="18"/>
          <w:color w:val="auto"/>
        </w:rPr>
      </w:pPr>
    </w:p>
    <w:p>
      <w:pPr>
        <w:ind w:right="60" w:firstLine="990"/>
        <w:spacing w:after="0" w:line="263" w:lineRule="auto"/>
        <w:tabs>
          <w:tab w:leader="none" w:pos="124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including without limitation the Office of the Inspector General of HHS or the United States Department of Justice, has commenced any Proceeding against a Credit Party or a Subsidiary thereof that could reasonably be expected to result in a Material Adverse Effect or a criminal action; or</w:t>
      </w:r>
    </w:p>
    <w:p>
      <w:pPr>
        <w:spacing w:after="0" w:line="68" w:lineRule="exact"/>
        <w:rPr>
          <w:rFonts w:ascii="Times New Roman" w:cs="Times New Roman" w:eastAsia="Times New Roman" w:hAnsi="Times New Roman"/>
          <w:sz w:val="18"/>
          <w:szCs w:val="18"/>
          <w:color w:val="auto"/>
        </w:rPr>
      </w:pPr>
    </w:p>
    <w:p>
      <w:pPr>
        <w:ind w:right="80" w:firstLine="990"/>
        <w:spacing w:after="0" w:line="278" w:lineRule="auto"/>
        <w:tabs>
          <w:tab w:leader="none" w:pos="129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or any Subsidiary thereof directly submits claims to, or directly receives any payments from, Medicare, Medicaid, or TRICARE; (each of the events set forth in clauses (i)-(iii) a “Regulatory Reporting Event”);</w:t>
      </w:r>
    </w:p>
    <w:p>
      <w:pPr>
        <w:spacing w:after="0" w:line="55" w:lineRule="exact"/>
        <w:rPr>
          <w:sz w:val="20"/>
          <w:szCs w:val="20"/>
          <w:color w:val="auto"/>
        </w:rPr>
      </w:pPr>
    </w:p>
    <w:p>
      <w:pPr>
        <w:ind w:firstLine="990"/>
        <w:spacing w:after="0" w:line="263" w:lineRule="auto"/>
        <w:tabs>
          <w:tab w:leader="none" w:pos="11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written request by any Lender, all documentation and other information that such Lender reasonably requests in order to comply with its ongoing obligations under applicable “know your customer” and anti-money laundering rules and regulations, including, without limitation, the USA PATRIOT Act; and</w:t>
      </w:r>
    </w:p>
    <w:p>
      <w:pPr>
        <w:spacing w:after="0" w:line="68" w:lineRule="exact"/>
        <w:rPr>
          <w:rFonts w:ascii="Times New Roman" w:cs="Times New Roman" w:eastAsia="Times New Roman" w:hAnsi="Times New Roman"/>
          <w:sz w:val="18"/>
          <w:szCs w:val="18"/>
          <w:color w:val="auto"/>
        </w:rPr>
      </w:pPr>
    </w:p>
    <w:p>
      <w:pPr>
        <w:ind w:right="40" w:firstLine="990"/>
        <w:spacing w:after="0" w:line="255" w:lineRule="auto"/>
        <w:tabs>
          <w:tab w:leader="none" w:pos="128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within five (5) Business Days, after any Responsible Officer of any Credit Party obtains knowledge of the occurrence of any event or change (including, without limitation, any notice of any violation of applicable Healthcare Laws) that has resulted or would reasonably be expected to result in, either in any case or in the aggregate, a Material Adverse Effect, a certificate of a Responsible Officer specifying the nature and period of existence of any such event or change, or specifying the notice given or action taken by such holder or Person and the nature of such event or change, and what action the applicable Credit Party or Subsidiary has taken, is taking or proposes to take with respect thereto.</w:t>
      </w:r>
    </w:p>
    <w:p>
      <w:pPr>
        <w:spacing w:after="0" w:line="184" w:lineRule="exact"/>
        <w:rPr>
          <w:sz w:val="20"/>
          <w:szCs w:val="20"/>
          <w:color w:val="auto"/>
        </w:rPr>
      </w:pPr>
    </w:p>
    <w:p>
      <w:pPr>
        <w:ind w:right="20" w:firstLine="436"/>
        <w:spacing w:after="0" w:line="249"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Payment and Performance of Obligations</w:t>
      </w:r>
      <w:r>
        <w:rPr>
          <w:rFonts w:ascii="Times New Roman" w:cs="Times New Roman" w:eastAsia="Times New Roman" w:hAnsi="Times New Roman"/>
          <w:sz w:val="18"/>
          <w:szCs w:val="18"/>
          <w:color w:val="auto"/>
        </w:rPr>
        <w:t>. Each Credit Party (a) will pay and discharge, and cause each Subsidiary to pay and discharge, on a timely basis as and when due, all of their respective obligations and liabilities, except for such obligations and/or liabilities (i) that may be the subject of a Permitted Contest, and (ii) the nonpayment or nondischarge of which could not reasonably be expected to have a Material Adverse Effect or result in a Lien against any Collateral, except for Permitted Liens, (b) without limiting anything contained in the foregoing clause (a), pay all amounts due and owing in respect of (i) all federal income Taxes and other material federal Taxes (including without limitation, material payroll and withholdings tax liabilities) and (ii) all material foreign, state, and local Taxes (including without limitation, material payroll and withholdings tax liabilities, but excluding Excluded Sales Taxes), in each case, on a timely basis as and when due, and in any case prior to the date on which any fine, penalty, interest, late charge or loss may be added thereto for nonpayment thereof, (c) will maintain, and cause each Subsidiary to maintain, in accordance with GAAP, appropriate reserves for the accrual of all of their respective obligations and liabilities, and (d) will not breach or permit any Subsidiary to breach, or permit to exist any default under, the terms of any lease, commitment, contract, instrument or obligation to which it is a party, or by which its properties or assets are bound, except for such breaches or defaults which could not reasonably be expected to have a Material Adverse Effect. In addition to the foregoing, if (i) based on a good faith belief that it was not required to do so, a Credit Party did not file tax returns, reports or statements with respect to state or local sales and use Taxes, and did not pay state or local sale and use Taxes which would have been shown as due and payable thereon, and (ii) it is later determined by a Governmental Authority that the Credit Party was required to file any such tax returns, reports or statements and pay such Taxes, Credit Parties shall file such tax returns, reports or statements and pay such Taxes within a reasonable amount of time (not to exceed ten (10) Business Days) following a final determination by such Governmental Authority unless such Taxes are subject to a Permitted Contest.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02" w:name="page503"/>
    <w:bookmarkEnd w:id="502"/>
    <w:p>
      <w:pPr>
        <w:ind w:right="60" w:firstLine="436"/>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4.3 </w:t>
      </w:r>
      <w:r>
        <w:rPr>
          <w:rFonts w:ascii="Times New Roman" w:cs="Times New Roman" w:eastAsia="Times New Roman" w:hAnsi="Times New Roman"/>
          <w:sz w:val="17"/>
          <w:szCs w:val="17"/>
          <w:u w:val="single" w:color="auto"/>
          <w:color w:val="auto"/>
        </w:rPr>
        <w:t>Maintenance of Existence</w:t>
      </w:r>
      <w:r>
        <w:rPr>
          <w:rFonts w:ascii="Times New Roman" w:cs="Times New Roman" w:eastAsia="Times New Roman" w:hAnsi="Times New Roman"/>
          <w:sz w:val="17"/>
          <w:szCs w:val="17"/>
          <w:color w:val="auto"/>
        </w:rPr>
        <w:t>. Subject to Section 5.6, each Credit Party will preserve, renew and keep in full force and effect and in good standing, and will cause each Subsidiary to preserve, renew and keep in full force and effect and in good standing, (a) their respective existence and</w:t>
      </w:r>
    </w:p>
    <w:p>
      <w:pPr>
        <w:ind w:right="20" w:firstLine="7"/>
        <w:spacing w:after="0" w:line="256" w:lineRule="auto"/>
        <w:tabs>
          <w:tab w:leader="none" w:pos="25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rights, privileges and franchises necessary or desirable in the normal conduct of business, unless, solely in the case of this clause (b), a failure to do so could not reasonably be expected to have a Material Adverse Effect.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120" w:firstLine="990"/>
        <w:spacing w:after="0" w:line="255" w:lineRule="auto"/>
        <w:tabs>
          <w:tab w:leader="none" w:pos="122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will keep, and will cause each Subsidiary to keep, all property useful and necessary in its business in good working order and condition, ordinary wear and tear excepted. If all or any material part of the Collateral useful or necessary in its business, or upon which any Borrowing Base is calculated, becomes damaged or destroyed, then each applicable Credit Party will, and will cause each applicable Subsidiary to, promptly repair and/or restore the affected Collateral in a good and workmanlike manner, regardless of whether Agent agrees to disburse insurance proceeds or other sums to pay costs of the work of repair or reconstruction.</w:t>
      </w:r>
    </w:p>
    <w:p>
      <w:pPr>
        <w:spacing w:after="0" w:line="77" w:lineRule="exact"/>
        <w:rPr>
          <w:rFonts w:ascii="Times New Roman" w:cs="Times New Roman" w:eastAsia="Times New Roman" w:hAnsi="Times New Roman"/>
          <w:sz w:val="18"/>
          <w:szCs w:val="18"/>
          <w:color w:val="auto"/>
        </w:rPr>
      </w:pPr>
    </w:p>
    <w:p>
      <w:pPr>
        <w:ind w:right="280" w:firstLine="990"/>
        <w:spacing w:after="0" w:line="278" w:lineRule="auto"/>
        <w:tabs>
          <w:tab w:leader="none" w:pos="123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any Permitted Contest, Credit Parties shall, and will cause each Subsidiary to, promptly pay the amount due, if any, and deliver to Agent proof of the completion of the contest and payment of the amount due, if any.</w:t>
      </w:r>
    </w:p>
    <w:p>
      <w:pPr>
        <w:spacing w:after="0" w:line="55" w:lineRule="exact"/>
        <w:rPr>
          <w:rFonts w:ascii="Times New Roman" w:cs="Times New Roman" w:eastAsia="Times New Roman" w:hAnsi="Times New Roman"/>
          <w:sz w:val="18"/>
          <w:szCs w:val="18"/>
          <w:color w:val="auto"/>
        </w:rPr>
      </w:pPr>
    </w:p>
    <w:p>
      <w:pPr>
        <w:ind w:firstLine="990"/>
        <w:spacing w:after="0" w:line="250" w:lineRule="auto"/>
        <w:tabs>
          <w:tab w:leader="none" w:pos="122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will maintain (i) property coverage including casualty insurance on all real and personal property on a special form (including the perils of windstorm), covering the repair and replacement cost of such property and coverage, business interruption and rent loss coverages with extended period of indemnity (for the period required by Agent from time to time) and indemnity for extra expense, in each case without application of coinsurance and with agreed amount endorsements, in an amount equal to at least $2,000,000 per occurrence and $4,000,000 in the aggregate; (ii) general and professional liability insurance (including products/completed operations liability coverage), in an amount equal to at least $2,000,000 per occurrence and $4,000,000 in the aggregate; (iii) excess liability coverage applicable to the foregoing policies in an amount equal to at least $5,000,000 per claim $5,000,000 in the aggregate; (iv) cyber-liability coverage, in an amount equal to at least $5,000,000 per occurrence and $5,000,000 in the aggregate, together with excess coverage up to $20,000,000 in the aggregate on such policy (when including primary coverage);</w:t>
      </w:r>
    </w:p>
    <w:p>
      <w:pPr>
        <w:spacing w:after="0" w:line="5" w:lineRule="exact"/>
        <w:rPr>
          <w:rFonts w:ascii="Times New Roman" w:cs="Times New Roman" w:eastAsia="Times New Roman" w:hAnsi="Times New Roman"/>
          <w:sz w:val="18"/>
          <w:szCs w:val="18"/>
          <w:color w:val="auto"/>
        </w:rPr>
      </w:pPr>
    </w:p>
    <w:p>
      <w:pPr>
        <w:ind w:firstLine="7"/>
        <w:spacing w:after="0" w:line="250" w:lineRule="auto"/>
        <w:tabs>
          <w:tab w:leader="none" w:pos="30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workers’ compensation insurance as required by applicable law, (v) and such other and additional insurance coverages and amounts as Agent shall from time to time reasonably require;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such insurance be in amounts or with coverage less than, or with carriers with qualifications inferior to, any of the insurance or carriers in existence as of the Closing Date (or required to be in existence after the Closing Date under a Financing Document). All such insurance shall be provided by insurers having an A.M. Best policyholders rating reasonably acceptable to Agent.</w:t>
      </w:r>
    </w:p>
    <w:p>
      <w:pPr>
        <w:spacing w:after="0" w:line="79" w:lineRule="exact"/>
        <w:rPr>
          <w:rFonts w:ascii="Times New Roman" w:cs="Times New Roman" w:eastAsia="Times New Roman" w:hAnsi="Times New Roman"/>
          <w:sz w:val="18"/>
          <w:szCs w:val="18"/>
          <w:color w:val="auto"/>
        </w:rPr>
      </w:pPr>
    </w:p>
    <w:p>
      <w:pPr>
        <w:ind w:right="180" w:firstLine="990"/>
        <w:spacing w:after="0" w:line="258" w:lineRule="auto"/>
        <w:tabs>
          <w:tab w:leader="none" w:pos="1235"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specified on Schedule 7.4, and at all times thereafter, each Credit Party will cause Agent to be named as an additional insured and lender loss payee (which shall include, as applicable, identification as mortgagee), as applicable, on each applicable insurance policy (which shall not include any workers’ compensation policy) required to be maintained pursuant to this Section 4.4 pursuant to endorsements in form and substance reasonably acceptable to Agent.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503" w:name="page504"/>
    <w:bookmarkEnd w:id="503"/>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Credit Parties shall deliver to Agent and the Lenders (i) on the Closing Date, a certificate from Credit Parties’ insurance broker dated such date showing the amount of coverage as of such date, and that the insurer will provide each additional insured, assignee and loss payee at least thirty (30) days’ (or ten</w:t>
      </w:r>
    </w:p>
    <w:p>
      <w:pPr>
        <w:ind w:firstLine="7"/>
        <w:spacing w:after="0" w:line="249" w:lineRule="auto"/>
        <w:tabs>
          <w:tab w:leader="none" w:pos="34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for nonpayment of premium) prior written notice of any cancellation thereof, (ii) on an annual basis, and upon the request of any Lender through Agent from time to time full information as to the insurance carried, (iii) within five (5) Business Days of receipt of notice from any insurer, a copy of any notice of cancellation, nonrenewal or material reduction in coverage from that existing on the date of this Agreement, (iv) notice of any cancellation or nonrenewal of coverage by any Credit Party, and (v) prior to expiration of any policy of insurance, evidence of renewal of such insurance upon the terms and conditions herein required. Each Credit Party’s property, general liability, and worker’s compensation policies shall include a waiver of subrogation against in favor of all loss payees and additional insureds, and shall not require loss payees or additional insureds to pay any insurance premiums, whether under the terms of any such policy, by waiver of all claims for insurance premiums against all loss payees and additional insureds, or otherwise.</w:t>
      </w:r>
    </w:p>
    <w:p>
      <w:pPr>
        <w:spacing w:after="0" w:line="82" w:lineRule="exact"/>
        <w:rPr>
          <w:rFonts w:ascii="Times New Roman" w:cs="Times New Roman" w:eastAsia="Times New Roman" w:hAnsi="Times New Roman"/>
          <w:sz w:val="18"/>
          <w:szCs w:val="18"/>
          <w:color w:val="auto"/>
        </w:rPr>
      </w:pPr>
    </w:p>
    <w:p>
      <w:pPr>
        <w:ind w:right="20" w:firstLine="990"/>
        <w:spacing w:after="0" w:line="251" w:lineRule="auto"/>
        <w:tabs>
          <w:tab w:leader="none" w:pos="1225"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Credit Party fails to provide Agent with evidence of the insurance coverage required by this Agreement, Agent may purchase insurance at Credit Parties’ expense to protect Agent’s interests in the Collateral. This insurance may, but need not, protect such Credit Party’s interests. The coverage purchased by Agent may not pay any claim made by such Credit Party or any claim that is made against such Credit Party in connection with the Collateral. Such Credit Party may later cancel any insurance purchased by Agent, but only after providing Agent with evidence that such Credit Party has obtained insurance as required by this Agreement. If Agent purchases insurance for the Collateral, Credit Parties will be responsible for the reasonable and documented costs of that insurance to the fullest extent provided by law, including interest and other charges imposed by Agent in connection with the placement of the insurance, until the effective date of the cancellation or expiration of the insurance. Such reasonable and documented costs of the insurance may be added to the Obligations. The costs of the insurance may be more than the cost of insurance such Credit Party is able to obtain on its own.</w:t>
      </w:r>
    </w:p>
    <w:p>
      <w:pPr>
        <w:spacing w:after="0" w:line="192"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Compliance with Laws and Material Contracts</w:t>
      </w:r>
      <w:r>
        <w:rPr>
          <w:rFonts w:ascii="Times New Roman" w:cs="Times New Roman" w:eastAsia="Times New Roman" w:hAnsi="Times New Roman"/>
          <w:sz w:val="18"/>
          <w:szCs w:val="18"/>
          <w:color w:val="auto"/>
        </w:rPr>
        <w:t>. Each Credit Party will comply, and cause each Subsidiary to comply, with the requirements of all applicable Laws (including all Healthcare Laws) and Material Contracts, except to the extent that failure to so comply could not reasonably be expected to (a) have a Material Adverse Effect, or (b) result in any Lien (other than a Permitted Lien) upon either (i) a material portion of the assets of any such Person in favor of any Governmental Authority, or (ii) any Collateral which is part of the Borrowing Base (other than, in each case, any Permitted Lien).</w:t>
      </w:r>
    </w:p>
    <w:p>
      <w:pPr>
        <w:spacing w:after="0" w:line="184"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Inspection of Property, Books and Records</w:t>
      </w:r>
      <w:r>
        <w:rPr>
          <w:rFonts w:ascii="Times New Roman" w:cs="Times New Roman" w:eastAsia="Times New Roman" w:hAnsi="Times New Roman"/>
          <w:sz w:val="18"/>
          <w:szCs w:val="18"/>
          <w:color w:val="auto"/>
        </w:rPr>
        <w:t>. Each Credit Party will keep, and will cause each Subsidiary to keep, proper books of record substantially in accordance with GAAP; and will permit, and will cause each Subsidiary to permit, during normal business hours, at the sole cost of the applicable Credit Party or any applicable Subsidiary, representatives of Agent to visit and inspect any of their respective properties, to examine and make abstracts or copies from any of their respective books and records, to conduct a collateral audit and analysis of their respective operations and the Collateral, to evaluate and make physical verifications and appraisals of the Inventory and other Collateral in any manner and through any medium that Agent considers advisable, to verify the amount and age of the Accounts, the identity and credit of the respective Account Debtors, to review the billing practices of Credit Parties and to discuss their respective affairs, finances and accounts with their respective officers, employees and independent public accountants as often as may reasonably be desired; provided that (1) neither the Agent nor any of its representatives shall be entitled to take copies, extracts, or photos of any information that contains trade secrets, is subject to legal privilege, in each case, as determined by the Borrowers acting reasonably and in good faith and (2) any inspection or audit rights in the Financing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04" w:name="page505"/>
    <w:bookmarkEnd w:id="504"/>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Documents shall be limited to the extent necessary to comply with Laws concerning the privacy of patient information, including Personal Information. In the absence of an Event of Default which is continuing, (i) such inspections and audits shall be conducted no more often than two (2) times every twelve (12) months, and (ii) Agent exercising any rights pursuant to this Section 4.6 shall give the applicable Credit Party or any applicable Subsidiary commercially reasonable prior notice of such exercise. No notice shall be required during the existence and continuance of any Event of Default.</w:t>
      </w:r>
    </w:p>
    <w:p>
      <w:pPr>
        <w:spacing w:after="0" w:line="167" w:lineRule="exact"/>
        <w:rPr>
          <w:sz w:val="20"/>
          <w:szCs w:val="20"/>
          <w:color w:val="auto"/>
        </w:rPr>
      </w:pPr>
    </w:p>
    <w:p>
      <w:pPr>
        <w:ind w:right="100" w:firstLine="436"/>
        <w:spacing w:after="0" w:line="268"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Borrowers shall use the proceeds of the Term Loan Tranche 1 borrowing solely for (a) payment of transaction fees incurred in connection with the Financing Documents, (b) the payment in full on the Closing Date of certain existing Debt and (c) for working capital needs of Borrowers and their Subsidiaries. Borrowers shall use the proceeds of any Term Loan Tranche 2 borrowing solely for (a) transaction fees incurred in connection with the Financing Documents, and (b) working capital needs of the Borrowers are their Subsidiaries. Borrowers shall use the proceeds of Revolving Loans solely for (a) transaction fees incurred in connection with the Financing Documents and the refinancing on the Closing Date of Debt, and (b) for working capital needs of Borrowers and their Subsidiaries. No portion of the proceeds of the Loans will be used for family, personal, agricultural or household use. No portion of the proceeds of the Loans will be used, whether directly or indirectly, and whether immediately, incidentally or ultimately, for purchasing or carrying Margin Stock or for any other purpose that entails a violation of, or that is inconsistent with, the provisions of the regulations of the Board of Governors of the Federal Reserve System, including Regulation T, U, or X of the Federal Reserve Board.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Notices of Material Contracts, Litigation and Defaults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8" w:lineRule="auto"/>
        <w:tabs>
          <w:tab w:leader="none" w:pos="1225"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Parties shall promptly (but in any event within five (5) Business Days) provide written notice to Agent after any Credit Party or Subsidiary receives or delivers any notice of termination or default or similar notice in connection with any Material Contract, and (ii) Credit Parties shall provide, together with the next quarterly Compliance Certificate required to be delivered under this Agreement, written notice to Agent after any Credit Party or Subsidiary (1) executes and delivers any material amendment, consent, waiver or other modification to any Material Contract or</w:t>
      </w:r>
    </w:p>
    <w:p>
      <w:pPr>
        <w:spacing w:after="0" w:line="1" w:lineRule="exact"/>
        <w:rPr>
          <w:rFonts w:ascii="Times New Roman" w:cs="Times New Roman" w:eastAsia="Times New Roman" w:hAnsi="Times New Roman"/>
          <w:sz w:val="17"/>
          <w:szCs w:val="17"/>
          <w:color w:val="auto"/>
        </w:rPr>
      </w:pPr>
    </w:p>
    <w:p>
      <w:pPr>
        <w:ind w:right="40" w:firstLine="7"/>
        <w:spacing w:after="0" w:line="250" w:lineRule="auto"/>
        <w:tabs>
          <w:tab w:leader="none" w:pos="25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enters into new Material Contract and shall, upon reasonable request of Agent promptly provide Agent a copy thereof, subject to applicable confidentiality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confidentiality provision was not created for purposes of avoiding disclosure hereunder, (ii) the Credit Parties will use commercially reasonable efforts to promptly obtain an exception to such confidentiality provisions to permit disclosure to Agent, and (iii) Credit Parties shall be entitled to withhold only such information and portions of the agreement that would result in a breach of any such confidentiality provisions.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20"/>
          </w:cols>
          <w:pgMar w:left="480" w:top="268" w:right="599" w:bottom="1440" w:gutter="0" w:footer="0" w:header="0"/>
        </w:sectPr>
      </w:pPr>
    </w:p>
    <w:bookmarkStart w:id="505" w:name="page506"/>
    <w:bookmarkEnd w:id="505"/>
    <w:p>
      <w:pPr>
        <w:ind w:right="40" w:firstLine="990"/>
        <w:spacing w:after="0" w:line="251" w:lineRule="auto"/>
        <w:tabs>
          <w:tab w:leader="none" w:pos="123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Credit Parties shall promptly (but in any event within five (5) Business Days) provide written notice to Agent (i) upon any Credit Party becoming aware of the existence of any Default or Event of Default, (ii) of any strikes or other labor disputes pending or, to any Credit Party’s knowledge, threatened against any Credit Party, in each case, that could reasonably be expected to have a Material Adverse Effect, (iii) if there is any infringement or claim of infringement by any other Person with respect to any Intellectual Property rights of any Credit Party that could reasonably be expected to have a Material Adverse Effect, or if there is any claim by any other Person that any Credit Party in the conduct of its business is infringing on the Intellectual Property rights of others that could reasonably be expected to have a Material Adverse Effect, (iv) of all returns, recoveries, disputes and claims that would reasonably be expected to result in liability of more than Five Hundred Thousand Dollars ($500,000) in the aggregate in any calendar year, and (v) any written notices of default given or received with respect to any Practice Entity Document or PC and, upon written request of the Agent, such additional material or documentation provided by or to the Credit Parties with respect to such default as may be reasonably requested. Credit Parties represent and warrant that Schedule 4.9 sets forth a complete list of all matters existing as of the Closing Date for which notice is required under this Section 4.9(b).</w:t>
      </w:r>
    </w:p>
    <w:p>
      <w:pPr>
        <w:spacing w:after="0" w:line="79" w:lineRule="exact"/>
        <w:rPr>
          <w:rFonts w:ascii="Times New Roman" w:cs="Times New Roman" w:eastAsia="Times New Roman" w:hAnsi="Times New Roman"/>
          <w:sz w:val="18"/>
          <w:szCs w:val="18"/>
          <w:color w:val="auto"/>
        </w:rPr>
      </w:pPr>
    </w:p>
    <w:p>
      <w:pPr>
        <w:ind w:right="180" w:firstLine="990"/>
        <w:spacing w:after="0" w:line="254" w:lineRule="auto"/>
        <w:tabs>
          <w:tab w:leader="none" w:pos="122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shall provide such further information (including copies of such documentation) as Agent or any Lender shall reasonably request with respect to any of the events or notices described in clauses (a) and (b) above and any notice given in respect of a Regulatory Reporting Event. From the date hereof and continuing through the termination of this Agreement, each Credit Party shall use commercially reasonable efforts to make available to Agent and each Lender, without expense to Agent or any Lender, each Credit Party’s officers, employees and agents and books, to the extent that Agent or any Lender may deem them reasonably necessary to prosecute or defend any third-party suit or proceeding instituted by or against Agent or any Lender with respect to any Collateral or relating to a Credit Party.</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Hazardous Materials; Remediation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340" w:firstLine="990"/>
        <w:spacing w:after="0" w:line="255" w:lineRule="auto"/>
        <w:tabs>
          <w:tab w:leader="none" w:pos="122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release or disposal of Hazardous Materials (a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occur or shall have occurred on any real property or any other assets of any Credit Party, such Credit Party will cause, or direct the applicable Credit Party to cause, the prompt containment and removal of such Hazardous Materials and the remediation of such real property or other assets as is necessary to comply with all Environmental Laws in all material respects. Without limiting the generality of the foregoing, each Credit Party shall, and shall cause each other Credit Party to, comply in all material respects with each Environmental Law requiring the performance at any real property by any Credit Party of activities in response to the release or threatened release of a Hazardous Material.</w:t>
      </w:r>
    </w:p>
    <w:p>
      <w:pPr>
        <w:spacing w:after="0" w:line="75" w:lineRule="exact"/>
        <w:rPr>
          <w:rFonts w:ascii="Times New Roman" w:cs="Times New Roman" w:eastAsia="Times New Roman" w:hAnsi="Times New Roman"/>
          <w:sz w:val="18"/>
          <w:szCs w:val="18"/>
          <w:color w:val="auto"/>
        </w:rPr>
      </w:pPr>
    </w:p>
    <w:p>
      <w:pPr>
        <w:ind w:right="120" w:firstLine="990"/>
        <w:spacing w:after="0" w:line="254" w:lineRule="auto"/>
        <w:tabs>
          <w:tab w:leader="none" w:pos="123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 Release, Credit Parties will provide Agent within thirty (30) days after written demand therefor with a bond, letter of credit or similar financial assurance evidencing to the reasonable satisfaction of Agent that sufficient funds are available to pay the cost of removing, treating and disposing of any Hazardous Materials or Hazardous Materials Contamination in connection with such Release as required by Environmental Law and discharging any assessment which may be established on any property as a result thereof, such demand to be made, if at all, upon Agent’s reasonable business determination that the failure to remove, treat or dispose of any such Hazardous Materials or Hazardous Materials Contamination, or the failure to discharge any such assessment could reasonably be expected to have a Material Adverse Effect.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Further Assurances; Joinder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3" w:lineRule="auto"/>
        <w:tabs>
          <w:tab w:leader="none" w:pos="122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(other than in respect of Excluded Perfection Assets and subject only to Permitted Liens) in favor of Agent for itself and for the benefit of the Lenders on the Collateral (including Collateral acquired after the date hereof), and (ii) unless Agent shall agree otherwise in writing, cause all Subsidiaries of Credit Parties (other than Restricted Foreign Subsidiaries) to become Borrowers or Guarantors, as applicable in accordance with Section 4.11(d).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06" w:name="page507"/>
    <w:bookmarkEnd w:id="506"/>
    <w:p>
      <w:pPr>
        <w:jc w:val="both"/>
        <w:ind w:firstLine="990"/>
        <w:spacing w:after="0" w:line="277" w:lineRule="auto"/>
        <w:tabs>
          <w:tab w:leader="none" w:pos="1235"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Borrowers will issue, in lieu thereof, a replacement Note or other applicable Financing Document, dated the date of such lost, stolen, destroyed or mutilated Note or other Financing Document in the same principal amount thereof and otherwise of like tenor.</w:t>
      </w:r>
    </w:p>
    <w:p>
      <w:pPr>
        <w:spacing w:after="0" w:line="60" w:lineRule="exact"/>
        <w:rPr>
          <w:rFonts w:ascii="Times New Roman" w:cs="Times New Roman" w:eastAsia="Times New Roman" w:hAnsi="Times New Roman"/>
          <w:sz w:val="17"/>
          <w:szCs w:val="17"/>
          <w:color w:val="auto"/>
        </w:rPr>
      </w:pPr>
    </w:p>
    <w:p>
      <w:pPr>
        <w:ind w:left="1240" w:hanging="250"/>
        <w:spacing w:after="0"/>
        <w:tabs>
          <w:tab w:leader="none" w:pos="12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firstLine="990"/>
        <w:spacing w:after="0" w:line="264" w:lineRule="auto"/>
        <w:tabs>
          <w:tab w:leader="none" w:pos="1235"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Parties shall provide Agent with at least ten (10) Business Days’ (or such shorter period as Agent may accept in its reasonable discretion) prior written notice of its intention to create (or to the extent permitted under this Agreement, acquire) a new Subsidiary. Upon the formation (or to the extent permitted under this Agreement, acquisition) of a new Subsidiary, Credit Parties shall (concurrently with the acquisition or creation of such Subsidiary (as applicable)): (i) pledge, have pledged or cause or have caused to be pledged to Agent pursuant to a pledge agreement in form and substance satisfactory to Agent, all of the outstanding Equity Interests of such new Subsidiary owned directly by any Credit Party (except to the extent constituting Excluded Property), and deliver to the Agent any certificates representing such Equity Interests, together with undated stock or equivalent powers for such certificates, executed in blank; (ii) unless Agent shall agree otherwise in writing, cause the new Subsidiary (other than Restricted Foreign Subsidiaries) to take such other actions (including entering into or joining any Security Documents) as are necessary or advisable in the reasonable opinion of Agent in order to grant Agent, acting on behalf of the Lenders, a first priority Lien (subject to Permitted Liens) on all Collateral (in the case of the perfection of the Liens granted subject to the Excluded Perfection Assets) of such Subsidiary in existence as of such date and in all after acquired Collateral (in each case, other than Excluded Property), which first priority Liens are required to be granted pursuant to this Agreement;</w:t>
      </w:r>
    </w:p>
    <w:p>
      <w:pPr>
        <w:spacing w:after="0" w:line="7" w:lineRule="exact"/>
        <w:rPr>
          <w:rFonts w:ascii="Times New Roman" w:cs="Times New Roman" w:eastAsia="Times New Roman" w:hAnsi="Times New Roman"/>
          <w:sz w:val="17"/>
          <w:szCs w:val="17"/>
          <w:color w:val="auto"/>
        </w:rPr>
      </w:pPr>
    </w:p>
    <w:p>
      <w:pPr>
        <w:ind w:right="60" w:firstLine="7"/>
        <w:spacing w:after="0" w:line="249" w:lineRule="auto"/>
        <w:tabs>
          <w:tab w:leader="none" w:pos="31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Agent shall agree otherwise in writing, cause such new Subsidiary (other than Restricted Foreign Subsidiaries) to either (at the election of Agent) become a Borrower hereunder with joint and several liability for all obligations of Borrowers hereunder and under the other Financing Documents pursuant to a joinder agreement or other guaranty agreement in form and substance reasonably satisfactory to Agent or to become a Guarantor of the obligations of Borrowers hereunder and under the other Financing Documents pursuant to a joinder agreement or other similar agreement in form and substance reasonably satisfactory to Agent; and (iv) cause the new Subsidiary (other than Restricted Foreign Subsidiaries) to deliver certified copies of such Subsidiary’s certificate or articles of incorporation, together with good standing certificates, by-laws (or other operating agreement or governing documents), resolutions of the Board of Directors or other governing body of such Subsidiary, approving and authorizing the execution and delivery of the applicable Security Documents, incumbency certificates and to execute and/or deliver such other documents and customary legal opinions or to take such other actions as may be requested by Agent in its reasonable discretion, in each case, in form and substance reasonably satisfactory to Agent (the requirements set forth in clauses (i)-(iv), collectively, the “</w:t>
      </w:r>
      <w:r>
        <w:rPr>
          <w:rFonts w:ascii="Times New Roman" w:cs="Times New Roman" w:eastAsia="Times New Roman" w:hAnsi="Times New Roman"/>
          <w:sz w:val="18"/>
          <w:szCs w:val="18"/>
          <w:b w:val="1"/>
          <w:bCs w:val="1"/>
          <w:color w:val="auto"/>
        </w:rPr>
        <w:t>Joinder Requirements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990"/>
        <w:spacing w:after="0" w:line="252" w:lineRule="auto"/>
        <w:tabs>
          <w:tab w:leader="none" w:pos="122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end of any Defined Period, Consolidated GAAP Revenue attributable solely to Restricted Foreign Subsidiaries for such Defined Period is greater than five percent (5%) of the aggregate Consolidated GAAP Revenue for such Defined Period, then Borrowers shall promptly (and in any event with thirty (30) days (or such longer period as Agent may agree in writing in its discretion) of the date on which the Compliance Certificate was delivered in respect of such Defined Period pursuant to Section 4.1(i)) cause certain Restricted Foreign Subsidiaries designated by Agent, in its Permitted Discretion and in consultation with Borrower Representative, to become Guarantors in accordance with the Joinder Requirements (as though such designated Subsidiaries were new Subsidiaries and no longer Restricted Foreign Subsidiaries) pursuant to documentation (including any foreign law governed documentation as may be necessary or reasonably desirable) such that, following such joinder, the Consolidated GAAP Revenue attributable solely to the Restricted Foreign Subsidiaries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40"/>
          </w:cols>
          <w:pgMar w:left="480" w:top="267" w:right="579" w:bottom="1440" w:gutter="0" w:footer="0" w:header="0"/>
        </w:sectPr>
      </w:pPr>
    </w:p>
    <w:bookmarkStart w:id="507" w:name="page508"/>
    <w:bookmarkEnd w:id="507"/>
    <w:p>
      <w:pPr>
        <w:ind w:right="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for such Defined Period is less than or equal to five percent (5%) of the aggregate Consolidated GAAP Revenue for such Defined Period. Following any such joinder, such designated Foreign Subsidiaries shall no longer be Restricted Foreign Subsidiary and shall be Credit Parties for all purposes hereunder and under the other Financing Documents and shall not be re-designated as Restricted Foreign Subsidiaries.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Power of Attorney</w:t>
      </w:r>
      <w:r>
        <w:rPr>
          <w:rFonts w:ascii="Times New Roman" w:cs="Times New Roman" w:eastAsia="Times New Roman" w:hAnsi="Times New Roman"/>
          <w:sz w:val="17"/>
          <w:szCs w:val="17"/>
          <w:color w:val="auto"/>
        </w:rPr>
        <w:t>. Agent is hereby irrevocably made, constituted and appointed the true and lawful attorney for Credit Parties (without requiring Agent to act as such) with full power of substitution, exercisable only upon the occurrence and during the continuance of an Event of Default, to do the following: (a) endorse the name of Credit Parties upon any and all checks, drafts, money orders, and other instruments for the payment of money that are payable to Credit Parties and constitute collections on Credit Parties’ Accounts; (b) so long as Agent has provided not less than three</w:t>
      </w:r>
    </w:p>
    <w:p>
      <w:pPr>
        <w:spacing w:after="0" w:line="2" w:lineRule="exact"/>
        <w:rPr>
          <w:sz w:val="20"/>
          <w:szCs w:val="20"/>
          <w:color w:val="auto"/>
        </w:rPr>
      </w:pPr>
    </w:p>
    <w:p>
      <w:pPr>
        <w:ind w:right="60" w:firstLine="7"/>
        <w:spacing w:after="0" w:line="248" w:lineRule="auto"/>
        <w:tabs>
          <w:tab w:leader="none" w:pos="25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written notice to any Credit Party to perform the same and such Credit Party has failed to take such action, execute in the name of Credit Parties any schedules, assignments, instruments, documents, and statements that Credit Parties are obligated to give Agent under this Agreement; (c) take any action Credit Parties are required to take under this Agreement; (d) so long as Agent has provided not less than three</w:t>
      </w:r>
    </w:p>
    <w:p>
      <w:pPr>
        <w:ind w:right="140" w:firstLine="7"/>
        <w:spacing w:after="0" w:line="250" w:lineRule="auto"/>
        <w:tabs>
          <w:tab w:leader="none" w:pos="25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written notice to any Credit Party to perform the same and such Credit Party has failed to take such action, do such other and further acts and deeds in the name of Credit Parties that Agent may deem necessary or desirable to enforce any Account or other Collateral or perfect Agent’s security interest or Lien in any Collateral; and (e) do such other and further acts and deeds in the name of Credit Parties that Agent may deem necessary or desirable to enforce its rights with regard to any Account or other Collateral. This power of attorney shall be irrevocable and coupled with an interest.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Borrowing Base Collateral Administration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180" w:firstLine="990"/>
        <w:spacing w:after="0" w:line="263" w:lineRule="auto"/>
        <w:tabs>
          <w:tab w:leader="none" w:pos="122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it being understood that a copy in digital form is acceptable, of all data and other information relating to Accounts shall at all times be kept by Credit Parties at their respective principal offices and shall not fail to be available at such principal offices without obtaining the prior written consent of Agent, which consent shall not be unreasonably withheld, conditioned or delayed.</w:t>
      </w:r>
    </w:p>
    <w:p>
      <w:pPr>
        <w:spacing w:after="0" w:line="68" w:lineRule="exact"/>
        <w:rPr>
          <w:rFonts w:ascii="Times New Roman" w:cs="Times New Roman" w:eastAsia="Times New Roman" w:hAnsi="Times New Roman"/>
          <w:sz w:val="18"/>
          <w:szCs w:val="18"/>
          <w:color w:val="auto"/>
        </w:rPr>
      </w:pPr>
    </w:p>
    <w:p>
      <w:pPr>
        <w:ind w:right="60" w:firstLine="990"/>
        <w:spacing w:after="0" w:line="253" w:lineRule="auto"/>
        <w:tabs>
          <w:tab w:leader="none" w:pos="123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provide prompt written notice to each Person who either is currently an Account Debtor or becomes an Account Debtor, in each case with respect to Accounts that comprise the Borrowing Base, at any time following the date of this Agreement that directs such Account Debtor, to make payments into the Lockbox or a Lockbox Account, and hereby authorizes Agent, upon Borrowers’ failure to send such notices within ten (10) Business Days after the date of this Agreement (or ten (10) Business Days after the Person becomes such an Account Debtor), to send any and all similar notices to such Person; provided, that, the Borrowers shall not be required to notify any Account Debtor pursuant to this clause (b) to the extent that such Account Debtor is already remitting payment to the Lockbox or a Lockbox Account. Upon the occurrence of an Event of Default that is continuing. Agent reserves the right to notify such Account Debtors that Agent has been granted a Lien upon all Accounts.</w:t>
      </w:r>
    </w:p>
    <w:p>
      <w:pPr>
        <w:spacing w:after="0" w:line="77" w:lineRule="exact"/>
        <w:rPr>
          <w:rFonts w:ascii="Times New Roman" w:cs="Times New Roman" w:eastAsia="Times New Roman" w:hAnsi="Times New Roman"/>
          <w:sz w:val="18"/>
          <w:szCs w:val="18"/>
          <w:color w:val="auto"/>
        </w:rPr>
      </w:pPr>
    </w:p>
    <w:p>
      <w:pPr>
        <w:ind w:right="140" w:firstLine="990"/>
        <w:spacing w:after="0" w:line="254" w:lineRule="auto"/>
        <w:tabs>
          <w:tab w:leader="none" w:pos="122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will conduct a physical count of the Inventory at least once per year and at such other times as Agent reasonably requests, and Borrowers shall provide to Agent a written accounting of such physical count in form reasonably satisfactory to Agent. Each Borrower will use commercially reasonable efforts to at all times keep its Inventory in good and marketable condition. In addition to the foregoing, from time to time, Agent may require Borrowers to obtain and deliver to Agent appraisal reports in form and from appraisers reasonably satisfactory to Agent stating the then current fair market values of all or any portion of Inventory owned by each Borrower or any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Event of Default has occurred and is continuing, such appraisal of Inventory shall be conducted not more often than once a year.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08" w:name="page509"/>
    <w:bookmarkEnd w:id="508"/>
    <w:p>
      <w:pPr>
        <w:ind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4.15 </w:t>
      </w:r>
      <w:r>
        <w:rPr>
          <w:rFonts w:ascii="Times New Roman" w:cs="Times New Roman" w:eastAsia="Times New Roman" w:hAnsi="Times New Roman"/>
          <w:sz w:val="18"/>
          <w:szCs w:val="18"/>
          <w:u w:val="single" w:color="auto"/>
          <w:color w:val="auto"/>
        </w:rPr>
        <w:t>Schedule Updates</w:t>
      </w:r>
      <w:r>
        <w:rPr>
          <w:rFonts w:ascii="Times New Roman" w:cs="Times New Roman" w:eastAsia="Times New Roman" w:hAnsi="Times New Roman"/>
          <w:sz w:val="18"/>
          <w:szCs w:val="18"/>
          <w:color w:val="auto"/>
        </w:rPr>
        <w:t>. Borrower shall, in the event of any information in the Schedule 3.19, Schedule 5.14, Schedule 9.2(b) or Schedule 9.2(d) becoming outdated, inaccurate, incomplete or misleading, deliver to Agent, together with the next quarterly Compliance Certificate required to be delivered under this Agreement after such event a proposed update to such Schedule correcting all outdated, inaccurate, incomplete or misleading information.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Intellectual Property and Licensing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51" w:lineRule="auto"/>
        <w:tabs>
          <w:tab w:leader="none" w:pos="122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Together with each Compliance Certificate required to be delivered pursuant to Section 4.1(i) with respect to the last month of a fiscal quarter to the extent (i) any Credit Party acquires and/or develops any new Registered Intellectual Property, (ii) any Credit Party enters into or becomes bound by any additional material in-bound license or sublicense agreement, any additional exclusive out-bound license or sublicense agreement or other material agreement with respect to rights in Intellectual Property (other than over-the-counter software, software that is commercially available to the public and open source licenses), or (iii) there occurs any other material change in any Credit Party’s or Subsidiary’s Registered Intellectual Property, material in-bound licenses or sublicenses or exclusive out-bound licenses or sublicenses from that listed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together with such Compliance Certificate, deliver to Agent an updated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reflecting such updated information. With respect to any updates to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involving exclusive out-bound licenses or sublicenses, such licenses shall be consistent with the definitions of and limitations herein pertaining to Permitted Licenses.</w:t>
      </w:r>
    </w:p>
    <w:p>
      <w:pPr>
        <w:spacing w:after="0" w:line="84" w:lineRule="exact"/>
        <w:rPr>
          <w:rFonts w:ascii="Times New Roman" w:cs="Times New Roman" w:eastAsia="Times New Roman" w:hAnsi="Times New Roman"/>
          <w:sz w:val="18"/>
          <w:szCs w:val="18"/>
          <w:color w:val="auto"/>
        </w:rPr>
      </w:pPr>
    </w:p>
    <w:p>
      <w:pPr>
        <w:ind w:firstLine="990"/>
        <w:spacing w:after="0" w:line="274" w:lineRule="auto"/>
        <w:tabs>
          <w:tab w:leader="none" w:pos="1235"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Credit Parties obtain any Registered Intellectual Property (other than any foreign registered Intellectual Property constituting Excluded Perfection Assets), Credit Parties shall (by updating Schedule 3.19 concurrently with the next quarterly Compliance Certificate) notify Agent and promptly execute such documents and provide such other information (including, without limitation, copies of applications) and take such other actions as Agent shall reasonably request in its good faith business judgment to perfect and maintain a first priority perfected security interest (subject to Permitted Liens) in favor of Agent, for the ratable benefit of Lenders, in such Registered Intellectual Property (other than Excluded Property).</w:t>
      </w:r>
    </w:p>
    <w:p>
      <w:pPr>
        <w:spacing w:after="0" w:line="61" w:lineRule="exact"/>
        <w:rPr>
          <w:rFonts w:ascii="Times New Roman" w:cs="Times New Roman" w:eastAsia="Times New Roman" w:hAnsi="Times New Roman"/>
          <w:sz w:val="17"/>
          <w:szCs w:val="17"/>
          <w:color w:val="auto"/>
        </w:rPr>
      </w:pPr>
    </w:p>
    <w:p>
      <w:pPr>
        <w:ind w:left="1240" w:hanging="250"/>
        <w:spacing w:after="0"/>
        <w:tabs>
          <w:tab w:leader="none" w:pos="12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firstLine="990"/>
        <w:spacing w:after="0" w:line="250" w:lineRule="auto"/>
        <w:tabs>
          <w:tab w:leader="none" w:pos="12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shall own, or be licensed to use or otherwise have the right to use, all Material Intangible Assets, subject to Permitted Liens. Credit Parties shall cause all Registered Intellectual Property to be duly and properly registered, filed or issued in the appropriate office and jurisdictions for such registrations, filings or issuances, except where the failure to do so would not reasonably be expected to result in a Material Adverse Effect. Credit Parties and their Subsidiaries shall at all times conduct its business without material infringement or material claim of infringement of any valid Intellectual Property rights of others. Credit Parties shall (i) protect, defend and maintain the validity and enforceability of its Material Intangible Assets (ii) promptly advise Agent in writing of material infringements of its Material Intangible Assets, or of a material claim of infringement by Credit Parties on the Intellectual Property rights of others, in each case where such infringement would reasonably be expected to have a Material Adverse Effect; and (iii) not allow any of Credit Parties’ Material Intangible Assets to be abandoned, invalidated, forfeited or dedicated to the public or to become unenforceable. Credit Parties shall not become a party to, nor become bound by, any material license or other agreement with respect to which any Credit Party is the licensor or licensee (other than in-bound licenses of over-the-counter software and other software that is commercially available to the public and open source licenses) that prohibits or otherwise restricts Credit Party from granting a security interest in Credit Party’s interest in such license or agreement or other property, other than pursuant to customary anti-assignment provisions that were not entered into in order to make such license or agreement Excluded Property.</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509" w:name="page510"/>
    <w:bookmarkEnd w:id="5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4.17 </w:t>
      </w:r>
      <w:r>
        <w:rPr>
          <w:rFonts w:ascii="Times New Roman" w:cs="Times New Roman" w:eastAsia="Times New Roman" w:hAnsi="Times New Roman"/>
          <w:sz w:val="18"/>
          <w:szCs w:val="18"/>
          <w:u w:val="single" w:color="auto"/>
          <w:color w:val="auto"/>
        </w:rPr>
        <w:t>Regulatory Covenants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2" w:lineRule="auto"/>
        <w:tabs>
          <w:tab w:leader="none" w:pos="122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a Material Adverse Effect, Credit Parties shall have, and shall require each PC to have, each necessary Permit and other material rights from, and have made all necessary declarations and filings with, all applicable Governmental Authorities necessary to engage in all material respects in the ownership, management and operation of the business or the assets of any Credit Party and PC and Credit Parties shall take, and require each PC to take, such reasonable actions to ensure that no Governmental Authority has taken action to limit, suspend or revoke any such Permit. Credit Parties shall ensure, and require each PC to ensure, that all such necessary Permits are valid and in full force and effect and Credit Parties and PCs are in material compliance with the terms and conditions of all Permits, except where failure to do so would not reasonably be expected to have a Material Adverse Effect. Borrowers shall comply, and shall require the PCs to comply, with all Healthcare Laws and HIPAA and Other Privacy Laws, except where failure to do so would not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20" w:firstLine="990"/>
        <w:spacing w:after="0" w:line="258" w:lineRule="auto"/>
        <w:tabs>
          <w:tab w:leader="none" w:pos="123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would not reasonably be expected to result in a Material Adverse Effect, Credit Parties will, and will require each PC to, timely file or caused to be timely filed (after giving effect to any extension duly obtained), all material notifications, reports, submissions, material Permit renewals and reports required by applicable Healthcare Laws (which reports will be materially accurate and complete in all material respects and not misleading in any material respect and shall not remain open or unsettled).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Practice Entity Documents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60" w:firstLine="990"/>
        <w:spacing w:after="0" w:line="274" w:lineRule="auto"/>
        <w:tabs>
          <w:tab w:leader="none" w:pos="1225"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Credit Parties and each of their Subsidiaries shall comply with all of their obligations under each Practice Entity Document and shall promptly enforce and diligently pursue all of their material rights and remedies under each Practice Entity Document in compliance with applicable Healthcare Laws, except where failure to do so would not reasonably be expected to result in a Material Adverse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following the occurrence and during the continuance of an Event of Default, Credit Parties shall and shall require each of their Subsidiaries to promptly pursue all of their material rights and remedies under Practice Entity Documents, as directed by Agent, subject to compliance with applicable Law.</w:t>
      </w:r>
    </w:p>
    <w:p>
      <w:pPr>
        <w:spacing w:after="0" w:line="61" w:lineRule="exact"/>
        <w:rPr>
          <w:rFonts w:ascii="Times New Roman" w:cs="Times New Roman" w:eastAsia="Times New Roman" w:hAnsi="Times New Roman"/>
          <w:sz w:val="17"/>
          <w:szCs w:val="17"/>
          <w:color w:val="auto"/>
        </w:rPr>
      </w:pPr>
    </w:p>
    <w:p>
      <w:pPr>
        <w:ind w:right="140" w:firstLine="990"/>
        <w:spacing w:after="0" w:line="263" w:lineRule="auto"/>
        <w:tabs>
          <w:tab w:leader="none" w:pos="123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time of delivery of the monthly financial statements provided for in Section 4.1(a), Credit Parties shall provide to the Agent a copy of any material amendment or other modification to the terms or provisions of any Practice Entity Document entered into during such period covered by the financial statements to the extent not previously delivered to the Agent.</w:t>
      </w:r>
    </w:p>
    <w:p>
      <w:pPr>
        <w:spacing w:after="0" w:line="68" w:lineRule="exact"/>
        <w:rPr>
          <w:rFonts w:ascii="Times New Roman" w:cs="Times New Roman" w:eastAsia="Times New Roman" w:hAnsi="Times New Roman"/>
          <w:sz w:val="18"/>
          <w:szCs w:val="18"/>
          <w:color w:val="auto"/>
        </w:rPr>
      </w:pPr>
    </w:p>
    <w:p>
      <w:pPr>
        <w:ind w:right="40" w:firstLine="990"/>
        <w:spacing w:after="0" w:line="258" w:lineRule="auto"/>
        <w:tabs>
          <w:tab w:leader="none" w:pos="122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will, or will permit any Subsidiary to, directly or indirectly, amend or otherwise modify any Practice Entity Document, which amendment or modification in any case: (i) has the effect of terminating or diminishing in any material respect any Credit Party’s lien in respect of assets of the PC, except, in each case, to the extent necessary to comply with applicable Law; or (ii) could reasonably expected to result in a Material Adverse Effect.</w:t>
      </w:r>
    </w:p>
    <w:p>
      <w:pPr>
        <w:spacing w:after="0" w:line="72" w:lineRule="exact"/>
        <w:rPr>
          <w:rFonts w:ascii="Times New Roman" w:cs="Times New Roman" w:eastAsia="Times New Roman" w:hAnsi="Times New Roman"/>
          <w:sz w:val="18"/>
          <w:szCs w:val="18"/>
          <w:color w:val="auto"/>
        </w:rPr>
      </w:pPr>
    </w:p>
    <w:p>
      <w:pPr>
        <w:ind w:right="280" w:firstLine="990"/>
        <w:spacing w:after="0" w:line="263" w:lineRule="auto"/>
        <w:tabs>
          <w:tab w:leader="none" w:pos="123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entering into any PC Loan Agreement, PC Management Agreement or other Practice Entity Document pursuant to which any Lien is granted in favor of a Credit Party, the Credit Parties shall ensure that such PC Loan Agreement, PC Management Agreement or other such Practice Entity Document is subject to a Collateral Assignment Agreement in favor of Agent.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10" w:name="page511"/>
    <w:bookmarkEnd w:id="5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5 - NEGATIVE 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Credit Party agrees that: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Debt; Contingent Obligations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40" w:firstLine="990"/>
        <w:spacing w:after="0" w:line="278" w:lineRule="auto"/>
        <w:tabs>
          <w:tab w:leader="none" w:pos="122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will, or will permit any Subsidiary to, directly or indirectly, create, incur, assume, guarantee or otherwise become or remain directly or indirectly liable with respect to, any Debt, except for Permitted Debt.</w:t>
      </w:r>
    </w:p>
    <w:p>
      <w:pPr>
        <w:spacing w:after="0" w:line="55" w:lineRule="exact"/>
        <w:rPr>
          <w:rFonts w:ascii="Times New Roman" w:cs="Times New Roman" w:eastAsia="Times New Roman" w:hAnsi="Times New Roman"/>
          <w:sz w:val="18"/>
          <w:szCs w:val="18"/>
          <w:color w:val="auto"/>
        </w:rPr>
      </w:pPr>
    </w:p>
    <w:p>
      <w:pPr>
        <w:ind w:right="360" w:firstLine="990"/>
        <w:spacing w:after="0" w:line="278" w:lineRule="auto"/>
        <w:tabs>
          <w:tab w:leader="none" w:pos="123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will, or will permit any Subsidiary to, directly or indirectly, create, assume, incur or suffer to exist any Contingent Obligations, except for Permitted Contingent Obligations.</w:t>
      </w:r>
    </w:p>
    <w:p>
      <w:pPr>
        <w:spacing w:after="0" w:line="55" w:lineRule="exact"/>
        <w:rPr>
          <w:rFonts w:ascii="Times New Roman" w:cs="Times New Roman" w:eastAsia="Times New Roman" w:hAnsi="Times New Roman"/>
          <w:sz w:val="18"/>
          <w:szCs w:val="18"/>
          <w:color w:val="auto"/>
        </w:rPr>
      </w:pPr>
    </w:p>
    <w:p>
      <w:pPr>
        <w:ind w:right="140" w:firstLine="990"/>
        <w:spacing w:after="0" w:line="263" w:lineRule="auto"/>
        <w:tabs>
          <w:tab w:leader="none" w:pos="122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will, or will permit any Subsidiary to, directly or indirectly, purchase, redeem, defease or prepay any principal of, premium, if any, interest or other amount payable in respect of any Debt that is, by its terms, subordinated to the Obligations prior to its scheduled date for payment (except Subordinated Debt solely to the extent permitted by Section 5.5).</w:t>
      </w:r>
    </w:p>
    <w:p>
      <w:pPr>
        <w:spacing w:after="0" w:line="175"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Credit Party will, or will permit any Subsidiary to, directly or indirectly, create, assume or suffer to exist any Lien on any asset now existing or hereafter acquired by it, except for Permitted Liens.</w:t>
      </w:r>
    </w:p>
    <w:p>
      <w:pPr>
        <w:spacing w:after="0" w:line="162"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No Credit Party will, or will permit any Subsidiary to, directly or indirectly, declare, order, pay, make or set apart any sum for any Distribution, except for Permitted Distributions.</w:t>
      </w:r>
    </w:p>
    <w:p>
      <w:pPr>
        <w:spacing w:after="0" w:line="162" w:lineRule="exact"/>
        <w:rPr>
          <w:sz w:val="20"/>
          <w:szCs w:val="20"/>
          <w:color w:val="auto"/>
        </w:rPr>
      </w:pPr>
    </w:p>
    <w:p>
      <w:pPr>
        <w:ind w:firstLine="436"/>
        <w:spacing w:after="0" w:line="266"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Restrictive Agreements</w:t>
      </w:r>
      <w:r>
        <w:rPr>
          <w:rFonts w:ascii="Times New Roman" w:cs="Times New Roman" w:eastAsia="Times New Roman" w:hAnsi="Times New Roman"/>
          <w:sz w:val="17"/>
          <w:szCs w:val="17"/>
          <w:color w:val="auto"/>
        </w:rPr>
        <w:t>. No Credit Party will, or will permit any Subsidiary to, directly or indirectly (a) enter into or assume any agreement (other than the Financing Documents and any agreements for purchase money debt and Capital Leases permitted under clause (c) of the definition of Permitted Debt) prohibiting the creation or assumption of any Lien upon its properties or assets, whether now existing or hereafter acquired, or (b) create or otherwise cause or suffer to exist or become effective any consensual encumbrance or restriction of any kind (except as provided by the Financing Documents) on the ability of any Subsidiary to: (i) pay or make Distributions to any Credit Party or any Subsidiary; (ii) pay any Debt owed to any Credit Party or any Subsidiary; (iii) make loans or advances to any Credit Party or any Subsidiary; or (iv) transfer any of its property or assets to any Credit Party or any Subsidiary in each case under this Section 5.4 other than (1) customary restrictions and conditions contained in agreements relating to the sale of assets of any Subsidiary pending such sale, provided that such restrictions and conditions apply only to the Subsidiary to be sold and such sale is permitted hereunder, (2) restrictions or conditions imposed by any agreement relating to purchase money Debt, Capital Leases and other secured Debt permitted by this Agreement if such restrictions or conditions apply only to the property or assets securing such Debt, (3) customary anti-assignment provisions contained in leases, licenses, contracts and other agreements to the extent not otherwise prohibited under the terms of this Agreement and to the extent not entered into in order to make such leases, licenses, contracts and other agreements Excluded Property for purposes of this Agreement, and (4) restrictions existing on the Closing Date and expressly set forth on Schedule 5.4 on the Closing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511" w:name="page512"/>
    <w:bookmarkEnd w:id="5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5.5 </w:t>
      </w:r>
      <w:r>
        <w:rPr>
          <w:rFonts w:ascii="Times New Roman" w:cs="Times New Roman" w:eastAsia="Times New Roman" w:hAnsi="Times New Roman"/>
          <w:sz w:val="18"/>
          <w:szCs w:val="18"/>
          <w:u w:val="single" w:color="auto"/>
          <w:color w:val="auto"/>
        </w:rPr>
        <w:t>Payments and Modifications of Subordinated Debt</w:t>
      </w:r>
      <w:r>
        <w:rPr>
          <w:rFonts w:ascii="Times New Roman" w:cs="Times New Roman" w:eastAsia="Times New Roman" w:hAnsi="Times New Roman"/>
          <w:sz w:val="18"/>
          <w:szCs w:val="18"/>
          <w:color w:val="auto"/>
        </w:rPr>
        <w:t>. No Credit Party will, or will permit any Subsidiary to, directly or indirectly</w:t>
      </w:r>
    </w:p>
    <w:p>
      <w:pPr>
        <w:spacing w:after="0" w:line="26" w:lineRule="exact"/>
        <w:rPr>
          <w:sz w:val="20"/>
          <w:szCs w:val="20"/>
          <w:color w:val="auto"/>
        </w:rPr>
      </w:pPr>
    </w:p>
    <w:p>
      <w:pPr>
        <w:ind w:right="60" w:firstLine="7"/>
        <w:spacing w:after="0" w:line="252" w:lineRule="auto"/>
        <w:tabs>
          <w:tab w:leader="none" w:pos="24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pay, make or set aside any amount for payment in respect of Subordinated Debt, except for payments made in full compliance with and expressly permitted under the Subordination Agreement, (b) amend or otherwise modify the terms of any Subordinated Debt, except for amendments or modifications made in full compliance with the Subordination Agreement.</w:t>
      </w:r>
    </w:p>
    <w:p>
      <w:pPr>
        <w:spacing w:after="0" w:line="185" w:lineRule="exact"/>
        <w:rPr>
          <w:sz w:val="20"/>
          <w:szCs w:val="20"/>
          <w:color w:val="auto"/>
        </w:rPr>
      </w:pPr>
    </w:p>
    <w:p>
      <w:pPr>
        <w:ind w:right="30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Consolidations, Mergers and Sales of Assets; Change in Control</w:t>
      </w:r>
      <w:r>
        <w:rPr>
          <w:rFonts w:ascii="Times New Roman" w:cs="Times New Roman" w:eastAsia="Times New Roman" w:hAnsi="Times New Roman"/>
          <w:sz w:val="18"/>
          <w:szCs w:val="18"/>
          <w:color w:val="auto"/>
        </w:rPr>
        <w:t>. No Credit Party will, or will permit any Subsidiary to, directly or indirectly:</w:t>
      </w:r>
    </w:p>
    <w:p>
      <w:pPr>
        <w:spacing w:after="0" w:line="55" w:lineRule="exact"/>
        <w:rPr>
          <w:sz w:val="20"/>
          <w:szCs w:val="20"/>
          <w:color w:val="auto"/>
        </w:rPr>
      </w:pPr>
    </w:p>
    <w:p>
      <w:pPr>
        <w:ind w:right="20" w:firstLine="990"/>
        <w:spacing w:after="0" w:line="253" w:lineRule="auto"/>
        <w:tabs>
          <w:tab w:leader="none" w:pos="122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or amalgamate with or into any other Person other than (i) consolidations or mergers among Borrowers so long as in any consolidation or merger involving Parent, Parent is the surviving entity, (ii) consolidations or mergers among Borrowers, so long as if Parent is a party to such merger or consolidation, Parent is the surviving entity, (iii) consolidations or mergers among a Guarantor and a Borrower so long as the Borrower is the surviving entity, (iv) consolidations or mergers among Guarantors, (v) consolidations or mergers among Subsidiaries, so long as if a Credit Party is party to such merger or consolidation, the Credit Party is the surviving entity, and (vi) so long as no Event of Default has occurred and is continuing (except with respect to Omada Health UK Ltd.), dissolutions or liquidations of Non-Credit Party Subsidiaries so long as any assets of such dissolved or liquidated Person are transferred to a Credit Party; or</w:t>
      </w:r>
    </w:p>
    <w:p>
      <w:pPr>
        <w:spacing w:after="0" w:line="77" w:lineRule="exact"/>
        <w:rPr>
          <w:rFonts w:ascii="Times New Roman" w:cs="Times New Roman" w:eastAsia="Times New Roman" w:hAnsi="Times New Roman"/>
          <w:sz w:val="18"/>
          <w:szCs w:val="18"/>
          <w:color w:val="auto"/>
        </w:rPr>
      </w:pPr>
    </w:p>
    <w:p>
      <w:pPr>
        <w:ind w:firstLine="990"/>
        <w:spacing w:after="0" w:line="278" w:lineRule="auto"/>
        <w:tabs>
          <w:tab w:leader="none" w:pos="123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mergers or consolidations otherwise expressly permitted by clause (a) above, make or consummate any Asset Dispositions other than Permitted Asset Dispositions.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Purchase of Assets, Investments</w:t>
      </w:r>
      <w:r>
        <w:rPr>
          <w:rFonts w:ascii="Times New Roman" w:cs="Times New Roman" w:eastAsia="Times New Roman" w:hAnsi="Times New Roman"/>
          <w:sz w:val="18"/>
          <w:szCs w:val="18"/>
          <w:color w:val="auto"/>
        </w:rPr>
        <w:t>. No Credit Party will, or will permit any Subsidiary to, directly or indirectly:</w:t>
      </w:r>
    </w:p>
    <w:p>
      <w:pPr>
        <w:spacing w:after="0" w:line="114" w:lineRule="exact"/>
        <w:rPr>
          <w:sz w:val="20"/>
          <w:szCs w:val="20"/>
          <w:color w:val="auto"/>
        </w:rPr>
      </w:pPr>
    </w:p>
    <w:p>
      <w:pPr>
        <w:ind w:right="60" w:firstLine="990"/>
        <w:spacing w:after="0" w:line="278" w:lineRule="auto"/>
        <w:tabs>
          <w:tab w:leader="none" w:pos="122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make, own, hold, or otherwise consummate any Investment (including for the avoidance of doubt, any Acquisition) other than Permitted Investments;</w:t>
      </w:r>
    </w:p>
    <w:p>
      <w:pPr>
        <w:spacing w:after="0" w:line="55" w:lineRule="exact"/>
        <w:rPr>
          <w:rFonts w:ascii="Times New Roman" w:cs="Times New Roman" w:eastAsia="Times New Roman" w:hAnsi="Times New Roman"/>
          <w:sz w:val="18"/>
          <w:szCs w:val="18"/>
          <w:color w:val="auto"/>
        </w:rPr>
      </w:pPr>
    </w:p>
    <w:p>
      <w:pPr>
        <w:ind w:firstLine="990"/>
        <w:spacing w:after="0" w:line="255" w:lineRule="auto"/>
        <w:tabs>
          <w:tab w:leader="none" w:pos="123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clause (a) above, acquire any other assets other than Permitted Investments or otherwise (i) in the Ordinary Course of Business, (ii) constituting capital expenditures, (iii) constituting replacement assets purchased with proceeds of property insurance policies, awards or other compensation with respect to any eminent domain, condemnation or similar proceeding and for which the requirements set forth in this Agreement have been satisfied and (iv) any acquisition by a Credit Party of assets of any other Credit Party to the extent not otherwise prohibited by Article 5 of this Agreement;</w:t>
      </w:r>
    </w:p>
    <w:p>
      <w:pPr>
        <w:spacing w:after="0" w:line="7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establish any joint venture or partnership with any other Person except to the extent constituting a Permitted Investment;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no Credit Party shall, nor will any Credit Party permit any Subsidiary to, purchase or carry Margin</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2"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No Credit Party will, or will permit any Subsidiary to, directly or indirectly, enter into or permit to exist any transaction (including the purchase, sale, lease or exchange of any property or the rendering of any service) with any Affiliate of any Credit Party or any Subsidiary thereof, except for (a) transactions disclosed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amendments, modifications, or supplements to the transactions disclosed on Schedule 5.8 under or in respect of a Material Contract be permitted pursuant to this clause (a) unless such amendments, modifications or supplements comply with clause (b) of this Section 5.8, (b)</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12" w:name="page513"/>
    <w:bookmarkEnd w:id="512"/>
    <w:p>
      <w:pPr>
        <w:ind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transactions that are upon fair and reasonable terms, and, in each case, which contain terms that are not materially less favorable to the applicable Credit Party or any Subsidiary, as the case may be, than those which might be obtained from a third party not an Affiliate of any Credit Party, (c) transactions among Credit Parties that are not otherwise prohibited by this Agreement, (d) transactions constituting (i) issuances of Subordinated Debt and</w:t>
      </w:r>
    </w:p>
    <w:p>
      <w:pPr>
        <w:spacing w:after="0" w:line="1" w:lineRule="exact"/>
        <w:rPr>
          <w:sz w:val="20"/>
          <w:szCs w:val="20"/>
          <w:color w:val="auto"/>
        </w:rPr>
      </w:pPr>
    </w:p>
    <w:p>
      <w:pPr>
        <w:ind w:firstLine="7"/>
        <w:spacing w:after="0" w:line="250" w:lineRule="auto"/>
        <w:tabs>
          <w:tab w:leader="none" w:pos="26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Equity Interests (other than Disqualified Equity Interests), in each case, not otherwise in contravention of this Agreement, (e) director, officer and employee compensation (including bonuses) and other benefits (including retirement, health, stock option and other benefit plans and indemnification arrangements), (f) mergers and consolidations permitted by Section 5.6 and (g) transactions with PCs pursuant to the applicable Practice Entity Documents, and not otherwise in contravention of this Agreement.</w:t>
      </w:r>
    </w:p>
    <w:p>
      <w:pPr>
        <w:spacing w:after="0" w:line="189" w:lineRule="exact"/>
        <w:rPr>
          <w:sz w:val="20"/>
          <w:szCs w:val="20"/>
          <w:color w:val="auto"/>
        </w:rPr>
      </w:pPr>
    </w:p>
    <w:p>
      <w:pPr>
        <w:ind w:right="3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Modification of Organizational Documents</w:t>
      </w:r>
      <w:r>
        <w:rPr>
          <w:rFonts w:ascii="Times New Roman" w:cs="Times New Roman" w:eastAsia="Times New Roman" w:hAnsi="Times New Roman"/>
          <w:sz w:val="18"/>
          <w:szCs w:val="18"/>
          <w:color w:val="auto"/>
        </w:rPr>
        <w:t>. No Credit Party will, or will permit any Subsidiary to, directly or indirectly, amend or otherwise modify any Organizational Documents of such Person, except for Permitted Modifications.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No Credit Party will, or will permit any Subsidiary to, directly or indirectly, engage in any line of business other than those businesses engaged in on the Closing Date described on Schedule 5.11 and businesses reasonably related thereto. No Credit Party will, or will permit any Subsidiary to, other than in the Ordinary Course of Business, change its normal billing payment and reimbursement policies and procedures with respect to its Accounts in any material respect (including, without limitation, the amount and timing of finance charges, fees and write-offs).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Limitation on Sale and Leaseback Transactions</w:t>
      </w:r>
      <w:r>
        <w:rPr>
          <w:rFonts w:ascii="Times New Roman" w:cs="Times New Roman" w:eastAsia="Times New Roman" w:hAnsi="Times New Roman"/>
          <w:sz w:val="18"/>
          <w:szCs w:val="18"/>
          <w:color w:val="auto"/>
        </w:rPr>
        <w:t>. No Credit Party will, or will permit any Subsidiary to, directly or indirectly, enter into any arrangement with any Person whereby, in a substantially contemporaneous transaction, any Credit Party or any Subsidiaries sells or transfers all or substantially all of its right, title and interest in an asset and, in connection therewith, acquires or leases back the right to use such asset.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Deposit Accounts and Securities Accounts; Payroll and Benefits Accounts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74" w:lineRule="auto"/>
        <w:tabs>
          <w:tab w:leader="none" w:pos="122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Credit Party will, directly or indirectly, establish any new Deposit Account or Securities Account (other than an Excluded Account) unless such Credit Party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Without limiting the foregoing, Credit Parties shall ensure that each Deposit Account or Securities Account of a Credit Party (other than Excluded Accounts) is subject to a Deposit Account Control Agreement or Securities Account Control Agreement, as applicable.</w:t>
      </w:r>
    </w:p>
    <w:p>
      <w:pPr>
        <w:spacing w:after="0" w:line="61" w:lineRule="exact"/>
        <w:rPr>
          <w:rFonts w:ascii="Times New Roman" w:cs="Times New Roman" w:eastAsia="Times New Roman" w:hAnsi="Times New Roman"/>
          <w:sz w:val="17"/>
          <w:szCs w:val="17"/>
          <w:color w:val="auto"/>
        </w:rPr>
      </w:pPr>
    </w:p>
    <w:p>
      <w:pPr>
        <w:jc w:val="both"/>
        <w:ind w:right="300" w:firstLine="990"/>
        <w:spacing w:after="0" w:line="263" w:lineRule="auto"/>
        <w:tabs>
          <w:tab w:leader="none" w:pos="123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 Parties represent and warrant that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(as updated by the Compliance Certificates delivered to Agent from time to time after the Closing Date) lists all of the Deposit Accounts and Securities Accounts of each Credit Party as of the Closing Date or as of the date on which such Compliance Certificate is delivered, as applicable.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13" w:name="page514"/>
    <w:bookmarkEnd w:id="513"/>
    <w:p>
      <w:pPr>
        <w:ind w:firstLine="436"/>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Compliance with Anti-Terrorism Laws</w:t>
      </w:r>
      <w:r>
        <w:rPr>
          <w:rFonts w:ascii="Times New Roman" w:cs="Times New Roman" w:eastAsia="Times New Roman" w:hAnsi="Times New Roman"/>
          <w:sz w:val="18"/>
          <w:szCs w:val="18"/>
          <w:color w:val="auto"/>
        </w:rPr>
        <w:t>. Agent hereby notifies Credit Parties that pursuant to the requirements of Anti-Terrorism Laws, and Agent’s policies and practices, Agent is required to obtain, verify and record certain information and documentation that identifies Credit Parties and their principals, which information includes the name and address of each Credit Party and its principals and such other information that will allow Agent to identify such party in accordance with Anti-Terrorism Laws. No Credit Party will, or will permit any Subsidiary to, directly or indirectly, knowingly enter into any contracts or agreements or otherwise engage in transactions directly or indirectly with or related to any Blocked Person or any Person listed on the OFAC Lists or any Sanctioned Country. Each Credit Party shall immediately notify Agent if such Credit Party has knowledge that any Borrower, any additional Credit Party or any of their respective Affiliates or agents acting or benefiting in any capacity in connection with the transactions contemplated by this Agreement is or becomes a Blocked Person or (a) is convicted on, (b) enters into a settlement agreement with a U.S. government agency, (c) pleads nolo contendere to, (d) is indicted on, or (e) is arraigned and held over on charges involving money laundering or predicate crimes to money laundering, Anti-Terrorism Laws or export control laws. No Credit Party will, or will permit any Subsidiary to, directly or indirectly, (i) conduct any business or engage in any transaction or dealing directly or indirectly with or related to any Blocked Person or Sanctioned Country, including, without limitation, the making or receiving of any contribution of funds, goods or services to or for the benefit of any Blocked Person or Sanctioned Country,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88" w:lineRule="exact"/>
        <w:rPr>
          <w:sz w:val="20"/>
          <w:szCs w:val="20"/>
          <w:color w:val="auto"/>
        </w:rPr>
      </w:pPr>
    </w:p>
    <w:p>
      <w:pPr>
        <w:ind w:right="1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Change in Accounting</w:t>
      </w:r>
      <w:r>
        <w:rPr>
          <w:rFonts w:ascii="Times New Roman" w:cs="Times New Roman" w:eastAsia="Times New Roman" w:hAnsi="Times New Roman"/>
          <w:sz w:val="18"/>
          <w:szCs w:val="18"/>
          <w:color w:val="auto"/>
        </w:rPr>
        <w:t>. No Credit Party shall, and no Credit Party shall, without the prior written consent of Agent in its reasonable discretion, suffer or permit any of its Subsidiaries to, (i) make any significant change in accounting treatment or reporting practices, except as required by GAAP or required to be GAAP compliant or (ii) change the fiscal year or method for determining fiscal quarters of any Credit Party or of any Consolidated Subsidiary (other than the PCs).</w:t>
      </w:r>
    </w:p>
    <w:p>
      <w:pPr>
        <w:spacing w:after="0" w:line="180" w:lineRule="exact"/>
        <w:rPr>
          <w:sz w:val="20"/>
          <w:szCs w:val="20"/>
          <w:color w:val="auto"/>
        </w:rPr>
      </w:pPr>
    </w:p>
    <w:p>
      <w:pPr>
        <w:jc w:val="both"/>
        <w:ind w:right="100" w:firstLine="436"/>
        <w:spacing w:after="0" w:line="278" w:lineRule="auto"/>
        <w:rPr>
          <w:sz w:val="20"/>
          <w:szCs w:val="20"/>
          <w:color w:val="auto"/>
        </w:rPr>
      </w:pPr>
      <w:r>
        <w:rPr>
          <w:rFonts w:ascii="Times New Roman" w:cs="Times New Roman" w:eastAsia="Times New Roman" w:hAnsi="Times New Roman"/>
          <w:sz w:val="17"/>
          <w:szCs w:val="17"/>
          <w:color w:val="auto"/>
        </w:rPr>
        <w:t xml:space="preserve">Section 5.17 </w:t>
      </w: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No Credit Party shall, nor shall it permit any Subsidiary to, directly or indirectly, engage in any business, enter into any transaction, use any securities or take any other action or permit any of its Subsidiaries to do any of the foregoing, that would cause it or any of its Subsidiaries to become subject to the registration requirements of the Investment Company Act, by virtue of being an “investment company” or a company “controlled” by an “investment company” not entitled to an exemption within the meaning of the Investment Company Act.</w:t>
      </w:r>
    </w:p>
    <w:p>
      <w:pPr>
        <w:spacing w:after="0" w:line="164" w:lineRule="exact"/>
        <w:rPr>
          <w:sz w:val="20"/>
          <w:szCs w:val="20"/>
          <w:color w:val="auto"/>
        </w:rPr>
      </w:pPr>
    </w:p>
    <w:p>
      <w:pPr>
        <w:ind w:right="40" w:firstLine="436"/>
        <w:spacing w:after="0" w:line="267" w:lineRule="auto"/>
        <w:rPr>
          <w:sz w:val="20"/>
          <w:szCs w:val="20"/>
          <w:color w:val="auto"/>
        </w:rPr>
      </w:pPr>
      <w:r>
        <w:rPr>
          <w:rFonts w:ascii="Times New Roman" w:cs="Times New Roman" w:eastAsia="Times New Roman" w:hAnsi="Times New Roman"/>
          <w:sz w:val="17"/>
          <w:szCs w:val="17"/>
          <w:color w:val="auto"/>
        </w:rPr>
        <w:t xml:space="preserve">Section 5.18 </w:t>
      </w:r>
      <w:r>
        <w:rPr>
          <w:rFonts w:ascii="Times New Roman" w:cs="Times New Roman" w:eastAsia="Times New Roman" w:hAnsi="Times New Roman"/>
          <w:sz w:val="17"/>
          <w:szCs w:val="17"/>
          <w:u w:val="single" w:color="auto"/>
          <w:color w:val="auto"/>
        </w:rPr>
        <w:t>Agreements Regarding Receivables</w:t>
      </w:r>
      <w:r>
        <w:rPr>
          <w:rFonts w:ascii="Times New Roman" w:cs="Times New Roman" w:eastAsia="Times New Roman" w:hAnsi="Times New Roman"/>
          <w:sz w:val="17"/>
          <w:szCs w:val="17"/>
          <w:color w:val="auto"/>
        </w:rPr>
        <w:t>. No Credit Party may backdate, postdate or redate any of its invoices with respect to Eligible Accounts, except to the extent required to correct any clerical errors or otherwise as consented to in advance by Agent in its Permitted Discretion. No Credit Party may make any sales on extended dating or credit terms with respect to Eligible Accounts beyond that customary in such Credit Party’s industry, in the Ordinary Course of Business or otherwise consented to in advance by Agent in its Permitted Discretion. Borrower Representative shall also notify Agent promptly of all material disputes and claims with respect to the Eligible Accounts of any Borrower, and such Borrower will settle or adjust such material disputes and claims at no expense to Agent; provided, however, no Borrower may, without Agent’s consent in its Permitted Discretion, grant (a) any discount in the form of a write-off of amounts owed, credit or allowance in respect of its Eligible Accounts (i) which is outside the Ordinary Course of Business or (ii) which discount, credit in the form of a write-off of amounts owed or allowance exceeds an amount equal to Two Hundred Fifty Thousand Dollars ($250,000) in the aggregate with respect to any individual Eligible Account or (b) any materially adverse extension, compromise or settlement to any customer or account debtor with respect to any then Eligible Account. Nothing permitted by this Section 5.16, however, may be construed to alter in any the criteria for Eligible Accounts, or Eligible Inventory provided in Section 1.1.</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514" w:name="page515"/>
    <w:bookmarkEnd w:id="5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5.19 </w:t>
      </w:r>
      <w:r>
        <w:rPr>
          <w:rFonts w:ascii="Times New Roman" w:cs="Times New Roman" w:eastAsia="Times New Roman" w:hAnsi="Times New Roman"/>
          <w:sz w:val="18"/>
          <w:szCs w:val="18"/>
          <w:u w:val="single" w:color="auto"/>
          <w:color w:val="auto"/>
        </w:rPr>
        <w:t>Restricted Foreign Subsidiaries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40" w:firstLine="990"/>
        <w:spacing w:after="0" w:line="278" w:lineRule="auto"/>
        <w:tabs>
          <w:tab w:leader="none" w:pos="122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shall permit the total amount of cash and Cash Equivalents held by Restricted Foreign Subsidiaries to exceed Two Hundred Fifty Thousand Dollars ($250,000) (or the equivalent thereof in any foreign currency), in the aggregate, at any time.</w:t>
      </w:r>
    </w:p>
    <w:p>
      <w:pPr>
        <w:spacing w:after="0" w:line="55" w:lineRule="exact"/>
        <w:rPr>
          <w:rFonts w:ascii="Times New Roman" w:cs="Times New Roman" w:eastAsia="Times New Roman" w:hAnsi="Times New Roman"/>
          <w:sz w:val="18"/>
          <w:szCs w:val="18"/>
          <w:color w:val="auto"/>
        </w:rPr>
      </w:pPr>
    </w:p>
    <w:p>
      <w:pPr>
        <w:ind w:firstLine="990"/>
        <w:spacing w:after="0" w:line="278" w:lineRule="auto"/>
        <w:tabs>
          <w:tab w:leader="none" w:pos="123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shall make any Asset Disposition to or Investment in any Restricted Foreign Subsidiary other than Investments of cash and Cash Equivalents permitted to be made pursuant to clause (i) or clause (p) of the definition of “Permitted Investment”.</w:t>
      </w:r>
    </w:p>
    <w:p>
      <w:pPr>
        <w:spacing w:after="0" w:line="55" w:lineRule="exact"/>
        <w:rPr>
          <w:rFonts w:ascii="Times New Roman" w:cs="Times New Roman" w:eastAsia="Times New Roman" w:hAnsi="Times New Roman"/>
          <w:sz w:val="18"/>
          <w:szCs w:val="18"/>
          <w:color w:val="auto"/>
        </w:rPr>
      </w:pPr>
    </w:p>
    <w:p>
      <w:pPr>
        <w:ind w:right="700" w:firstLine="990"/>
        <w:spacing w:after="0" w:line="278" w:lineRule="auto"/>
        <w:tabs>
          <w:tab w:leader="none" w:pos="122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will commingle any of its assets (including any bank accounts, cash or Cash Equivalents) with the assets of a Restricted Foreign Subsidiary.</w:t>
      </w:r>
    </w:p>
    <w:p>
      <w:pPr>
        <w:spacing w:after="0" w:line="55" w:lineRule="exact"/>
        <w:rPr>
          <w:rFonts w:ascii="Times New Roman" w:cs="Times New Roman" w:eastAsia="Times New Roman" w:hAnsi="Times New Roman"/>
          <w:sz w:val="18"/>
          <w:szCs w:val="18"/>
          <w:color w:val="auto"/>
        </w:rPr>
      </w:pPr>
    </w:p>
    <w:p>
      <w:pPr>
        <w:ind w:right="600" w:firstLine="990"/>
        <w:spacing w:after="0" w:line="278" w:lineRule="auto"/>
        <w:tabs>
          <w:tab w:leader="none" w:pos="123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shall permit any Restricted Foreign Subsidiary to own, or have an exclusive license in respect of, any Material Intangible Assets.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PCs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700" w:firstLine="990"/>
        <w:spacing w:after="0" w:line="278" w:lineRule="auto"/>
        <w:tabs>
          <w:tab w:leader="none" w:pos="122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shall permit the total amount of cash and Cash Equivalents held by PCs to exceed One Million Five Hundred Thousand Dollars ($1,500,000) (or the equivalent thereof in any foreign currency), in the aggregate, at any time.</w:t>
      </w:r>
    </w:p>
    <w:p>
      <w:pPr>
        <w:spacing w:after="0" w:line="55" w:lineRule="exact"/>
        <w:rPr>
          <w:rFonts w:ascii="Times New Roman" w:cs="Times New Roman" w:eastAsia="Times New Roman" w:hAnsi="Times New Roman"/>
          <w:sz w:val="18"/>
          <w:szCs w:val="18"/>
          <w:color w:val="auto"/>
        </w:rPr>
      </w:pPr>
    </w:p>
    <w:p>
      <w:pPr>
        <w:ind w:right="320" w:firstLine="990"/>
        <w:spacing w:after="0" w:line="278" w:lineRule="auto"/>
        <w:tabs>
          <w:tab w:leader="none" w:pos="123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shall make any Asset Disposition to or Investment in any PC other than Investments of cash and Cash Equivalents permitted to be made pursuant to clause (j) of the definition of “Permitted Investment”.</w:t>
      </w:r>
    </w:p>
    <w:p>
      <w:pPr>
        <w:spacing w:after="0" w:line="55" w:lineRule="exact"/>
        <w:rPr>
          <w:rFonts w:ascii="Times New Roman" w:cs="Times New Roman" w:eastAsia="Times New Roman" w:hAnsi="Times New Roman"/>
          <w:sz w:val="18"/>
          <w:szCs w:val="18"/>
          <w:color w:val="auto"/>
        </w:rPr>
      </w:pPr>
    </w:p>
    <w:p>
      <w:pPr>
        <w:ind w:firstLine="990"/>
        <w:spacing w:after="0" w:line="263" w:lineRule="auto"/>
        <w:tabs>
          <w:tab w:leader="none" w:pos="122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will, or will permit any Subsidiary to, commingle any of its assets (including any bank accounts, cash or Cash Equivalents) with the assets of any Person other than a Credit Party and (ii) no Credit Party will permit any PC to commingle any of its assets (including any bank accounts, cash or Cash Equivalents) with the assets of a Credit Party.</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shall permit any PC to own, or have an exclusive license in respect of, any Material Intangible Assets.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 – FINANCIAL COVENANT</w:t>
      </w:r>
    </w:p>
    <w:p>
      <w:pPr>
        <w:spacing w:after="0" w:line="225"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Minimum Net Revenue</w:t>
      </w:r>
      <w:r>
        <w:rPr>
          <w:rFonts w:ascii="Times New Roman" w:cs="Times New Roman" w:eastAsia="Times New Roman" w:hAnsi="Times New Roman"/>
          <w:sz w:val="18"/>
          <w:szCs w:val="18"/>
          <w:color w:val="auto"/>
        </w:rPr>
        <w:t>. For each Testing Date occurring immediately after the occurrence of a Financial Covenant Trigger Event and for each other Testing Date occurring during any Net Revenue Testing Period (each a “</w:t>
      </w:r>
      <w:r>
        <w:rPr>
          <w:rFonts w:ascii="Times New Roman" w:cs="Times New Roman" w:eastAsia="Times New Roman" w:hAnsi="Times New Roman"/>
          <w:sz w:val="18"/>
          <w:szCs w:val="18"/>
          <w:b w:val="1"/>
          <w:bCs w:val="1"/>
          <w:color w:val="auto"/>
        </w:rPr>
        <w:t>Subject Testing Date</w:t>
      </w:r>
      <w:r>
        <w:rPr>
          <w:rFonts w:ascii="Times New Roman" w:cs="Times New Roman" w:eastAsia="Times New Roman" w:hAnsi="Times New Roman"/>
          <w:sz w:val="18"/>
          <w:szCs w:val="18"/>
          <w:color w:val="auto"/>
        </w:rPr>
        <w:t>”), Credit Parties shall not permit Net Revenue for any Defined Period ending on a Subject Testing Date to be less than the Applicable Minimum Net Revenue Threshold for such Defined Period.</w:t>
      </w:r>
    </w:p>
    <w:p>
      <w:pPr>
        <w:spacing w:after="0" w:line="180" w:lineRule="exact"/>
        <w:rPr>
          <w:sz w:val="20"/>
          <w:szCs w:val="20"/>
          <w:color w:val="auto"/>
        </w:rPr>
      </w:pPr>
    </w:p>
    <w:p>
      <w:pPr>
        <w:ind w:right="40" w:firstLine="436"/>
        <w:spacing w:after="0" w:line="274"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Evidence of Compliance</w:t>
      </w:r>
      <w:r>
        <w:rPr>
          <w:rFonts w:ascii="Times New Roman" w:cs="Times New Roman" w:eastAsia="Times New Roman" w:hAnsi="Times New Roman"/>
          <w:sz w:val="17"/>
          <w:szCs w:val="17"/>
          <w:color w:val="auto"/>
        </w:rPr>
        <w:t>. Borrowers shall furnish to Agent, as required by Section 4.1, a Compliance Certificate as evidence, as applicable, Credit Parties’ compliance with the covenant in this Article. The Compliance Certificate shall include, if requested by Agent, back-up documentation (including, without limitation, bank statements, invoices, receipts and other evidence of costs incurred during such month as Agent shall reasonably require) evidencing the propriety of the calculations. A breach of a financial covenant contained in this Article 6 shall be deemed to have occurred as of the last day of any specified Defined Period, regardless of when the financial statements reflecting such breach are delivered to Agent.</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515" w:name="page516"/>
    <w:bookmarkEnd w:id="5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ARTICLE 7 – CONDITIONS</w:t>
      </w:r>
    </w:p>
    <w:p>
      <w:pPr>
        <w:spacing w:after="0" w:line="225"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Closing</w:t>
      </w:r>
      <w:r>
        <w:rPr>
          <w:rFonts w:ascii="Times New Roman" w:cs="Times New Roman" w:eastAsia="Times New Roman" w:hAnsi="Times New Roman"/>
          <w:sz w:val="18"/>
          <w:szCs w:val="18"/>
          <w:color w:val="auto"/>
        </w:rPr>
        <w:t>. The obligation of each Lender to make the initial Loans on the Closing Date shall be subject to the receipt by Agent of each agreement, document and instrument set forth on the closing checklist attached hereto as Exhibit F, each in form and substance satisfactory to Agent, and such other closing deliverables reasonably requested by Agent and Lenders, and to the satisfaction or waiver of the following conditions precedent, each to the satisfaction of Agent and Lenders in their reasonable discretion:</w:t>
      </w:r>
    </w:p>
    <w:p>
      <w:pPr>
        <w:spacing w:after="0" w:line="180" w:lineRule="exact"/>
        <w:rPr>
          <w:sz w:val="20"/>
          <w:szCs w:val="20"/>
          <w:color w:val="auto"/>
        </w:rPr>
      </w:pPr>
    </w:p>
    <w:p>
      <w:pPr>
        <w:ind w:left="1240" w:hanging="250"/>
        <w:spacing w:after="0"/>
        <w:tabs>
          <w:tab w:leader="none" w:pos="12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Agent of executed counterparts of this Agreement and the other Financing Documents;</w:t>
      </w:r>
    </w:p>
    <w:p>
      <w:pPr>
        <w:spacing w:after="0" w:line="220"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all fees, expenses and other amounts due and payable under each Financing Document;</w:t>
      </w:r>
    </w:p>
    <w:p>
      <w:pPr>
        <w:spacing w:after="0" w:line="220"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 absence of any Material Adverse Effect;</w:t>
      </w:r>
    </w:p>
    <w:p>
      <w:pPr>
        <w:spacing w:after="0" w:line="220"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initial Borrowing Base Certificate, prepared as of March 31, 2023; and</w:t>
      </w:r>
    </w:p>
    <w:p>
      <w:pPr>
        <w:spacing w:after="0" w:line="220" w:lineRule="exact"/>
        <w:rPr>
          <w:rFonts w:ascii="Times New Roman" w:cs="Times New Roman" w:eastAsia="Times New Roman" w:hAnsi="Times New Roman"/>
          <w:sz w:val="18"/>
          <w:szCs w:val="18"/>
          <w:color w:val="auto"/>
        </w:rPr>
      </w:pPr>
    </w:p>
    <w:p>
      <w:pPr>
        <w:ind w:right="160" w:firstLine="990"/>
        <w:spacing w:after="0" w:line="278" w:lineRule="auto"/>
        <w:tabs>
          <w:tab w:leader="none" w:pos="122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completed a reasonably satisfactory field exam and all other necessary or reasonably desirable audits and appraisals with respect to Collateral comprising the Borrowing Base, the results of which are reasonably satisfactory to Agent and Lenders.</w:t>
      </w:r>
    </w:p>
    <w:p>
      <w:pPr>
        <w:spacing w:after="0" w:line="162"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shall be deemed to have acknowledged receipt of, and consented to and approved, each Financing Document and each other document, agreement and/or instrument required to be approved by Agent, Required Lenders or Lenders, as applicable, on the Closing Date.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Each Loan</w:t>
      </w:r>
      <w:r>
        <w:rPr>
          <w:rFonts w:ascii="Times New Roman" w:cs="Times New Roman" w:eastAsia="Times New Roman" w:hAnsi="Times New Roman"/>
          <w:sz w:val="18"/>
          <w:szCs w:val="18"/>
          <w:color w:val="auto"/>
        </w:rPr>
        <w:t>. The obligation of the Lenders to make a Loan or an advance in respect of any Loan (including the initial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is subject to the satisfaction or waiver of the following additional conditions:</w:t>
      </w:r>
    </w:p>
    <w:p>
      <w:pPr>
        <w:spacing w:after="0" w:line="202" w:lineRule="exact"/>
        <w:rPr>
          <w:sz w:val="20"/>
          <w:szCs w:val="20"/>
          <w:color w:val="auto"/>
        </w:rPr>
      </w:pPr>
    </w:p>
    <w:p>
      <w:pPr>
        <w:ind w:right="120" w:firstLine="990"/>
        <w:spacing w:after="0" w:line="258" w:lineRule="auto"/>
        <w:tabs>
          <w:tab w:leader="none" w:pos="122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each borrowing of Revolving Loans, receipt by Agent of a Notice of Borrowing in accordance with the provisions of Section 2.1(b)(i) and, if, immediately after such borrowing and after application of the proceeds thereof, the Revolving Loan Outstandings would be greater than 50% of the Revolving Loan Limit, an updated Borrowing Base Certificate, and (ii) in the case of a Term Loan advance, receipt by Agent and Term Loan Servicer of a Notice of Borrowing in accordance with the provisions of Section 2.1(a)(i);</w:t>
      </w:r>
    </w:p>
    <w:p>
      <w:pPr>
        <w:spacing w:after="0" w:line="179" w:lineRule="exact"/>
        <w:rPr>
          <w:rFonts w:ascii="Times New Roman" w:cs="Times New Roman" w:eastAsia="Times New Roman" w:hAnsi="Times New Roman"/>
          <w:sz w:val="18"/>
          <w:szCs w:val="18"/>
          <w:color w:val="auto"/>
        </w:rPr>
      </w:pPr>
    </w:p>
    <w:p>
      <w:pPr>
        <w:ind w:right="140" w:firstLine="990"/>
        <w:spacing w:after="0" w:line="278" w:lineRule="auto"/>
        <w:tabs>
          <w:tab w:leader="none" w:pos="123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borrowing and after application of the proceeds thereof, the Revolving Loan Outstandings will not exceed the Revolving Loan Limit;</w:t>
      </w:r>
    </w:p>
    <w:p>
      <w:pPr>
        <w:spacing w:after="0" w:line="162" w:lineRule="exact"/>
        <w:rPr>
          <w:rFonts w:ascii="Times New Roman" w:cs="Times New Roman" w:eastAsia="Times New Roman" w:hAnsi="Times New Roman"/>
          <w:sz w:val="18"/>
          <w:szCs w:val="18"/>
          <w:color w:val="auto"/>
        </w:rPr>
      </w:pPr>
    </w:p>
    <w:p>
      <w:pPr>
        <w:ind w:firstLine="990"/>
        <w:spacing w:after="0" w:line="255" w:lineRule="auto"/>
        <w:tabs>
          <w:tab w:leader="none" w:pos="122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Loan Tranche 2 regardless of whether any Financial Covenant Trigger Event has occurred, (i) the most recent Compliance Certificate delivered (or required to be delivered) by Borrowers pursuant to Section 4.1(i), demonstrates to Agent’s and each Term Lender’s satisfaction that Net Revenue for the Defined Period ending on the last day of the month for which such Compliance Certificate was delivered (or required to be delivered) is greater than or equal to $120,000,000, and (ii) Agent has received evidence demonstrating to Agent’s and each Term Lender’s satisfaction that after giving effect to such Term Loan Tranche 2 borrowing Liquidity is at least $60,000,000;</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3" w:right="539" w:bottom="1440" w:gutter="0" w:footer="0" w:header="0"/>
        </w:sectPr>
      </w:pPr>
    </w:p>
    <w:bookmarkStart w:id="516" w:name="page517"/>
    <w:bookmarkEnd w:id="516"/>
    <w:p>
      <w:pPr>
        <w:ind w:left="1240" w:hanging="250"/>
        <w:spacing w:after="0"/>
        <w:tabs>
          <w:tab w:leader="none" w:pos="12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immediately before and after such advance, no Default or Event of Default shall have occurred and be continuing;</w:t>
      </w:r>
    </w:p>
    <w:p>
      <w:pPr>
        <w:spacing w:after="0" w:line="220" w:lineRule="exact"/>
        <w:rPr>
          <w:rFonts w:ascii="Times New Roman" w:cs="Times New Roman" w:eastAsia="Times New Roman" w:hAnsi="Times New Roman"/>
          <w:sz w:val="18"/>
          <w:szCs w:val="18"/>
          <w:color w:val="auto"/>
        </w:rPr>
      </w:pPr>
    </w:p>
    <w:p>
      <w:pPr>
        <w:ind w:right="100" w:firstLine="990"/>
        <w:spacing w:after="0" w:line="255" w:lineRule="auto"/>
        <w:tabs>
          <w:tab w:leader="none" w:pos="122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Credit Party contained in the Financing Documents shall be true and correct in all material respects on and as of the date of such borrowing, except to the extent that any such representation or warranty relates to a specific earlier date, in which case such representation or warranty shall be true and correct in all material respects as of such specific earlier date; provided, however, in each case, such materiality qualifier shall not be applicable to any representations and warranties that already are qualified or modified by materiality in the text thereof; and</w:t>
      </w:r>
    </w:p>
    <w:p>
      <w:pPr>
        <w:spacing w:after="0" w:line="77"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fact, event or circumstance that could reasonably be expected to result in a Material Adverse Effect shall have occurred and be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2" w:lineRule="exact"/>
        <w:rPr>
          <w:sz w:val="20"/>
          <w:szCs w:val="20"/>
          <w:color w:val="auto"/>
        </w:rPr>
      </w:pPr>
    </w:p>
    <w:p>
      <w:pPr>
        <w:ind w:right="420" w:firstLine="436"/>
        <w:spacing w:after="0" w:line="308" w:lineRule="auto"/>
        <w:rPr>
          <w:sz w:val="20"/>
          <w:szCs w:val="20"/>
          <w:color w:val="auto"/>
        </w:rPr>
      </w:pPr>
      <w:r>
        <w:rPr>
          <w:rFonts w:ascii="Times New Roman" w:cs="Times New Roman" w:eastAsia="Times New Roman" w:hAnsi="Times New Roman"/>
          <w:sz w:val="17"/>
          <w:szCs w:val="17"/>
          <w:color w:val="auto"/>
        </w:rPr>
        <w:t>Each giving of a Notice of Borrowing hereunder and each acceptance by any Borrower of the proceeds of any Loan made hereunder shall be deemed to be a representation and warranty by each Credit Party on the date of such notice or acceptance as to the facts specified in this Section.</w:t>
      </w:r>
    </w:p>
    <w:p>
      <w:pPr>
        <w:spacing w:after="0" w:line="140"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Searches</w:t>
      </w:r>
      <w:r>
        <w:rPr>
          <w:rFonts w:ascii="Times New Roman" w:cs="Times New Roman" w:eastAsia="Times New Roman" w:hAnsi="Times New Roman"/>
          <w:sz w:val="18"/>
          <w:szCs w:val="18"/>
          <w:color w:val="auto"/>
        </w:rPr>
        <w:t>. Before the Closing Date, and thereafter (as and when determined by Agent in its Permitted Discretion), Agent shall have the right to perform, all at Borrowers’ expense, the searches described in clauses (a), (b), and (c) below against Borrowers and any other Credit Party, the results of which are to be consistent with Credit Parties’ representations and warranties under this Agreement: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 Notwithstanding anything to the contrary herein, after the Closing Date, Borrowers shall not be liable for the expenses associated with such searches conducted more than once during each twelve month period unless an Event of Default has occurred and is continuing.</w:t>
      </w:r>
    </w:p>
    <w:p>
      <w:pPr>
        <w:spacing w:after="0" w:line="192" w:lineRule="exact"/>
        <w:rPr>
          <w:sz w:val="20"/>
          <w:szCs w:val="20"/>
          <w:color w:val="auto"/>
        </w:rPr>
      </w:pPr>
    </w:p>
    <w:p>
      <w:pPr>
        <w:ind w:right="40" w:firstLine="436"/>
        <w:spacing w:after="0" w:line="285"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Post-Closing Requirements</w:t>
      </w:r>
      <w:r>
        <w:rPr>
          <w:rFonts w:ascii="Times New Roman" w:cs="Times New Roman" w:eastAsia="Times New Roman" w:hAnsi="Times New Roman"/>
          <w:sz w:val="17"/>
          <w:szCs w:val="17"/>
          <w:color w:val="auto"/>
        </w:rPr>
        <w:t xml:space="preserve">. Unless Agent shall otherwise consent in writing, Credit Parties shall complete each of the post-closing obligations and/or provide to Agent each of the documents, instruments, agreements and information listed on </w:t>
      </w:r>
      <w:r>
        <w:rPr>
          <w:rFonts w:ascii="Times New Roman" w:cs="Times New Roman" w:eastAsia="Times New Roman" w:hAnsi="Times New Roman"/>
          <w:sz w:val="17"/>
          <w:szCs w:val="17"/>
          <w:u w:val="single" w:color="auto"/>
          <w:color w:val="auto"/>
        </w:rPr>
        <w:t>Schedule 7.4</w:t>
      </w:r>
      <w:r>
        <w:rPr>
          <w:rFonts w:ascii="Times New Roman" w:cs="Times New Roman" w:eastAsia="Times New Roman" w:hAnsi="Times New Roman"/>
          <w:sz w:val="17"/>
          <w:szCs w:val="17"/>
          <w:color w:val="auto"/>
        </w:rPr>
        <w:t xml:space="preserve"> attached hereto on or before the date set forth for each such item thereon, each of which shall be completed or provided in form and substance reasonably satisfactory to Agent.</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 – RESERVED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 – SECURITY AGREEMENT</w:t>
      </w:r>
    </w:p>
    <w:p>
      <w:pPr>
        <w:spacing w:after="0" w:line="225"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As security for the payment and performance of the Obligations, and without limiting any other grant of a Lien and security interest in any Security Document, each Credit Party hereby assigns, grants and pledges to Agent, for the benefit of itself and Lenders, and, subject only to Permitted Liens, a continuing first priority Lien on and security interest in, upon, and to the property and assets (other than, for the avoidance of doubt, Excluded Property) set forth on Schedule 9.1 attached hereto and made a part hereof.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7" w:right="519" w:bottom="1440" w:gutter="0" w:footer="0" w:header="0"/>
        </w:sectPr>
      </w:pPr>
    </w:p>
    <w:bookmarkStart w:id="517" w:name="page518"/>
    <w:bookmarkEnd w:id="5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9.2 </w:t>
      </w:r>
      <w:r>
        <w:rPr>
          <w:rFonts w:ascii="Times New Roman" w:cs="Times New Roman" w:eastAsia="Times New Roman" w:hAnsi="Times New Roman"/>
          <w:sz w:val="18"/>
          <w:szCs w:val="18"/>
          <w:u w:val="single" w:color="auto"/>
          <w:color w:val="auto"/>
        </w:rPr>
        <w:t>Representations and Warranties and Covenants Relating to Collateral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50" w:lineRule="auto"/>
        <w:tabs>
          <w:tab w:leader="none" w:pos="122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interest granted pursuant to this Agreement constitutes a valid and, to the extent such security interest is required to be perfected (except in respect of Excluded Perfection Assets) by this Agreement and any other Financing Document, continuing perfected security interest in favor of Agent in all such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9.2(b)</w:t>
      </w:r>
      <w:r>
        <w:rPr>
          <w:rFonts w:ascii="Times New Roman" w:cs="Times New Roman" w:eastAsia="Times New Roman" w:hAnsi="Times New Roman"/>
          <w:sz w:val="18"/>
          <w:szCs w:val="18"/>
          <w:color w:val="auto"/>
        </w:rPr>
        <w:t xml:space="preserve"> (which, in the case of all filings and other documents referred to on such schedule, have been delivered to Agent in completed and duly authorized form), (ii) with respect to any Deposit Account for which Deposit Account Control Agreements are required pursuant to this Agreement,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(as defined in the UCC)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and (vii) in the case of all other instruments and tangible chattel paper that are not certificated stock, debt instruments or investment property, the delivery thereof to Agent of such instruments and tangible chattel paper.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pacing w:after="0" w:line="18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9.2(b)</w:t>
      </w:r>
      <w:r>
        <w:rPr>
          <w:rFonts w:ascii="Times New Roman" w:cs="Times New Roman" w:eastAsia="Times New Roman" w:hAnsi="Times New Roman"/>
          <w:sz w:val="18"/>
          <w:szCs w:val="18"/>
          <w:color w:val="auto"/>
        </w:rPr>
        <w:t xml:space="preserve"> (as updated by the Compliance Certificates delivered to Agent from time to time after the Closing Date) sets forth</w:t>
      </w:r>
    </w:p>
    <w:p>
      <w:pPr>
        <w:spacing w:after="0" w:line="25" w:lineRule="exact"/>
        <w:rPr>
          <w:rFonts w:ascii="Times New Roman" w:cs="Times New Roman" w:eastAsia="Times New Roman" w:hAnsi="Times New Roman"/>
          <w:sz w:val="18"/>
          <w:szCs w:val="18"/>
          <w:color w:val="auto"/>
        </w:rPr>
      </w:pPr>
    </w:p>
    <w:p>
      <w:pPr>
        <w:ind w:right="40" w:firstLine="7"/>
        <w:spacing w:after="0" w:line="249" w:lineRule="auto"/>
        <w:tabs>
          <w:tab w:leader="none" w:pos="21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chief executive office and principal place of business of each Credit Party and each of their respective Subsidiaries, and (ii) all of the addresses (including all warehouses) at which any of the Collateral is located and/or books and records of Credit Parties regarding any Collateral are kept, which such </w:t>
      </w:r>
      <w:r>
        <w:rPr>
          <w:rFonts w:ascii="Times New Roman" w:cs="Times New Roman" w:eastAsia="Times New Roman" w:hAnsi="Times New Roman"/>
          <w:sz w:val="18"/>
          <w:szCs w:val="18"/>
          <w:u w:val="single" w:color="auto"/>
          <w:color w:val="auto"/>
        </w:rPr>
        <w:t>Schedule 9.2(b)</w:t>
      </w:r>
      <w:r>
        <w:rPr>
          <w:rFonts w:ascii="Times New Roman" w:cs="Times New Roman" w:eastAsia="Times New Roman" w:hAnsi="Times New Roman"/>
          <w:sz w:val="18"/>
          <w:szCs w:val="18"/>
          <w:color w:val="auto"/>
        </w:rPr>
        <w:t xml:space="preserve"> indicates in each case which Credit Parties have Collateral and/or books and records located at such address, and, in the case of any such address not owned by one or more of the Credit Parties, indicates the nature of such location (e.g., leased business location operated by Credit Parties, third party warehouse, consignment location, processor location, etc.) and the name and address of the third party owning and/or operating such location.</w:t>
      </w:r>
    </w:p>
    <w:p>
      <w:pPr>
        <w:spacing w:after="0" w:line="190" w:lineRule="exact"/>
        <w:rPr>
          <w:rFonts w:ascii="Times New Roman" w:cs="Times New Roman" w:eastAsia="Times New Roman" w:hAnsi="Times New Roman"/>
          <w:sz w:val="18"/>
          <w:szCs w:val="18"/>
          <w:color w:val="auto"/>
        </w:rPr>
      </w:pPr>
    </w:p>
    <w:p>
      <w:pPr>
        <w:ind w:right="120" w:firstLine="990"/>
        <w:spacing w:after="0" w:line="255" w:lineRule="auto"/>
        <w:tabs>
          <w:tab w:leader="none" w:pos="1225"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3.2, except as indicated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with respect to any rights of any Credit Party as a licensee under any license of Intellectual Property owned by another Person, and except for the filing of financing statements under the UCC, no authorization, approval or other action by, and no notice to or filing with, any Governmental Authority or consent of any other Person is required for</w:t>
      </w:r>
    </w:p>
    <w:p>
      <w:pPr>
        <w:spacing w:after="0" w:line="1" w:lineRule="exact"/>
        <w:rPr>
          <w:rFonts w:ascii="Times New Roman" w:cs="Times New Roman" w:eastAsia="Times New Roman" w:hAnsi="Times New Roman"/>
          <w:sz w:val="18"/>
          <w:szCs w:val="18"/>
          <w:color w:val="auto"/>
        </w:rPr>
      </w:pPr>
    </w:p>
    <w:p>
      <w:pPr>
        <w:jc w:val="both"/>
        <w:ind w:right="40" w:firstLine="7"/>
        <w:spacing w:after="0" w:line="252" w:lineRule="auto"/>
        <w:tabs>
          <w:tab w:leader="none" w:pos="21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by each Credit Party to Agent of the security interests and Liens in the Collateral provided for under this Agreement and the other Security Documents (if any), or (ii) the granting of the security interest or the exercise by Agent of its rights and remedies with respect to the Collateral provided for under this Agreement and the other Security Documents or under any applicable Law, including the UCC.</w:t>
      </w:r>
    </w:p>
    <w:p>
      <w:pPr>
        <w:spacing w:after="0" w:line="185" w:lineRule="exact"/>
        <w:rPr>
          <w:rFonts w:ascii="Times New Roman" w:cs="Times New Roman" w:eastAsia="Times New Roman" w:hAnsi="Times New Roman"/>
          <w:sz w:val="18"/>
          <w:szCs w:val="18"/>
          <w:color w:val="auto"/>
        </w:rPr>
      </w:pPr>
    </w:p>
    <w:p>
      <w:pPr>
        <w:ind w:right="400" w:firstLine="990"/>
        <w:spacing w:after="0" w:line="263" w:lineRule="auto"/>
        <w:tabs>
          <w:tab w:leader="none" w:pos="1235"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except as set forth on </w:t>
      </w:r>
      <w:r>
        <w:rPr>
          <w:rFonts w:ascii="Times New Roman" w:cs="Times New Roman" w:eastAsia="Times New Roman" w:hAnsi="Times New Roman"/>
          <w:sz w:val="18"/>
          <w:szCs w:val="18"/>
          <w:u w:val="single" w:color="auto"/>
          <w:color w:val="auto"/>
        </w:rPr>
        <w:t>Schedule 9.2(d)</w:t>
      </w:r>
      <w:r>
        <w:rPr>
          <w:rFonts w:ascii="Times New Roman" w:cs="Times New Roman" w:eastAsia="Times New Roman" w:hAnsi="Times New Roman"/>
          <w:sz w:val="18"/>
          <w:szCs w:val="18"/>
          <w:color w:val="auto"/>
        </w:rPr>
        <w:t xml:space="preserve"> and except to the extent constituting Excluded Perfection Assets or Excluded Property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no Credit Party has any ownership interest in any Chattel Paper (as defined in Article 9 of the UCC), letter of credit rights, commercial tort claims, Instruments, documents or investment property (in each case, other than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518" w:name="page519"/>
    <w:bookmarkEnd w:id="518"/>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Excluded Perfection Assets, Excluded Property or Equity Interests in any Subsidiaries of such Credit Party disclosed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and Credit Parties shall give notice to Agent promptly (but in any event not later than the delivery by Credit Parties of the next quarterly Compliance Certificate required pursuant to Section 4.1 above) upon the acquisition by any Credit Party of any such Chattel Paper, letter of credit rights, commercial tort claims, Instruments, documents, investment property, in each case, other than Excluded Perfection Assets and Excluded Property. No Person other than Agent or (if applicable) any Lender has “control” (as defined in Article 9 of the UCC) over any Deposit Account, investment property (including Securities Accounts and commodities account), letter of credit rights or electronic chattel paper in which any Credit Party has any interest (except for such control arising by operation of law in favor of any bank or securities intermediary or commodities intermediary with whom any Deposit Account, Securities Account or commodities account of Credit Parties is maintained).</w:t>
      </w:r>
    </w:p>
    <w:p>
      <w:pPr>
        <w:spacing w:after="0" w:line="80" w:lineRule="exact"/>
        <w:rPr>
          <w:sz w:val="20"/>
          <w:szCs w:val="20"/>
          <w:color w:val="auto"/>
        </w:rPr>
      </w:pPr>
    </w:p>
    <w:p>
      <w:pPr>
        <w:ind w:right="40" w:firstLine="990"/>
        <w:spacing w:after="0" w:line="266" w:lineRule="auto"/>
        <w:tabs>
          <w:tab w:leader="none" w:pos="1225"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Credit Parties shall not take any of the following actions or make any of the following changes unless Credit Parties have given at least ten (10) Business Days’ prior written notice to Agent of Credit Parties’ intention to take any such action (which such written notice shall include an updated version of any Schedule impacted by such change) and have executed any and all documents, instruments and agreements and taken any other actions which Agent may reasonably request after receiving such written notice in order to protect and preserve the Liens, rights and remedies of Agent with respect to the Collateral: (i) change the legal name or organizational identification number of any Credit Party as it appears in official filings in the jurisdiction of its organization, (ii) change the jurisdiction of incorporation or formation of any Borrower or Credit Party or allow any Borrower or Credit Party to designate any jurisdiction as an additional jurisdiction of incorporation for such Borrower or Credit Party, or change the type of entity that it is;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a Credit Party organized under the laws of the United States or any state thereof be reorganized under the laws of a jurisdiction other than the United States or any State thereof or (iii) change its chief executive office, principal place of business, or the location of its books and records or move any Collateral to or place any Collateral with an aggregate value of greater than Five Hundred Thousand Dollars ($500,000) (other than Collateral that is in transit or out for repair) in any location that is not then listed on the Schedules, as updated from time to time pursuant to the terms of this Agreement, and/or establish any business location at any location that is not then listed on the Schedules.</w:t>
      </w:r>
    </w:p>
    <w:p>
      <w:pPr>
        <w:spacing w:after="0" w:line="74" w:lineRule="exact"/>
        <w:rPr>
          <w:rFonts w:ascii="Times New Roman" w:cs="Times New Roman" w:eastAsia="Times New Roman" w:hAnsi="Times New Roman"/>
          <w:sz w:val="17"/>
          <w:szCs w:val="17"/>
          <w:color w:val="auto"/>
        </w:rPr>
      </w:pPr>
    </w:p>
    <w:p>
      <w:pPr>
        <w:ind w:left="1220" w:hanging="230"/>
        <w:spacing w:after="0"/>
        <w:tabs>
          <w:tab w:leader="none" w:pos="12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Sections 9.2(c) and 9.2(e):</w:t>
      </w:r>
    </w:p>
    <w:p>
      <w:pPr>
        <w:spacing w:after="0" w:line="113" w:lineRule="exact"/>
        <w:rPr>
          <w:rFonts w:ascii="Times New Roman" w:cs="Times New Roman" w:eastAsia="Times New Roman" w:hAnsi="Times New Roman"/>
          <w:sz w:val="18"/>
          <w:szCs w:val="18"/>
          <w:color w:val="auto"/>
        </w:rPr>
      </w:pPr>
    </w:p>
    <w:p>
      <w:pPr>
        <w:ind w:left="440" w:firstLine="947"/>
        <w:spacing w:after="0" w:line="251" w:lineRule="auto"/>
        <w:tabs>
          <w:tab w:leader="none" w:pos="159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shall deliver to Agent all tangible Chattel Paper and all Instruments and documents (other than any Excluded Perfection Assets or Excluded Property) owned by any Credit Party and constituting part of the Collateral duly endorsed and accompanied by duly executed instruments of transfer or assignment, all in form and substance reasonably satisfactory to Agent. Credit Parties shall provide Agent with “control” (as defined in Article 9 of the UCC) of all electronic Chattel Paper (other than Excluded Perfection Assets) owned by any Credit Party and constituting part of the Collateral by having Agent identified as the assignee on the records pertaining to the single authoritative copy thereof and otherwise complying with the applicable elements of control set forth in the UCC. Credit Parties also shall deliver to Agent all security agreements securing any such Chattel Paper and securing any such Instruments (other than Excluded Perfection Assets and Excluded Property). Credit Parties will mark conspicuously all such Chattel Paper and all such Instruments and documents (other than Excluded Perfection Assets) with a legend, in form and substance satisfactory to Agent, indicating that such Chattel Paper and such instruments and documents are subject to the security interests and Liens in favor of Agent created pursuant to this Agreement and the Security Documents.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19" w:name="page520"/>
    <w:bookmarkEnd w:id="519"/>
    <w:p>
      <w:pPr>
        <w:ind w:left="440" w:firstLine="947"/>
        <w:spacing w:after="0" w:line="252" w:lineRule="auto"/>
        <w:tabs>
          <w:tab w:leader="none" w:pos="164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Credit Parties shall deliver to Agent all letters of credit (except to the extent constituting an Excluded Perfection Asset or Excluded Property) on which any Credit Party is the beneficiary and which give rise to letter of credit rights (other than to the extent consisting of a supporting obligation or that can be perfected by the filing of a UCC financing statement) owned by such Credit Party which constitute part of the Collateral in each case duly endorsed and accompanied by duly executed instruments of transfer or assignment, all in form and substance satisfactory to Agent. Except with respect to Excluded Perfection Assets and Excluded Property, Credit Parties shall take any and all actions as may be necessary, or that Agent may reasonably request, from time to time, to cause Agent to obtain exclusive “control” (as defined in Article 9 of the UCC) of any such letter of credit rights (other than to the extent consisting of a supporting obligation or that can be perfected by the filing of a UCC financing statement) in a manner acceptable to Agent.</w:t>
      </w:r>
    </w:p>
    <w:p>
      <w:pPr>
        <w:spacing w:after="0" w:line="80" w:lineRule="exact"/>
        <w:rPr>
          <w:rFonts w:ascii="Times New Roman" w:cs="Times New Roman" w:eastAsia="Times New Roman" w:hAnsi="Times New Roman"/>
          <w:sz w:val="18"/>
          <w:szCs w:val="18"/>
          <w:color w:val="auto"/>
        </w:rPr>
      </w:pPr>
    </w:p>
    <w:p>
      <w:pPr>
        <w:ind w:left="440" w:right="120" w:firstLine="947"/>
        <w:spacing w:after="0" w:line="253" w:lineRule="auto"/>
        <w:tabs>
          <w:tab w:leader="none" w:pos="169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shall, by delivery of the next quarterly Compliance Certificate, advise Agent upon any Credit Party becoming aware that it has any new commercial tort claim (except to the extent constituting an Excluded Perfection Asset or Excluded Property), which such notice shall include descriptions of the events and circumstances giving rise to such commercial tort claim and the dates such events and circumstances occurred, the potential defendants with respect to such commercial tort claim and any court proceedings that have been instituted with respect to such commercial tort claim, and Credit Parties shall, with respect to any such commercial tort claim, execute and deliver to Agent such documents as Agent shall reasonably request to perfect, preserve or protect the Liens, rights and remedies of Agent with respect to any such commercial tort claim.</w:t>
      </w:r>
    </w:p>
    <w:p>
      <w:pPr>
        <w:spacing w:after="0" w:line="77" w:lineRule="exact"/>
        <w:rPr>
          <w:rFonts w:ascii="Times New Roman" w:cs="Times New Roman" w:eastAsia="Times New Roman" w:hAnsi="Times New Roman"/>
          <w:sz w:val="18"/>
          <w:szCs w:val="18"/>
          <w:color w:val="auto"/>
        </w:rPr>
      </w:pPr>
    </w:p>
    <w:p>
      <w:pPr>
        <w:ind w:left="440" w:right="100" w:firstLine="947"/>
        <w:spacing w:after="0" w:line="251" w:lineRule="auto"/>
        <w:tabs>
          <w:tab w:leader="none" w:pos="16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Agent shall otherwise consent, Credit Parties shall use commercially reasonable efforts to obtain a landlord’s agreement, mortgagee agreement, or bailee agreement, as applicable, from the lessor of each leased property, the mortgagee of owned property or the warehouseman, consignee, bailee at any business location, in each case, located in the United States and (a) which is a Credit Party’s chief executive office or (b) where (i) any portion of the Collateral included in or proposed to be included in the Borrowing Base, or (ii) any portion of the Collateral with a value in excess of Five Hundred Thousand Dollars ($500,000), is located, in each case, which agreement or letter shall be reasonably satisfactory in form and substance to Agent. Credit Parties shall timely and fully pay and perform its obligations under all leases and other agreements with respect to each of the locations specified in the preceding sentence. In no event shall the Credit Parties maintain tangible Collateral (other than Inventory with contract manufacturers and Inventory in transit or out for repair) with a value in excess of Five Hundred Thousand Dollars ($500,000) outside of the United States without Agent’s prior consent in its Permitted Discretion.</w:t>
      </w:r>
    </w:p>
    <w:p>
      <w:pPr>
        <w:spacing w:after="0" w:line="84"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color w:val="auto"/>
        </w:rPr>
      </w:pPr>
    </w:p>
    <w:p>
      <w:pPr>
        <w:ind w:left="440" w:right="20" w:firstLine="947"/>
        <w:spacing w:after="0" w:line="270" w:lineRule="auto"/>
        <w:tabs>
          <w:tab w:leader="none" w:pos="1685"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hereby authorizes Agent to file without the signature of such Credit Party one or more UCC financing statements relating to liens on personal property relating to all or any part of the Collateral, which financing statements may list Agent as the “secured party” and such Credit Party as the “debtor” and which describe and indicate the collateral covered thereby as all or any part of the Collateral under the Financing Documents (including an indication of the collateral covered by any such financing statement as “all assets” of such Borrower now existing or hereafter acquired, or words of similar effect) in such jurisdictions as Agent from time to time determines are appropriate, and to file without the signature of such Credit Party any continuations of or corrective amendments to any such financing statements, in any such case in order for Agent to perfect, preserve or protect the Liens, rights and remedies of Agent with respect to the Collateral.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20" w:name="page521"/>
    <w:bookmarkEnd w:id="520"/>
    <w:p>
      <w:pPr>
        <w:ind w:left="440" w:right="20" w:firstLine="947"/>
        <w:spacing w:after="0" w:line="255" w:lineRule="auto"/>
        <w:tabs>
          <w:tab w:leader="none" w:pos="173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of the Closing Date, no Credit Party holds, and after the Closing Date Credit Parties shall by delivery of the next quarterly Compliance Certificate, notify Agent in writing upon creation or acquisition by any Credit Party of, any Collateral which constitutes a direct claim against the federal government of the United States or any instrumentality or agency thereof, the assignment of which claim is restricted by the federal Assignment of Claims Act. Upon the reasonable request of Agent, Credit Parties shall take such steps as may be necessary or desirable, to comply with the federal Assignment of Claims Act with respect to any such claim.</w:t>
      </w:r>
    </w:p>
    <w:p>
      <w:pPr>
        <w:spacing w:after="0" w:line="77" w:lineRule="exact"/>
        <w:rPr>
          <w:rFonts w:ascii="Times New Roman" w:cs="Times New Roman" w:eastAsia="Times New Roman" w:hAnsi="Times New Roman"/>
          <w:sz w:val="18"/>
          <w:szCs w:val="18"/>
          <w:color w:val="auto"/>
        </w:rPr>
      </w:pPr>
    </w:p>
    <w:p>
      <w:pPr>
        <w:ind w:left="440" w:right="540" w:firstLine="947"/>
        <w:spacing w:after="0" w:line="308" w:lineRule="auto"/>
        <w:tabs>
          <w:tab w:leader="none" w:pos="1784"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Parties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10 - EVENTS OF DEFAULT</w:t>
      </w:r>
    </w:p>
    <w:p>
      <w:pPr>
        <w:spacing w:after="0" w:line="225" w:lineRule="exact"/>
        <w:rPr>
          <w:sz w:val="20"/>
          <w:szCs w:val="20"/>
          <w:color w:val="auto"/>
        </w:rPr>
      </w:pPr>
    </w:p>
    <w:p>
      <w:pPr>
        <w:ind w:right="54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For purposes of the Financing Documents, the occurrence of any of the following conditions and/or events, whether voluntary or involuntary, by operation of law or otherwise,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right="240" w:firstLine="990"/>
        <w:spacing w:after="0" w:line="255" w:lineRule="auto"/>
        <w:tabs>
          <w:tab w:leader="none" w:pos="1225"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Credit Party shall fail to pay when due any principal, interest, premium or fee under any Financing Document or any other amount payable under any Financing Document, and, with respect to any such payment other than principal or interest, such failure shall continue for three (3) consecutive Business Days, or (ii) there shall occur any default in the performance of or compliance with any of the following sections or articles of this Agreement: Section 2.11, Section 4.1, Section 4.2(b), Section 4.4(c), Section 4.6, Section 4.9, Section 4.11, Section 4.16, Section 4.17, Section 4.18(c) or (d), Article 5, Article 6, or Section 7.4;</w:t>
      </w:r>
    </w:p>
    <w:p>
      <w:pPr>
        <w:spacing w:after="0" w:line="77" w:lineRule="exact"/>
        <w:rPr>
          <w:rFonts w:ascii="Times New Roman" w:cs="Times New Roman" w:eastAsia="Times New Roman" w:hAnsi="Times New Roman"/>
          <w:sz w:val="18"/>
          <w:szCs w:val="18"/>
          <w:color w:val="auto"/>
        </w:rPr>
      </w:pPr>
    </w:p>
    <w:p>
      <w:pPr>
        <w:ind w:right="100" w:firstLine="990"/>
        <w:spacing w:after="0" w:line="268" w:lineRule="auto"/>
        <w:tabs>
          <w:tab w:leader="none" w:pos="1235"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thirty (30) days after the earlier of (i) receipt by Borrower Representative of notice from Agent or Required Lenders of such default, or</w:t>
      </w:r>
    </w:p>
    <w:p>
      <w:pPr>
        <w:spacing w:after="0" w:line="1" w:lineRule="exact"/>
        <w:rPr>
          <w:rFonts w:ascii="Times New Roman" w:cs="Times New Roman" w:eastAsia="Times New Roman" w:hAnsi="Times New Roman"/>
          <w:sz w:val="17"/>
          <w:szCs w:val="17"/>
          <w:color w:val="auto"/>
        </w:rPr>
      </w:pPr>
    </w:p>
    <w:p>
      <w:pPr>
        <w:ind w:firstLine="7"/>
        <w:spacing w:after="0" w:line="249" w:lineRule="auto"/>
        <w:tabs>
          <w:tab w:leader="none" w:pos="26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knowledge of any Responsible Officer of the Borrower or any other Credit Party of such default; provided, however, that if the default cannot by its nature be cured within the thirty (30) day period or cannot after diligent attempts by Borrowers be cured within such thirty (30) day period, and such default is likely to be cured within a reasonable time (not to exceed the end of the ten (10) day additional period), then Borrowers shall have an additional period (which period shall not in any case exceed ten (10) days) to attempt to cure such default, and within such additional ten (10) day period the failure of Borrowers to cure the default shall not be deemed an Event of Default (but no Loans shall be made during such period until such default is cured);</w:t>
      </w:r>
    </w:p>
    <w:p>
      <w:pPr>
        <w:spacing w:after="0" w:line="83" w:lineRule="exact"/>
        <w:rPr>
          <w:rFonts w:ascii="Times New Roman" w:cs="Times New Roman" w:eastAsia="Times New Roman" w:hAnsi="Times New Roman"/>
          <w:sz w:val="18"/>
          <w:szCs w:val="18"/>
          <w:color w:val="auto"/>
        </w:rPr>
      </w:pPr>
    </w:p>
    <w:p>
      <w:pPr>
        <w:ind w:right="60" w:firstLine="990"/>
        <w:spacing w:after="0" w:line="263" w:lineRule="auto"/>
        <w:tabs>
          <w:tab w:leader="none" w:pos="1225"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representation, warranty, certification or statement made by any Credit Party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21" w:name="page522"/>
    <w:bookmarkEnd w:id="521"/>
    <w:p>
      <w:pPr>
        <w:ind w:right="20" w:firstLine="990"/>
        <w:spacing w:after="0" w:line="252" w:lineRule="auto"/>
        <w:tabs>
          <w:tab w:leader="none" w:pos="123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failure of any Credit Party to pay when due or within any applicable grace or cure period any principal, interest or other amount on Debt (other than the Loans), or the occurrence of any breach, default, condition or event with respect to any Debt (other than the Loans), if the effect of such failure or occurrence is to cause or to permit the holder or holders of any such Debt, or to cause, Debt or other liabilities having an individual principal amount in excess of Five Hundred Thousand Dollars ($500,000) or having an aggregate principal amount in excess of One Million Dollars ($1,000,000) to become or be declared due prior to its stated maturity, or (ii) without limiting the foregoing, the occurrence of any breach or default under any terms or provisions of any Subordinated Debt Document or under any agreement subordinating the Subordinated Debt to all or any portion of the Obligations or the occurrence of any event requiring (or that would allow the holders thereof to require) the prepayment or mandatory redemption of any Subordinated Debt;</w:t>
      </w:r>
    </w:p>
    <w:p>
      <w:pPr>
        <w:spacing w:after="0" w:line="187" w:lineRule="exact"/>
        <w:rPr>
          <w:rFonts w:ascii="Times New Roman" w:cs="Times New Roman" w:eastAsia="Times New Roman" w:hAnsi="Times New Roman"/>
          <w:sz w:val="18"/>
          <w:szCs w:val="18"/>
          <w:color w:val="auto"/>
        </w:rPr>
      </w:pPr>
    </w:p>
    <w:p>
      <w:pPr>
        <w:ind w:firstLine="990"/>
        <w:spacing w:after="0" w:line="254" w:lineRule="auto"/>
        <w:tabs>
          <w:tab w:leader="none" w:pos="122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or any Subsidiary of a Credit Party shall commence a voluntary case or other proceeding seeking liquidation, reorganization or other relief with respect to itself or its debts under any bankruptcy, insolvency or other similar law or any analogous procedure or step is taken in any other jurisdiction)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the foregoing;</w:t>
      </w:r>
    </w:p>
    <w:p>
      <w:pPr>
        <w:spacing w:after="0" w:line="183" w:lineRule="exact"/>
        <w:rPr>
          <w:rFonts w:ascii="Times New Roman" w:cs="Times New Roman" w:eastAsia="Times New Roman" w:hAnsi="Times New Roman"/>
          <w:sz w:val="18"/>
          <w:szCs w:val="18"/>
          <w:color w:val="auto"/>
        </w:rPr>
      </w:pPr>
    </w:p>
    <w:p>
      <w:pPr>
        <w:ind w:right="20" w:firstLine="990"/>
        <w:spacing w:after="0" w:line="269" w:lineRule="auto"/>
        <w:tabs>
          <w:tab w:leader="none" w:pos="1205"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involuntary case or other proceeding shall be commenced against any Credit Party or any Subsidiary of a Credit Party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sixty (60) days; or an order for relief shall be entered against any Credit Party or any Subsidiary of a Credit Party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spacing w:after="0" w:line="173" w:lineRule="exact"/>
        <w:rPr>
          <w:rFonts w:ascii="Times New Roman" w:cs="Times New Roman" w:eastAsia="Times New Roman" w:hAnsi="Times New Roman"/>
          <w:sz w:val="17"/>
          <w:szCs w:val="17"/>
          <w:color w:val="auto"/>
        </w:rPr>
      </w:pPr>
    </w:p>
    <w:p>
      <w:pPr>
        <w:ind w:right="100" w:firstLine="990"/>
        <w:spacing w:after="0" w:line="253" w:lineRule="auto"/>
        <w:tabs>
          <w:tab w:leader="none" w:pos="123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One Million Dollars ($1,000,000), (ii) a contribution failure occurs with respect to any Pension Plan sufficient to give rise to a Lien under Section 303(k) of ERISA or Section 430(k) of the Code or an event occurs that could reasonably be expected to give rise to a Lien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One Million Dollars ($1,000,000);</w:t>
      </w:r>
    </w:p>
    <w:p>
      <w:pPr>
        <w:spacing w:after="0" w:line="184" w:lineRule="exact"/>
        <w:rPr>
          <w:rFonts w:ascii="Times New Roman" w:cs="Times New Roman" w:eastAsia="Times New Roman" w:hAnsi="Times New Roman"/>
          <w:sz w:val="18"/>
          <w:szCs w:val="18"/>
          <w:color w:val="auto"/>
        </w:rPr>
      </w:pPr>
    </w:p>
    <w:p>
      <w:pPr>
        <w:jc w:val="both"/>
        <w:ind w:right="280" w:firstLine="990"/>
        <w:spacing w:after="0" w:line="263" w:lineRule="auto"/>
        <w:tabs>
          <w:tab w:leader="none" w:pos="123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entered against any Credit Party or any Subsidiary thereof (i) one or more judgments or orders for the payment of money or fines or penalties issued by any Governmental Authority involving in the aggregate a liability (not fully covered or paid by insurance as to which the relevant insurance company has acknowledged coverage) of One Million Dollars ($1,000,000) or more,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22" w:name="page523"/>
    <w:bookmarkEnd w:id="522"/>
    <w:p>
      <w:pPr>
        <w:ind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or (ii) one or more non-monetary judgments that have, or would reasonably be expected to have, individually or in the aggregate, a Material Adverse Effect and, in either case (i) or (ii), (A) enforcement proceedings are commenced by any creditor or any such Governmental Authority, as applicable, upon such judgment, order, penalty or fine, as applicable, or (B) such judgment, order, penalty or fine, as applicable, shall not have been vacated, discharged, stayed or bonded, as applicable, pending appeal within thirty (30) days from the entry or issuance thereof;</w:t>
      </w:r>
    </w:p>
    <w:p>
      <w:pPr>
        <w:spacing w:after="0" w:line="180" w:lineRule="exact"/>
        <w:rPr>
          <w:sz w:val="20"/>
          <w:szCs w:val="20"/>
          <w:color w:val="auto"/>
        </w:rPr>
      </w:pPr>
    </w:p>
    <w:p>
      <w:pPr>
        <w:ind w:firstLine="990"/>
        <w:spacing w:after="0" w:line="258" w:lineRule="auto"/>
        <w:tabs>
          <w:tab w:leader="none" w:pos="119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solely as a result of any action or inaction of Agent or any Lenders (provided that such action or inaction is not caused by a Credit Party’s failure to comply with the terms of the Financing Documents), any Lien created by any of the Security Documents shall at any time fail to constitute a valid and perfected Lien on all of the Collateral purported to be encumbered thereby, subject to no prior or equal Lien except Permitted Liens, or any Credit Party shall so assert;</w:t>
      </w:r>
    </w:p>
    <w:p>
      <w:pPr>
        <w:spacing w:after="0" w:line="179"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any Governmental Authority of material criminal proceedings against any Credit Party;</w:t>
      </w:r>
    </w:p>
    <w:p>
      <w:pPr>
        <w:spacing w:after="0" w:line="220" w:lineRule="exact"/>
        <w:rPr>
          <w:rFonts w:ascii="Times New Roman" w:cs="Times New Roman" w:eastAsia="Times New Roman" w:hAnsi="Times New Roman"/>
          <w:sz w:val="18"/>
          <w:szCs w:val="18"/>
          <w:color w:val="auto"/>
        </w:rPr>
      </w:pPr>
    </w:p>
    <w:p>
      <w:pPr>
        <w:ind w:right="580" w:firstLine="990"/>
        <w:spacing w:after="0" w:line="278" w:lineRule="auto"/>
        <w:tabs>
          <w:tab w:leader="none" w:pos="123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or event of default occurs under any other Financing Document and any applicable grace period under such Financing Document has expired;</w:t>
      </w:r>
    </w:p>
    <w:p>
      <w:pPr>
        <w:spacing w:after="0" w:line="162" w:lineRule="exact"/>
        <w:rPr>
          <w:rFonts w:ascii="Times New Roman" w:cs="Times New Roman" w:eastAsia="Times New Roman" w:hAnsi="Times New Roman"/>
          <w:sz w:val="18"/>
          <w:szCs w:val="18"/>
          <w:color w:val="auto"/>
        </w:rPr>
      </w:pPr>
    </w:p>
    <w:p>
      <w:pPr>
        <w:ind w:firstLine="990"/>
        <w:spacing w:after="0" w:line="263" w:lineRule="auto"/>
        <w:tabs>
          <w:tab w:leader="none" w:pos="119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is or becomes an entity whose equity is registered with the SEC, and/or is publicly traded on and/or registered with a public securities exchange, such Credit Party’s equity fails to remain registered with the SEC in good standing, and/or such equity fails to remain publicly traded on and registered with a public securities exchange;</w:t>
      </w:r>
    </w:p>
    <w:p>
      <w:pPr>
        <w:spacing w:after="0" w:line="175"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w:t>
      </w:r>
    </w:p>
    <w:p>
      <w:pPr>
        <w:spacing w:after="0" w:line="220" w:lineRule="exact"/>
        <w:rPr>
          <w:rFonts w:ascii="Times New Roman" w:cs="Times New Roman" w:eastAsia="Times New Roman" w:hAnsi="Times New Roman"/>
          <w:sz w:val="18"/>
          <w:szCs w:val="18"/>
          <w:color w:val="auto"/>
        </w:rPr>
      </w:pPr>
    </w:p>
    <w:p>
      <w:pPr>
        <w:ind w:right="300" w:firstLine="990"/>
        <w:spacing w:after="0" w:line="278" w:lineRule="auto"/>
        <w:tabs>
          <w:tab w:leader="none" w:pos="123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(i) the loss or termination of a Material Contract, or (ii) any amendment, modification or supplement to a Material Contract, in each case of this clause (n), that could reasonably be expected to result in a Material Adverse Effect;</w:t>
      </w:r>
    </w:p>
    <w:p>
      <w:pPr>
        <w:spacing w:after="0" w:line="16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or</w:t>
      </w:r>
    </w:p>
    <w:p>
      <w:pPr>
        <w:spacing w:after="0" w:line="220" w:lineRule="exact"/>
        <w:rPr>
          <w:rFonts w:ascii="Times New Roman" w:cs="Times New Roman" w:eastAsia="Times New Roman" w:hAnsi="Times New Roman"/>
          <w:sz w:val="18"/>
          <w:szCs w:val="18"/>
          <w:color w:val="auto"/>
        </w:rPr>
      </w:pPr>
    </w:p>
    <w:p>
      <w:pPr>
        <w:ind w:right="20" w:firstLine="990"/>
        <w:spacing w:after="0" w:line="263" w:lineRule="auto"/>
        <w:tabs>
          <w:tab w:leader="none" w:pos="123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Financing Documents shall for any reason fail to constitute the valid and binding agreement of any party thereto, or any Credit Party shall so assert, in each case, unless such Financing Document terminates pursuant to the terms and conditions thereof without any breach or default thereunder by any Credit Party thereto.</w:t>
      </w:r>
    </w:p>
    <w:p>
      <w:pPr>
        <w:spacing w:after="0" w:line="175"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All cure periods provided for in this Section 10.1 shall run concurrently with any cure period provided for in any applicable Financing Documents under which the default occurred.</w:t>
      </w:r>
    </w:p>
    <w:p>
      <w:pPr>
        <w:spacing w:after="0" w:line="162" w:lineRule="exact"/>
        <w:rPr>
          <w:sz w:val="20"/>
          <w:szCs w:val="20"/>
          <w:color w:val="auto"/>
        </w:rPr>
      </w:pPr>
    </w:p>
    <w:p>
      <w:pPr>
        <w:ind w:right="1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Acceleration and Suspension or Termination of Revolving Loan Commitment and Term Loan Commitment</w:t>
      </w:r>
      <w:r>
        <w:rPr>
          <w:rFonts w:ascii="Times New Roman" w:cs="Times New Roman" w:eastAsia="Times New Roman" w:hAnsi="Times New Roman"/>
          <w:sz w:val="18"/>
          <w:szCs w:val="18"/>
          <w:color w:val="auto"/>
        </w:rPr>
        <w:t xml:space="preserve">. Upon the occurrence and during the continuance of an Event of Default, Agent may, and shall if requested by Required Lenders, (a) by notice to Borrower Representative suspend or terminate the Revolving Loan Commitment and/or Term Loan Commitment and the obligations of Agent, Term Loan Servicer and the Lenders with respect thereto, in whole or in part (and, if in part, each Lender’s Revolving Loan Commitment and/or Term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Credit Party and Credit Parties will pay the same;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any of the Events of Default specified in Section 10.1(e) or 10.1(f) above, without any notice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23" w:name="page524"/>
    <w:bookmarkEnd w:id="523"/>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any Credit Party or any other act by Agent or the Lenders, the Revolving Loan Commitment and Term Loan Commitment and the obligations of Agent, Term Loan Servicer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Credit Party and Credit Parties will pay the same.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UCC Remedies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58" w:lineRule="auto"/>
        <w:tabs>
          <w:tab w:leader="none" w:pos="1225"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and during the continuance of an Event of Default under this Agreement or the other Financing Documents, Agent, in 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spacing w:after="0" w:line="72"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take possession of, send notices regarding, and collect directly the Collateral, with or without judicial process;</w:t>
      </w:r>
    </w:p>
    <w:p>
      <w:pPr>
        <w:spacing w:after="0" w:line="113" w:lineRule="exact"/>
        <w:rPr>
          <w:rFonts w:ascii="Times New Roman" w:cs="Times New Roman" w:eastAsia="Times New Roman" w:hAnsi="Times New Roman"/>
          <w:sz w:val="18"/>
          <w:szCs w:val="18"/>
          <w:color w:val="auto"/>
        </w:rPr>
      </w:pPr>
    </w:p>
    <w:p>
      <w:pPr>
        <w:ind w:left="440" w:right="320" w:firstLine="947"/>
        <w:spacing w:after="0" w:line="274" w:lineRule="auto"/>
        <w:tabs>
          <w:tab w:leader="none" w:pos="1645" w:val="left"/>
        </w:tabs>
        <w:numPr>
          <w:ilvl w:val="2"/>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(by its own means or with judicial assistance) enter any of Credit Parties’ premises and take possession of the Collateral, or render it unusable, or to render it usable or saleable, or dispose of the Collateral on such premises in compliance with subsection</w:t>
      </w:r>
    </w:p>
    <w:p>
      <w:pPr>
        <w:ind w:left="440" w:right="140" w:firstLine="4"/>
        <w:spacing w:after="0" w:line="249" w:lineRule="auto"/>
        <w:tabs>
          <w:tab w:leader="none" w:pos="75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to take possession of Credit Parties’ original books and records, to obtain access to Credit Parties’ data processing equipment, computer hardware and software relating to the Collateral and to use all of the foregoing and the information contained therein in any manner Agent deems appropriate, without any liability for rent, storage, utilities, or other sums, and Credit Parties shall not resist or interfere with such action (if Credit Parties’ books and records are prepared or maintained by an accounting service, contractor or other third party agent, Credit Parties hereby irrevocably authorize such service, contractor or other agent, upon notice by Agent to such Person that an Event of Default has occurred and is continuing, to deliver to Agent or its designees such books and records, and to follow Agent’s instructions with respect to further services to be rendered);</w:t>
      </w:r>
    </w:p>
    <w:p>
      <w:pPr>
        <w:spacing w:after="0" w:line="82" w:lineRule="exact"/>
        <w:rPr>
          <w:rFonts w:ascii="Times New Roman" w:cs="Times New Roman" w:eastAsia="Times New Roman" w:hAnsi="Times New Roman"/>
          <w:sz w:val="18"/>
          <w:szCs w:val="18"/>
          <w:color w:val="auto"/>
        </w:rPr>
      </w:pPr>
    </w:p>
    <w:p>
      <w:pPr>
        <w:ind w:left="440" w:right="100" w:firstLine="947"/>
        <w:spacing w:after="0" w:line="278" w:lineRule="auto"/>
        <w:tabs>
          <w:tab w:leader="none" w:pos="1695"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Credit Parties at Credit Parties’ expense to assemble all or any part of the Collateral and make it available to Agent at any place designated by Lender;</w:t>
      </w:r>
    </w:p>
    <w:p>
      <w:pPr>
        <w:spacing w:after="0" w:line="55" w:lineRule="exact"/>
        <w:rPr>
          <w:rFonts w:ascii="Times New Roman" w:cs="Times New Roman" w:eastAsia="Times New Roman" w:hAnsi="Times New Roman"/>
          <w:sz w:val="18"/>
          <w:szCs w:val="18"/>
          <w:color w:val="auto"/>
        </w:rPr>
      </w:pPr>
    </w:p>
    <w:p>
      <w:pPr>
        <w:ind w:left="440" w:right="120" w:firstLine="947"/>
        <w:spacing w:after="0" w:line="278" w:lineRule="auto"/>
        <w:tabs>
          <w:tab w:leader="none" w:pos="1685"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notify postal authorities to change the address for delivery of Credit Parties’ mail to an address designated by Agent and to receive, open and dispose of all mail addressed to any Credit Party; and/or</w:t>
      </w:r>
    </w:p>
    <w:p>
      <w:pPr>
        <w:spacing w:after="0" w:line="55" w:lineRule="exact"/>
        <w:rPr>
          <w:rFonts w:ascii="Times New Roman" w:cs="Times New Roman" w:eastAsia="Times New Roman" w:hAnsi="Times New Roman"/>
          <w:sz w:val="18"/>
          <w:szCs w:val="18"/>
          <w:color w:val="auto"/>
        </w:rPr>
      </w:pPr>
    </w:p>
    <w:p>
      <w:pPr>
        <w:ind w:left="440" w:firstLine="947"/>
        <w:spacing w:after="0" w:line="253" w:lineRule="auto"/>
        <w:tabs>
          <w:tab w:leader="none" w:pos="1635"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enforce Credit Parties’ rights against Account Debtors and other obligors, including, without limitation, (i) the right to collect Accounts directly in Agent’s own name (as agent for Lenders) and to charge the collection costs and expenses, including documented out-of-pocket attorneys’ fees, to Credit Parties, and (ii) the right, in the name of Agent or any designee of Agent or Credit Parties, to verify the validity, amount or any other matter relating to any Accounts by mail, telephone, telegraph or otherwise, including, without limitation, verification of Credit Parties’ compliance with applicable Laws. Credit Parties shall cooperate fully with Agent in an effort to facilitate and promptly conclude such verification process. Such verification may include contacts between Agent and applicable federal, state and local regulatory authorities having jurisdiction over the Credit Parties’ affairs, all of which contacts Credit Parties hereby irrevocably authorize.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24" w:name="page525"/>
    <w:bookmarkEnd w:id="524"/>
    <w:p>
      <w:pPr>
        <w:ind w:right="100" w:firstLine="990"/>
        <w:spacing w:after="0" w:line="250" w:lineRule="auto"/>
        <w:tabs>
          <w:tab w:leader="none" w:pos="123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Each Credit Party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without prior notice to Credit Parties. At any sale or disposition of Collateral, Agent may (to the extent permitted by applicable law) purchase all or any part of the Collateral, free from any right of redemption by Credit Parties, which right is hereby waived and released. Each Credit Party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 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Credit Parties will be credited only with payments actually made by the purchaser, received by Agent and applied to the indebtedness of the purchaser. In the event the purchaser fails to pay for the Collateral, Agent may resell the Collateral and Credit Parties shall be credited with the proceeds of the sale. Credit Parties shall remain liable for any deficiency if the proceeds of any sale or disposition of the Collateral are insufficient to pay all Obligations.</w:t>
      </w:r>
    </w:p>
    <w:p>
      <w:pPr>
        <w:spacing w:after="0" w:line="191" w:lineRule="exact"/>
        <w:rPr>
          <w:rFonts w:ascii="Times New Roman" w:cs="Times New Roman" w:eastAsia="Times New Roman" w:hAnsi="Times New Roman"/>
          <w:sz w:val="18"/>
          <w:szCs w:val="18"/>
          <w:color w:val="auto"/>
        </w:rPr>
      </w:pPr>
    </w:p>
    <w:p>
      <w:pPr>
        <w:ind w:firstLine="990"/>
        <w:spacing w:after="0" w:line="251" w:lineRule="auto"/>
        <w:tabs>
          <w:tab w:leader="none" w:pos="122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restricting the generality of the foregoing and for the purposes aforesaid, each Credit Party hereby appoints and constitutes Agent its lawful attorney-in-fact with full power of substitution in the Collateral, upon the occurrence and during the continuance of an Event of Default, solely for the purposes of carrying out the terms of the Financing Documents or the Agent and Lenders rights or remedies thereunder, to (i) use unadvanced funds remaining under this Agreement or which may be reserved, escrowed or set aside for any purposes hereunder at any time, or to advance funds in excess of the face amount of the Notes, (ii) pay, settle or compromise all existing bills and claims, which may be Liens or security interests, or to avoid such bills and claims becoming Liens against the Collateral, (iii) execute all applications and certificates in the name of such Credit Party and to prosecute and defend all actions or proceedings in connection with the Collateral, and (iv) do any and every act which such Credit Party might do in its own behalf; it being understood and agreed that this power of attorney in this subsection (c) shall be a power coupled with an interest and cannot be revoked, but shall be terminated upon payment in full of all Obligations (other than inchoate indemnity obligations for which no claim has yet been made) and the termination of the Revolving Loan Commitments and Term Loan Commitments.</w:t>
      </w:r>
    </w:p>
    <w:p>
      <w:pPr>
        <w:spacing w:after="0" w:line="189" w:lineRule="exact"/>
        <w:rPr>
          <w:rFonts w:ascii="Times New Roman" w:cs="Times New Roman" w:eastAsia="Times New Roman" w:hAnsi="Times New Roman"/>
          <w:sz w:val="18"/>
          <w:szCs w:val="18"/>
          <w:color w:val="auto"/>
        </w:rPr>
      </w:pPr>
    </w:p>
    <w:p>
      <w:pPr>
        <w:ind w:right="140" w:firstLine="990"/>
        <w:spacing w:after="0" w:line="253" w:lineRule="auto"/>
        <w:tabs>
          <w:tab w:leader="none" w:pos="123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subject to any right of any third parties and/or any agreement between any Borrower and any third party to the extent not granted or entered into in contravention of the terms of this Agreement, Agent and each Lender is hereby granted a non-exclusive, royalty-free license or other right to use, upon the occurrence and during the continuance of an Event of Default, without charge, Credit Parties’ labels, mask works, rights of use of any name, any other Intellectual Property and advertising matter, and any similar property as it pertains to the Collateral, in completing production of, advertising for sale, and selling any Collateral and, in connection with Agent’s exercise of its rights under this Article, Credit Parties’ rights under all licenses (whether as licensor or licensee) and all franchise agreements inure to Agent’s and each Lender’s benefit, subject to any rights of third party licensors or licensees, as applicable.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25" w:name="page526"/>
    <w:bookmarkEnd w:id="525"/>
    <w:p>
      <w:pPr>
        <w:ind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Protective Payments</w:t>
      </w:r>
      <w:r>
        <w:rPr>
          <w:rFonts w:ascii="Times New Roman" w:cs="Times New Roman" w:eastAsia="Times New Roman" w:hAnsi="Times New Roman"/>
          <w:sz w:val="18"/>
          <w:szCs w:val="18"/>
          <w:color w:val="auto"/>
        </w:rPr>
        <w:t>. At any time Agent reasonably believes an Event of Default has occurred and is continuing, if any Credit Party fails to pay or perform any covenant or obligation under this Agreement or any other Financing Document, Agent may pay or perform such covenant or obligation, and all amounts so paid by Agent are Protective Advances and immediately due and payable, constituting principal and bearing interest at the then highest applicable rate for the Loans hereunder, and secured by the Collateral. No such payments or performance by Agent shall be construed as an agreement to make similar payments or performance in the future or constitute Agent’s waiver of any Event of Default. Without limiting the foregoing, each Lender and Borrower hereby authorizes Agent, without the necessity of any notice or further consent from any Lender, from time to time after the occurrence and during the continuance of an Event of Default, to make any Protective Advance with respect to any Collateral or the Financing Documents which may be necessary to protect the priority, validity or enforceability of any lien on, and security interest in, any Collateral and the instruments evidencing or securing the obligations of Borrower under the Financing Documents. Credit Parties agree to pay on demand all Protective Advances. The Lenders must reimburse Agent for any Protective Advances (in accordance with their Pro Rata Shares) to the extent not reimbursed by Credit Parties.</w:t>
      </w:r>
    </w:p>
    <w:p>
      <w:pPr>
        <w:spacing w:after="0" w:line="187"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Default Rate of Interest</w:t>
      </w:r>
      <w:r>
        <w:rPr>
          <w:rFonts w:ascii="Times New Roman" w:cs="Times New Roman" w:eastAsia="Times New Roman" w:hAnsi="Times New Roman"/>
          <w:sz w:val="18"/>
          <w:szCs w:val="18"/>
          <w:color w:val="auto"/>
        </w:rPr>
        <w:t xml:space="preserve">. At the election of Agent or Required Lenders, after the occurrence of an Event of Default and for so long as it continues, the Loans and other Obligations shall bear interest at rates that are two percent (2.0%) per annum in excess of the rates otherwise payable under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any Event of Default specified in Section 10.1(e) or 10.1(f) above, such default rates shall apply immediately and automatically without the need for any election or action of any kind on the part of Agent or any Lender.</w:t>
      </w:r>
    </w:p>
    <w:p>
      <w:pPr>
        <w:spacing w:after="0" w:line="180" w:lineRule="exact"/>
        <w:rPr>
          <w:sz w:val="20"/>
          <w:szCs w:val="20"/>
          <w:color w:val="auto"/>
        </w:rPr>
      </w:pPr>
    </w:p>
    <w:p>
      <w:pPr>
        <w:ind w:right="40" w:firstLine="436"/>
        <w:spacing w:after="0" w:line="268" w:lineRule="auto"/>
        <w:rPr>
          <w:sz w:val="20"/>
          <w:szCs w:val="20"/>
          <w:color w:val="auto"/>
        </w:rPr>
      </w:pPr>
      <w:r>
        <w:rPr>
          <w:rFonts w:ascii="Times New Roman" w:cs="Times New Roman" w:eastAsia="Times New Roman" w:hAnsi="Times New Roman"/>
          <w:sz w:val="17"/>
          <w:szCs w:val="17"/>
          <w:color w:val="auto"/>
        </w:rPr>
        <w:t xml:space="preserve">Section 10.6 </w:t>
      </w:r>
      <w:r>
        <w:rPr>
          <w:rFonts w:ascii="Times New Roman" w:cs="Times New Roman" w:eastAsia="Times New Roman" w:hAnsi="Times New Roman"/>
          <w:sz w:val="17"/>
          <w:szCs w:val="17"/>
          <w:u w:val="single" w:color="auto"/>
          <w:color w:val="auto"/>
        </w:rPr>
        <w:t>Setoff Rights</w:t>
      </w:r>
      <w:r>
        <w:rPr>
          <w:rFonts w:ascii="Times New Roman" w:cs="Times New Roman" w:eastAsia="Times New Roman" w:hAnsi="Times New Roman"/>
          <w:sz w:val="17"/>
          <w:szCs w:val="17"/>
          <w:color w:val="auto"/>
        </w:rPr>
        <w:t>. During the continuance of any Event of Default, each Lender is hereby authorized by each Credit Party at any time or from time to time, with reasonably prompt subsequent notice to such Credit Party (any prior or contemporaneous notice being hereby expressly waived) to set off and to appropriate and to apply any and all (a) balances held by such Lender or any of such Lender’s Affiliates at any of its offices for the account of such Credit Party or any of its Subsidiaries (regardless of whether such balances are then due to such Credit Party or its Subsidiaries), and</w:t>
      </w:r>
    </w:p>
    <w:p>
      <w:pPr>
        <w:spacing w:after="0" w:line="2" w:lineRule="exact"/>
        <w:rPr>
          <w:sz w:val="20"/>
          <w:szCs w:val="20"/>
          <w:color w:val="auto"/>
        </w:rPr>
      </w:pPr>
    </w:p>
    <w:p>
      <w:pPr>
        <w:ind w:right="60" w:firstLine="7"/>
        <w:spacing w:after="0" w:line="249" w:lineRule="auto"/>
        <w:tabs>
          <w:tab w:leader="none" w:pos="252"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 at any time held or owing by such Lender to or for the credit or for the account of such Credit Party or any of its Subsidiaries, against and on account of any of the Obligations (other than inchoate indemnification obligations for which no claim has yet been made);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Credit Party agrees, to the fullest extent permitted by law, that any Lender and any of such Lender’s Affiliates may exercise its right to set off with respect to the Obligations as provided in this Section 10.6.</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firstLine="990"/>
        <w:spacing w:after="0" w:line="254" w:lineRule="auto"/>
        <w:tabs>
          <w:tab w:leader="none" w:pos="122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upon the occurrence and during the continuance of an Event of Default, each Credit Party irrevocably waives the right to direct the application of any and all payments at any time or times thereafter received by Agent or Term Loan Servicer from or on behalf of such Borrower or any Guarantor of all or any part of the Obligations, and, as between Credit Parties on the one hand and Agent, Term Loan Servicer and Lenders on the other, Agent shall have the continuing and exclusive right to apply and to reapply any and all payments received by Agent or Term Loan Servicer against the Obligations in such manner as Agent may deem advisable notwithstanding any previous application by Agent.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26" w:name="page527"/>
    <w:bookmarkEnd w:id="526"/>
    <w:p>
      <w:pPr>
        <w:ind w:right="380" w:firstLine="990"/>
        <w:spacing w:after="0" w:line="258" w:lineRule="auto"/>
        <w:tabs>
          <w:tab w:leader="none" w:pos="123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Following the occurrence and during the continuance of an Event of Default, but absent the occurrence and continuance of an Acceleration Event, Agent and Term Loan Servicer, as applicable, shall apply any and all payments received by Agent or Term Loan Servicer (as applicable) in respect of the Obligations, and any and all proceeds of Collateral received by Agent or Term Loan Servicer, in such order as Agent or Term Loan Servicer, as applicable, may from time to time elect.</w:t>
      </w:r>
    </w:p>
    <w:p>
      <w:pPr>
        <w:spacing w:after="0" w:line="179" w:lineRule="exact"/>
        <w:rPr>
          <w:rFonts w:ascii="Times New Roman" w:cs="Times New Roman" w:eastAsia="Times New Roman" w:hAnsi="Times New Roman"/>
          <w:sz w:val="18"/>
          <w:szCs w:val="18"/>
          <w:color w:val="auto"/>
        </w:rPr>
      </w:pPr>
    </w:p>
    <w:p>
      <w:pPr>
        <w:ind w:right="80" w:firstLine="990"/>
        <w:spacing w:after="0" w:line="250" w:lineRule="auto"/>
        <w:tabs>
          <w:tab w:leader="none" w:pos="122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if an Acceleration Event shall have occurred, and so long as it continues, Agent or Term Loan Servicer, as applicable, shall apply any and all payments received by Agent or Term Loan Servicer, as applicable, in respect of the Obligations, and any and all proceeds of Collateral received by Agent or Term Loan Servicer, in the following order: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all fees, costs, indemnities, liabilities, obligations and expenses incurred by or owing to Agent or Term Loan Servicer with respect to this Agreement, the other Financing Documents or the Collateral;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all fees, costs, indemnities, liabilities, obligations and expenses incurred by or owing to any Lender with respect to this Agreement, the other Financing Documents or the Collateral;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accrued and unpaid interest on the Obligations (including any interest which, but for the provisions of the Bankruptcy Code, would have accrued on such amounts);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principal amount of the Obligations outstanding; and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any other indebtedness or obligations of Credit Parties owing to Agent, Term Loan Servicer or any Lender under the Financing Documents. Any balance remaining shall be delivered to Credit Parties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40" w:hanging="250"/>
        <w:spacing w:after="0"/>
        <w:tabs>
          <w:tab w:leader="none" w:pos="124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in this Agreement and to the fullest extent permitted by applicable law, each Credit Party waives:</w:t>
      </w:r>
    </w:p>
    <w:p>
      <w:pPr>
        <w:spacing w:after="0" w:line="25" w:lineRule="exact"/>
        <w:rPr>
          <w:rFonts w:ascii="Times New Roman" w:cs="Times New Roman" w:eastAsia="Times New Roman" w:hAnsi="Times New Roman"/>
          <w:sz w:val="18"/>
          <w:szCs w:val="18"/>
          <w:color w:val="auto"/>
        </w:rPr>
      </w:pPr>
    </w:p>
    <w:p>
      <w:pPr>
        <w:ind w:right="160" w:firstLine="7"/>
        <w:spacing w:after="0" w:line="249" w:lineRule="auto"/>
        <w:tabs>
          <w:tab w:leader="none" w:pos="21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Credit Party may in any way be liable, and hereby ratifies and confirms whatever Lenders may lawfully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Credit Party acknowledges that it has been advised by counsel of its choices and decisions with respect to this Agreement, the other Financing Documents and the transactions evidenced hereby and thereby.</w:t>
      </w:r>
    </w:p>
    <w:p>
      <w:pPr>
        <w:spacing w:after="0" w:line="189" w:lineRule="exact"/>
        <w:rPr>
          <w:rFonts w:ascii="Times New Roman" w:cs="Times New Roman" w:eastAsia="Times New Roman" w:hAnsi="Times New Roman"/>
          <w:sz w:val="18"/>
          <w:szCs w:val="18"/>
          <w:color w:val="auto"/>
        </w:rPr>
      </w:pPr>
    </w:p>
    <w:p>
      <w:pPr>
        <w:ind w:firstLine="990"/>
        <w:spacing w:after="0" w:line="251" w:lineRule="auto"/>
        <w:tabs>
          <w:tab w:leader="none" w:pos="123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for itself and all its successors and assigns, (i) agrees that its liability shall not be in any manner affected by any indulgence, extension of time, renewal, waiver, or modification granted or consented to by Lender and made in accordance with the terms of any Financing Document; (ii) consents to any indulgences and all extensions of time, renewals, waivers, or modifications that may be granted by Agent, Term Loan Servicer or any Lender with respect to the payment or other provisions of the Financing Documents and made in accordance with the terms of any Financing Document, and to any substitution, exchange or release of the Collateral, or any part thereof, with or without substitution, and agrees to the addition or release of any Credit Party, endorsers, guarantors, or sureties, or whether primarily or secondarily liable, without notice to any other Credit Party and without affecting its liability hereunder; (iii) agrees that its liability shall be unconditional and without regard to the liability of any other Credit Party, Agent, Term Loan Servicer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27" w:name="page528"/>
    <w:bookmarkEnd w:id="527"/>
    <w:p>
      <w:pPr>
        <w:ind w:firstLine="990"/>
        <w:spacing w:after="0" w:line="250" w:lineRule="auto"/>
        <w:tabs>
          <w:tab w:leader="none" w:pos="122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the extent that Agent, Term Loan Servicer or any Lender may have acquiesced in any noncompliance with any requirements or conditions precedent to the closing of the Loans or to any subsequent disbursement of Loan proceeds, such acquiescence shall not be deemed to constitute a waiver by Agent, Term Loan Servicer or any Lender of such requirements with respect to any future disbursements of Loan proceeds and Agent, Term Loan Servicer or any Lender may at any time after such acquiescence require Credit Parties to comply with all such requirements. Any forbearance by Agent, Term Loan Servicer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Term Loan Servicer’s or any Lender’s acceptance of payment of any sum secured by any of the Financing Documents after the due date of such payment shall not be a waiver of Agent’s, Term Loan Servicer’s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spacing w:after="0" w:line="192" w:lineRule="exact"/>
        <w:rPr>
          <w:rFonts w:ascii="Times New Roman" w:cs="Times New Roman" w:eastAsia="Times New Roman" w:hAnsi="Times New Roman"/>
          <w:sz w:val="18"/>
          <w:szCs w:val="18"/>
          <w:color w:val="auto"/>
        </w:rPr>
      </w:pPr>
    </w:p>
    <w:p>
      <w:pPr>
        <w:ind w:right="200" w:firstLine="990"/>
        <w:spacing w:after="0" w:line="254" w:lineRule="auto"/>
        <w:tabs>
          <w:tab w:leader="none" w:pos="123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anything contained in this Agreement or the other Financing Documents, each Credit Party agrees that if an Event of Default is continuing (i) Agent, Term Loan Servicer and Lenders shall not be subject to any “one action” or “election of remedies” law or rule, and (ii) all Liens and other rights, remedies or privileges provided to Agent, Term Loan Servicer or Lenders shall remain in full force and effect until Agent, Term Loan Servicer or Lenders have exhausted all remedies against the Collateral and any other properties owned by Credit Parties and the Financing Documents and other security instruments or agreements securing the Loans have been foreclosed, sold and/or otherwise realized upon in satisfaction of Credit Parties’ obligations under the Financing Documents.</w:t>
      </w:r>
    </w:p>
    <w:p>
      <w:pPr>
        <w:spacing w:after="0" w:line="183" w:lineRule="exact"/>
        <w:rPr>
          <w:rFonts w:ascii="Times New Roman" w:cs="Times New Roman" w:eastAsia="Times New Roman" w:hAnsi="Times New Roman"/>
          <w:sz w:val="18"/>
          <w:szCs w:val="18"/>
          <w:color w:val="auto"/>
        </w:rPr>
      </w:pPr>
    </w:p>
    <w:p>
      <w:pPr>
        <w:ind w:right="100" w:firstLine="990"/>
        <w:spacing w:after="0" w:line="267" w:lineRule="auto"/>
        <w:tabs>
          <w:tab w:leader="none" w:pos="1225"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herein or in any other Financing Document shall be construed as requiring Agent, Term Loan Servicer or any Lender to resort to any part of the Collateral for the satisfaction of any of Credit Parties’ obligations under the Financing Documents in preference or priority to any other Collateral, and Agent may seek satisfaction out of all of the Collateral or any part thereof, in its absolute discretion in respect of Credit Parties’ obligations under the Financing Documents. In addition, Agent shall have the right from time to time to partially foreclose upon any Collateral in any manner and for any amounts secured by the Financing Documents then due and payable as determined by Agent in its sole discretion, including, without limitation, the following circumstances: (i) in the event any Credit Party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28" w:name="page529"/>
    <w:bookmarkEnd w:id="528"/>
    <w:p>
      <w:pPr>
        <w:ind w:firstLine="990"/>
        <w:spacing w:after="0" w:line="255" w:lineRule="auto"/>
        <w:tabs>
          <w:tab w:leader="none" w:pos="120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the fullest extent permitted by law, each Credit Party, for itself and its successors and assigns, waives in the event of foreclosure of any or all of the Collateral any equitable right otherwise available to any Credit Party which would require the separate sale of any of the Collateral or require Agent, Term Loan Servicer or Lenders to exhaust their remedies against any part of the Collateral before proceeding against any other part of the Collateral; and further in the event of such foreclosure each Credit Party does hereby expressly consent to and authorize, at the option of Agent, the foreclosure and sale either separately or together of each part of the Collateral.</w:t>
      </w:r>
    </w:p>
    <w:p>
      <w:pPr>
        <w:spacing w:after="0" w:line="184"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parties acknowledge and agree that, in the event of a breach or threatened breach of any Credit Party’s obligations under any Financing Documents, Agent, Term Loan Servicer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92"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Marshalling; Payments Set Aside</w:t>
      </w:r>
      <w:r>
        <w:rPr>
          <w:rFonts w:ascii="Times New Roman" w:cs="Times New Roman" w:eastAsia="Times New Roman" w:hAnsi="Times New Roman"/>
          <w:sz w:val="18"/>
          <w:szCs w:val="18"/>
          <w:color w:val="auto"/>
        </w:rPr>
        <w:t>. Neither Agent, Term Loan Servicer nor any Lender shall be under any obligation to marshal any assets in payment of any or all of the Obligations. To the extent that any Credit Party makes any payment or Agent enforces its Liens or Agent, Term Loan Servicer,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11 -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Appointment and Authorization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990"/>
        <w:spacing w:after="0" w:line="263" w:lineRule="auto"/>
        <w:tabs>
          <w:tab w:leader="none" w:pos="122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irrevocably appoints and authorizes Agent to enter into each of the Financing Documents to which it is a party (other than this Agreement) on its behalf and to take such actions as Agent on its behalf and to exercise such powers under the Financing Documents as are delegated to Agent by the terms thereof, together with all such powers as are reasonably incidental thereto.</w:t>
      </w:r>
    </w:p>
    <w:p>
      <w:pPr>
        <w:spacing w:after="0" w:line="175" w:lineRule="exact"/>
        <w:rPr>
          <w:rFonts w:ascii="Times New Roman" w:cs="Times New Roman" w:eastAsia="Times New Roman" w:hAnsi="Times New Roman"/>
          <w:sz w:val="18"/>
          <w:szCs w:val="18"/>
          <w:color w:val="auto"/>
        </w:rPr>
      </w:pPr>
    </w:p>
    <w:p>
      <w:pPr>
        <w:ind w:right="80" w:firstLine="990"/>
        <w:spacing w:after="0" w:line="263" w:lineRule="auto"/>
        <w:tabs>
          <w:tab w:leader="none" w:pos="123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irrevocably appoints and authorizes Term Loan Servicer to take such actions as Term Loan Servicer on its behalf and to exercise such powers under the Financing Documents as are delegated to Term Loan Servicer by the terms thereof, together with all such powers as are reasonably incidental thereto.</w:t>
      </w:r>
    </w:p>
    <w:p>
      <w:pPr>
        <w:spacing w:after="0" w:line="175" w:lineRule="exact"/>
        <w:rPr>
          <w:rFonts w:ascii="Times New Roman" w:cs="Times New Roman" w:eastAsia="Times New Roman" w:hAnsi="Times New Roman"/>
          <w:sz w:val="18"/>
          <w:szCs w:val="18"/>
          <w:color w:val="auto"/>
        </w:rPr>
      </w:pPr>
    </w:p>
    <w:p>
      <w:pPr>
        <w:ind w:right="520" w:firstLine="990"/>
        <w:spacing w:after="0" w:line="278" w:lineRule="auto"/>
        <w:tabs>
          <w:tab w:leader="none" w:pos="122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11.16 and to the terms of the other Financing Documents, Agent is authorized and empowered to amend, modify, or waive any provisions of this Agreement or the other Financing Documents on behalf of Lenders and Term Loan Servicer.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29" w:name="page530"/>
    <w:bookmarkEnd w:id="529"/>
    <w:p>
      <w:pPr>
        <w:ind w:right="20" w:firstLine="990"/>
        <w:spacing w:after="0" w:line="277" w:lineRule="auto"/>
        <w:tabs>
          <w:tab w:leader="none" w:pos="1235"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provisions of this Article 11 are solely for the benefit of Agent, Term Loan Servicer and Lenders and neither any Borrower nor any other Credit Party shall have any rights as a third party beneficiary of any of the provisions of this Article 11, other than Sections 11.9 and 11.17. In performing its functions and duties under this Agreement, Agent and Term Loan Servicer shall each act solely as agent of Lenders and does not assume and shall not be deemed to have assumed any obligation toward or relationship of agency or trust with or for any Borrower or any other Credit Party.</w:t>
      </w:r>
    </w:p>
    <w:p>
      <w:pPr>
        <w:spacing w:after="0" w:line="167" w:lineRule="exact"/>
        <w:rPr>
          <w:rFonts w:ascii="Times New Roman" w:cs="Times New Roman" w:eastAsia="Times New Roman" w:hAnsi="Times New Roman"/>
          <w:sz w:val="17"/>
          <w:szCs w:val="17"/>
          <w:color w:val="auto"/>
        </w:rPr>
      </w:pPr>
    </w:p>
    <w:p>
      <w:pPr>
        <w:ind w:right="140" w:firstLine="990"/>
        <w:spacing w:after="0" w:line="258" w:lineRule="auto"/>
        <w:tabs>
          <w:tab w:leader="none" w:pos="122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Agent and Term Loan Servicer may, upon any term or condition it specifies, delegate or exercise any of its rights, powers and remedies under, and delegate or perform any of its duties or any other action with respect to, any Financing Document by or through any agents, servicers, trustees, investment managers, employees, attorney-in-fact or any other Person (including any Lender). Any such Person shall benefit from this Article 11 to the extent provided by Agent or Term Loan Servicer, as applicable.</w:t>
      </w:r>
    </w:p>
    <w:p>
      <w:pPr>
        <w:spacing w:after="0" w:line="180" w:lineRule="exact"/>
        <w:rPr>
          <w:sz w:val="20"/>
          <w:szCs w:val="20"/>
          <w:color w:val="auto"/>
        </w:rPr>
      </w:pPr>
    </w:p>
    <w:p>
      <w:pPr>
        <w:jc w:val="both"/>
        <w:ind w:right="10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Agents and Affiliates</w:t>
      </w:r>
      <w:r>
        <w:rPr>
          <w:rFonts w:ascii="Times New Roman" w:cs="Times New Roman" w:eastAsia="Times New Roman" w:hAnsi="Times New Roman"/>
          <w:sz w:val="18"/>
          <w:szCs w:val="18"/>
          <w:color w:val="auto"/>
        </w:rPr>
        <w:t>. Agent and Term Loan Servicer shall have the same rights and powers under the Financing Documents as any other Lender and may exercise or refrain from exercising the same as though it were not Agent, and Agent and Term Loan Servicer and their respective Affiliates may lend money to, invest in and generally engage in any kind of business with each Credit Party or Affiliate of any Credit Party as if it were not Agent or Term Loan Servicer, as applicable, hereunder.</w:t>
      </w:r>
    </w:p>
    <w:p>
      <w:pPr>
        <w:spacing w:after="0" w:line="180" w:lineRule="exact"/>
        <w:rPr>
          <w:sz w:val="20"/>
          <w:szCs w:val="20"/>
          <w:color w:val="auto"/>
        </w:rPr>
      </w:pPr>
    </w:p>
    <w:p>
      <w:pPr>
        <w:ind w:right="1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Action by Agents</w:t>
      </w:r>
      <w:r>
        <w:rPr>
          <w:rFonts w:ascii="Times New Roman" w:cs="Times New Roman" w:eastAsia="Times New Roman" w:hAnsi="Times New Roman"/>
          <w:sz w:val="18"/>
          <w:szCs w:val="18"/>
          <w:color w:val="auto"/>
        </w:rPr>
        <w:t>. The duties of Agent and Term Loan Servicer shall be mechanical and administrative in nature. Neither Agent nor Term Loan Servicer shall have by reason of this Agreement a fiduciary relationship in respect of any Lender. Nothing in this Agreement or any of the Financing Documents is intended to or shall be construed to impose upon Agent or Term Loan Servicer any obligations in respect of this Agreement or any of the Financing Documents except as expressly set forth herein or therein.</w:t>
      </w:r>
    </w:p>
    <w:p>
      <w:pPr>
        <w:spacing w:after="0" w:line="180" w:lineRule="exact"/>
        <w:rPr>
          <w:sz w:val="20"/>
          <w:szCs w:val="20"/>
          <w:color w:val="auto"/>
        </w:rPr>
      </w:pPr>
    </w:p>
    <w:p>
      <w:pPr>
        <w:jc w:val="both"/>
        <w:ind w:right="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Consultation with Experts</w:t>
      </w:r>
      <w:r>
        <w:rPr>
          <w:rFonts w:ascii="Times New Roman" w:cs="Times New Roman" w:eastAsia="Times New Roman" w:hAnsi="Times New Roman"/>
          <w:sz w:val="18"/>
          <w:szCs w:val="18"/>
          <w:color w:val="auto"/>
        </w:rPr>
        <w:t>. Agent and Term Loan Servicer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75"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Liability of Agent</w:t>
      </w:r>
      <w:r>
        <w:rPr>
          <w:rFonts w:ascii="Times New Roman" w:cs="Times New Roman" w:eastAsia="Times New Roman" w:hAnsi="Times New Roman"/>
          <w:sz w:val="18"/>
          <w:szCs w:val="18"/>
          <w:color w:val="auto"/>
        </w:rPr>
        <w:t>. None of Agent, Term Loan Servicer nor any of their directors, officers, agents, trustees, investment managers, servicers or employees shall be liable to any Lender for any action taken or not taken by it in connection with the Financing Documents, except that Agent and Term Loan Servicer shall each be liable with respect to its specific duties set forth hereunder but only to the extent of its own gross negligence or willful misconduct in the discharge thereof as determined by a final non-appealable judgment of a court of competent jurisdiction. None of Agent, Term Loan Servicer nor any of their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 (c) the satisfaction of any condition specified in any Financing Document; (d) the validity, effectiveness, sufficiency or genuineness of any Financing Document, any Lien purported to be created or perfected thereby or any other instrument or writing furnished in connection therewith; (e) the existence or non-existence of any Default or Event of Default; or (f) the financial condition of any Credit Party. Neither Agent nor Term Loan Servicer shall incur any liability by acting in reliance upon any notice, consent, certificate, statement, or other writing (which may be a bank wire, facsimile or electronic transmission or similar writing) believed by it to be genuine or to be signed by the proper party or parties. Neither Agent nor Term Loan Servicer shall be liable for any apportionment or distribution of payments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30" w:name="page531"/>
    <w:bookmarkEnd w:id="530"/>
    <w:p>
      <w:pPr>
        <w:ind w:right="2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spacing w:after="0" w:line="175"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Lender shall, in accordance with its Pro Rata Share, indemnify Agent and Term Loan Servicer (to the extent not reimbursed by Credit Parties) upon demand against any cost, expense (including counsel fees and disbursements), claim, demand, action, loss or liability (except such as result from Agent’s or Term Loan Servicer’s, as applicable, gross negligence or willful misconduct as determined by a final non-appealable judgment of a court of competent jurisdiction) that Agent or Term Loan Servicer, as applicable, may suffer or incur in connection with the Financing Documents or any action taken or omitted by Agent or Term Loan Servicer, as applicable, hereunder or thereunder. If any indemnity furnished to Agent or Term Loan Servicer for any purpose shall, in the opinion of Agent or Term Loan Servicer (as applicable), be insufficient or become impaired, Agent or Term Loan Servicer, as applicable, may call for additional indemnity and cease, or not commence, to do the acts indemnified against even if so directed by Required Lenders until such additional indemnity is furnished.</w:t>
      </w:r>
    </w:p>
    <w:p>
      <w:pPr>
        <w:spacing w:after="0" w:line="187" w:lineRule="exact"/>
        <w:rPr>
          <w:sz w:val="20"/>
          <w:szCs w:val="20"/>
          <w:color w:val="auto"/>
        </w:rPr>
      </w:pPr>
    </w:p>
    <w:p>
      <w:pPr>
        <w:ind w:right="20"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Right to Request and Act on Instructions</w:t>
      </w:r>
      <w:r>
        <w:rPr>
          <w:rFonts w:ascii="Times New Roman" w:cs="Times New Roman" w:eastAsia="Times New Roman" w:hAnsi="Times New Roman"/>
          <w:sz w:val="18"/>
          <w:szCs w:val="18"/>
          <w:color w:val="auto"/>
        </w:rPr>
        <w:t>. Agent and Term Loan Servicer may at any time request instructions from Lenders with respect to any actions or approvals which by the terms of this Agreement or of any of the Financing Documents Agent or Term Loan Servicer is permitted or desires to take or to grant, and if such instructions are promptly requested, Agent or Term Loan Servicer, as applicable,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or Term Loan Servicer as a result of Agent or Term Loan Servicer, as applicable,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neither Agent nor Term Loan Servicer shall have any obligation to take any action if it believes, in good faith, that such action would violate applicable Law or exposes Agent or Term Loan Servicer, as appliable, to any liability for which it has not received satisfactory indemnification in accordance with the provisions of Section 11.6.</w:t>
      </w:r>
    </w:p>
    <w:p>
      <w:pPr>
        <w:spacing w:after="0" w:line="194"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Credit Decision</w:t>
      </w:r>
      <w:r>
        <w:rPr>
          <w:rFonts w:ascii="Times New Roman" w:cs="Times New Roman" w:eastAsia="Times New Roman" w:hAnsi="Times New Roman"/>
          <w:sz w:val="18"/>
          <w:szCs w:val="18"/>
          <w:color w:val="auto"/>
        </w:rPr>
        <w:t>. Each Lender acknowledges that it has, independently and without reliance upon Agent, Term Loan Servicer or any other Lender, and based on such documents and information as it has deemed appropriate, made its own credit analysis and decision to enter into this Agreement. Each Lender also acknowledges that it will, independently and without reliance upon Agent, Term Loan Servicer or any other Lender, and based on such documents and information as it shall deem appropriate at the time, continue to make its own credit decisions in taking or not taking any action under the Financing Documents.</w:t>
      </w:r>
    </w:p>
    <w:p>
      <w:pPr>
        <w:spacing w:after="0" w:line="184"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 Lenders irrevocably authorize Agent, at its option and in its reasonable discretion, to (a) release any Lien granted to or held by Agent under any Security Document (i) upon termination of the Revolving Loan Commitment and Term Loan Commitment and payment in full of all Obligations (other than inchoate indemnification obligations for which no claim has yet been made); (ii) constituting property sold or disposed of as part of or in connection with any disposition permitted under any Financing Document (it being understood and agreed that Agent may conclusively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31" w:name="page532"/>
    <w:bookmarkEnd w:id="531"/>
    <w:p>
      <w:pPr>
        <w:ind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rely without further inquiry on a certificate of a Responsible Officer as to the sale or other disposition of property being made in full compliance with the provisions of the Financing Documents) or (iii) to the extent such Lien is on property owned by a Guarantor and such Guarantor is released from its Obligations under the applicable Guarantee and; and (b) 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 Upon reasonable request of Borrowers, Agent shall execute and deliver and/or authorize the filing of all documents, in each case in form and substance reasonably satisfactory to Agent, to evidence such termination or release and to deliver to Borrowers any such Collateral held by Agent hereunder.</w:t>
      </w:r>
    </w:p>
    <w:p>
      <w:pPr>
        <w:spacing w:after="0" w:line="172"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Agent and each Lender hereby appoint each other Lender as agent for the purpose of 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84" w:lineRule="exact"/>
        <w:rPr>
          <w:sz w:val="20"/>
          <w:szCs w:val="20"/>
          <w:color w:val="auto"/>
        </w:rPr>
      </w:pPr>
    </w:p>
    <w:p>
      <w:pPr>
        <w:ind w:right="1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Agent shall not be deemed to have knowledge or notice of the occurrence of any Default or Event of Default except with respect to defaults in the payment of principal, interest and fees required to be paid to Agent for the account of Lenders, unless Agent shall have received written notice from a Lender or a Credit Party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Assignment by Agent; Resignation of Agent; Successor Agent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54" w:lineRule="auto"/>
        <w:tabs>
          <w:tab w:leader="none" w:pos="122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and/or Term Loan Servicer may at any time assign its rights, powers, privileges and duties hereunder to any Eligible Assignee to whom Agent or Term Loan Servicer, in its capacity as a Lender, has assigned (or will assign, in conjunction with such assignment of agency rights hereunder) 50% or more of its Loan, in each case without the consent of the Lenders or Credit Parties. Following any such assignment, Agent or Term Loan Servicer, as appliable, shall endeavor to give notice to the Lenders and Borrowers. Failure to give such notice shall not affect such assignment in any way or cause the assignment to be ineffective. An assignment by Agent or Term Loan Servicer, as appliable, pursuant to this subsection (a) shall not be deemed a resignation by Agent for purposes of subsection (b) below.</w:t>
      </w:r>
    </w:p>
    <w:p>
      <w:pPr>
        <w:spacing w:after="0" w:line="183" w:lineRule="exact"/>
        <w:rPr>
          <w:rFonts w:ascii="Times New Roman" w:cs="Times New Roman" w:eastAsia="Times New Roman" w:hAnsi="Times New Roman"/>
          <w:sz w:val="18"/>
          <w:szCs w:val="18"/>
          <w:color w:val="auto"/>
        </w:rPr>
      </w:pPr>
    </w:p>
    <w:p>
      <w:pPr>
        <w:ind w:right="160" w:firstLine="990"/>
        <w:spacing w:after="0" w:line="263" w:lineRule="auto"/>
        <w:tabs>
          <w:tab w:leader="none" w:pos="123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Agent or Term Loan Servicer to designate an assignee pursuant to subsection (a) above, Agent or Term Loan Servicer may at any time give notice of its resignation to the Lenders and Borrowers. Upon receipt of any such notice of resignation, Required Lenders shall have the right to appoint a successor Agent or Term Loan Servicer, as applicable, which</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7" w:right="539" w:bottom="1440" w:gutter="0" w:footer="0" w:header="0"/>
        </w:sectPr>
      </w:pPr>
    </w:p>
    <w:bookmarkStart w:id="532" w:name="page533"/>
    <w:bookmarkEnd w:id="532"/>
    <w:p>
      <w:pPr>
        <w:ind w:left="440"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successor Agent or Term Loan Servicer shall be an Eligible Assignee. If no such successor shall have been so appointed by Required Lenders and shall have accepted such appointment within ten (10) Business Days after the retiring Agent or Term Loan Servicer gives notice of its resignation, then the retiring Agent or Term Loan Servicer may on behalf of the Lenders, appoint a successor Agent or Term Loan Servicer, which successor Agent or Term Loan Servicer, as applicable, shall be an Eligible Assignee;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Agent or Term Loan Servicer shall notify Borrowers and the Lenders that no Person has accepted such appointment, then such resignation shall nonetheless become effective in accordance with such notice from Agent or Term Loan Servicer that no Person has accepted such appointment and, from and following delivery of such notice, (i) the retiring Agent or Term Loan Servicer shall be discharged from its duties and obligations hereunder and under the other Financing Documents, and (ii) all payments, communications and determinations provided to be made by, to or through Agent or Term Loan Servicer, as applicable, shall instead be made by or to each Lender directly, until such time as Required Lenders appoint a successor Agent or Term Loan Servicer, as appliable, as provided for above in this paragraph.</w:t>
      </w:r>
    </w:p>
    <w:p>
      <w:pPr>
        <w:spacing w:after="0" w:line="189" w:lineRule="exact"/>
        <w:rPr>
          <w:sz w:val="20"/>
          <w:szCs w:val="20"/>
          <w:color w:val="auto"/>
        </w:rPr>
      </w:pPr>
    </w:p>
    <w:p>
      <w:pPr>
        <w:ind w:firstLine="990"/>
        <w:spacing w:after="0" w:line="251" w:lineRule="auto"/>
        <w:tabs>
          <w:tab w:leader="none" w:pos="122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 an assignment permitted by subsection (a) above, or (ii) the acceptance of a successor’s appointment as Agent or Term Loan Servicer, as applicable, pursuant to subsection (b) above, such successor shall succeed to and become vested with all of the rights, powers, privileges and duties of the retiring (or retired) Agent or Term Loan Servicer, and the retiring Agent or Term Loan Servicer shall be discharged from all of its duties and obligations hereunder and under the other Financing Documents (if not already discharged therefrom as provided above in this paragraph). The fees payable by Borrowers to a successor Agent or Term Loan Servicer shall be the same as those payable to its predecessor unless otherwise agreed between Borrowers and such successor. After the retiring Agent’s resignation or retiring Term Loan Servicer’s resignation (as applicable) hereunder and under the other Financing Documents, the provisions of this Article 11 and Section 11.12 shall continue in effect for the benefit of such retiring Agent or Term Loan Servicer and its sub-agents in respect of any actions taken or omitted to be taken by any of them while the retiring Agent or Term Loan Servicer was acting or was continuing to act as Agent or Term Loan Servicer, as applicable.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Payment and Sharing of Payment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40" w:hanging="250"/>
        <w:spacing w:after="0"/>
        <w:tabs>
          <w:tab w:leader="none" w:pos="12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Advances, Payments and Settlements; Interest and Fee Payments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440" w:right="20" w:firstLine="947"/>
        <w:spacing w:after="0" w:line="250" w:lineRule="auto"/>
        <w:tabs>
          <w:tab w:leader="none" w:pos="159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the right, on behalf of Revolving Lenders to disburse funds to Borrowers for all Revolving Loans requested or deemed requested by Borrowers pursuant to the terms of this Agreement. Agent shall be conclusively entitled to assume, for purposes of the preceding sentence, that each Revolving Lender, other than any Non-Funding Lenders, will fund its Pro Rata Share of all Revolving Loans requested by Borrowers. Each Revolving Lender shall reimburse Agent on demand, in accordance with the provisions of the immediately following paragraph, for all funds disbursed on its behalf by Agent pursuant to the first sentence of this clause (i), or if Agent so requests, each Revolving Lender will remit to Agent its Pro Rata Share of any Revolving Loan before Agent disburses the same to a Borrower. If Agent elects to require that each Revolving Lender make funds available to Agent, prior to a disbursement by Agent to a Borrower, Agent shall advise each Revolving Lender by telephone, facsimile or e-mail of the amount of such Revolving Lender’s Pro Rata Share of the Revolving Loan requested by such Borrower no later than noon (Eastern time) on the date of funding of such Revolving Loan, and each such Revolving Lender shall pay Agent on such date such Revolving Lender’s Pro Rata Share of such requested Revolving Loan, in same day funds, by wire transfer to the Revolving Loan Payment Account, or such other account as may be identified by Agent to Revolving Lenders from time to time. If any Lender fails to pay the amount of its Pro Rata Share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33" w:name="page534"/>
    <w:bookmarkEnd w:id="533"/>
    <w:p>
      <w:pPr>
        <w:ind w:left="4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any funds advanced by Agent pursuant to the first sentence of this clause (i) within one (1) Business Day after Agent’s demand, Agent shall promptly notify Borrower Representative, and Borrowers shall immediately repay such amount to Agent. Any repayment required by Borrowers pursuant to this Section 11.13 shall be accompanied by accrued interest thereon from and including the date such amount is made available to a Borrower to but excluding the date of payment at the rate of interest then applicable to Revolving Loans. Nothing in this Section 11.13 or elsewhere in this Agreement or the other Financing Documents shall be deemed to require Agent to advance funds on behalf of any Lender or to relieve any Lender from its obligation to fulfill its commitments hereunder or to prejudice any rights that Agent or any Borrower may have against any Lender as a result of any default by such Lender hereunder.</w:t>
      </w:r>
    </w:p>
    <w:p>
      <w:pPr>
        <w:spacing w:after="0" w:line="184" w:lineRule="exact"/>
        <w:rPr>
          <w:sz w:val="20"/>
          <w:szCs w:val="20"/>
          <w:color w:val="auto"/>
        </w:rPr>
      </w:pPr>
    </w:p>
    <w:p>
      <w:pPr>
        <w:ind w:left="440" w:firstLine="947"/>
        <w:spacing w:after="0" w:line="251" w:lineRule="auto"/>
        <w:tabs>
          <w:tab w:leader="none" w:pos="164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Business Day of each week as selected from time to time by Agent, or more frequently (including daily), if Agent so elects (each such day being a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Agent will advise each Revolving Lender by telephone, facsimile or e-mail of the amount of each such Revolving Lender’s percentage interest of the Revolving Loan balance as of the close of business of the Business Day immediately preceding the Settlement Date. In the event that payments are necessary to adjust the amount of such Revolving Lender’s actual percentage interest of the Revolving Loans to such Lender’s required percentage interest of the Revolving Loan balance as of any Settlement Date, the Revolving Lender from which such payment is due shall pay Agent, without setoff or discount, to the Payment Account before 1:00 p.m. (Eastern time) on the Business Day following the Settlement Date the full amount necessary to make such adjustment. Any obligation arising pursuant to the immediately preceding sentence shall be absolute and unconditional and shall not be affected by any circumstance whatsoever. In the event settlement shall not have occurred by the date and time specified in the second preceding sentence, interest shall accrue on the unsettled amount at the rate of interest then applicable to Revolving Loans.</w:t>
      </w:r>
    </w:p>
    <w:p>
      <w:pPr>
        <w:spacing w:after="0" w:line="189" w:lineRule="exact"/>
        <w:rPr>
          <w:rFonts w:ascii="Times New Roman" w:cs="Times New Roman" w:eastAsia="Times New Roman" w:hAnsi="Times New Roman"/>
          <w:sz w:val="18"/>
          <w:szCs w:val="18"/>
          <w:color w:val="auto"/>
        </w:rPr>
      </w:pPr>
    </w:p>
    <w:p>
      <w:pPr>
        <w:ind w:left="440" w:right="200" w:firstLine="947"/>
        <w:spacing w:after="0" w:line="253" w:lineRule="auto"/>
        <w:tabs>
          <w:tab w:leader="none" w:pos="1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Settlement Date, Agent shall advise each Revolving Lender by telephone, facsimile or e-mail of the amount of such Revolving Lender’s percentage interest of principal, interest and fees paid for the benefit of Revolving Lenders with respect to each applicable Revolving Loan, to the extent of such Revolving Lender’s Revolving Loan Exposure with respect thereto, and shall make payment to such Revolving Lender before 1:00 p.m. (Eastern time) on the Business Day following the Settlement Date of such amounts in accordance with wire instructions delivered by such Revolving Lender to Agent, as the same may be modified from time to time by written notice to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in the case such Revolving Lender is a Defaulted Lender, Agent shall be entitled to set off the funding short-fall against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Defaulted Lender’s respective share of all payments received from any Borrower.</w:t>
      </w:r>
    </w:p>
    <w:p>
      <w:pPr>
        <w:spacing w:after="0" w:line="184" w:lineRule="exact"/>
        <w:rPr>
          <w:rFonts w:ascii="Times New Roman" w:cs="Times New Roman" w:eastAsia="Times New Roman" w:hAnsi="Times New Roman"/>
          <w:sz w:val="18"/>
          <w:szCs w:val="18"/>
          <w:color w:val="auto"/>
        </w:rPr>
      </w:pPr>
    </w:p>
    <w:p>
      <w:pPr>
        <w:ind w:left="440" w:right="160" w:firstLine="947"/>
        <w:spacing w:after="0" w:line="255" w:lineRule="auto"/>
        <w:tabs>
          <w:tab w:leader="none" w:pos="168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Agent, on behalf of Lenders, may elect to advance to Borrowers the full amount of the initial Loans to be made on the Closing Date prior to receiving funds from Lenders, in reliance upon each Lender’s commitment to make its Pro Rata Share of such Loans to Borrowers in a timely manner on such date. If Agent elects to advance the initial Loans to Borrower in such manner, Agent shall be entitled to receive all interest that accrues on the Closing Date on each Lender’s Pro Rata Share of such Loans unless Agent receives such Lender’s Pro Rata Share of such Loans before 3:00 p.m. (Eastern time) on the Closing Date.</w:t>
      </w:r>
    </w:p>
    <w:p>
      <w:pPr>
        <w:spacing w:after="0" w:line="184" w:lineRule="exact"/>
        <w:rPr>
          <w:rFonts w:ascii="Times New Roman" w:cs="Times New Roman" w:eastAsia="Times New Roman" w:hAnsi="Times New Roman"/>
          <w:sz w:val="18"/>
          <w:szCs w:val="18"/>
          <w:color w:val="auto"/>
        </w:rPr>
      </w:pPr>
    </w:p>
    <w:p>
      <w:pPr>
        <w:jc w:val="both"/>
        <w:ind w:left="440" w:right="80" w:firstLine="947"/>
        <w:spacing w:after="0" w:line="258" w:lineRule="auto"/>
        <w:tabs>
          <w:tab w:leader="none" w:pos="163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for purposes of advances to Borrowers made pursuant to this Section 11.13, Agent will be using the funds of Agent, and pending settlement, (A) all funds transferred from the Revolving Loan Payment Account to the outstanding Revolving Loans shall be applied first to advances made by Agent to Borrowers pursuant to this Section 11.13, and (B) all interest accruing on such advances shall be payable to Agent.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34" w:name="page535"/>
    <w:bookmarkEnd w:id="534"/>
    <w:p>
      <w:pPr>
        <w:ind w:left="440" w:firstLine="947"/>
        <w:spacing w:after="0" w:line="278" w:lineRule="auto"/>
        <w:tabs>
          <w:tab w:leader="none" w:pos="1685"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provisions of this Section 11.13(a) shall be deemed to be binding upon Agent and Lenders notwithstanding the occurrence of any Default or Event of Default, or any insolvency or bankruptcy proceeding pertaining to any Borrower or any other Credit Party.</w:t>
      </w:r>
    </w:p>
    <w:p>
      <w:pPr>
        <w:spacing w:after="0" w:line="162" w:lineRule="exact"/>
        <w:rPr>
          <w:rFonts w:ascii="Times New Roman" w:cs="Times New Roman" w:eastAsia="Times New Roman" w:hAnsi="Times New Roman"/>
          <w:sz w:val="18"/>
          <w:szCs w:val="18"/>
          <w:color w:val="auto"/>
        </w:rPr>
      </w:pPr>
    </w:p>
    <w:p>
      <w:pPr>
        <w:ind w:firstLine="990"/>
        <w:spacing w:after="0" w:line="258" w:lineRule="auto"/>
        <w:tabs>
          <w:tab w:leader="none" w:pos="123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Payments</w:t>
      </w:r>
      <w:r>
        <w:rPr>
          <w:rFonts w:ascii="Times New Roman" w:cs="Times New Roman" w:eastAsia="Times New Roman" w:hAnsi="Times New Roman"/>
          <w:sz w:val="18"/>
          <w:szCs w:val="18"/>
          <w:color w:val="auto"/>
        </w:rPr>
        <w:t xml:space="preserve">. Payments of principal, interest and fees in respect of the Term Loans will be settled on the date of receipt if received by Term Loan Servicer on the last Business Day of a month or on the Business Day immediately following the date of receipt if received on any day other than the last Business Day of a month;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such Lender is a Defaulted Lender, Term Loan Servicer shall be entitled to set off the funding short-fall against that Defaulted Lender’s respective share of all payments received from any Credit Party.</w:t>
      </w:r>
    </w:p>
    <w:p>
      <w:pPr>
        <w:spacing w:after="0" w:line="179"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Payments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440" w:right="40" w:firstLine="947"/>
        <w:spacing w:after="0" w:line="258" w:lineRule="auto"/>
        <w:tabs>
          <w:tab w:leader="none" w:pos="159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Agent or Term Loan Servicer pays an amount to a Lender under this Agreement in the belief or expectation that a related payment has been or will be received by Agent or Term Loan Servicer, as applicable, from a Credit Party and such related payment is not received by Agent, then Agent or Term Loan Servicer, as applicable, will be entitled to recover such amount from such Lender on demand without setoff, counterclaim or deduction of any kind, together with interest accruing on a daily basis at the Federal Funds Rate.</w:t>
      </w:r>
    </w:p>
    <w:p>
      <w:pPr>
        <w:spacing w:after="0" w:line="179" w:lineRule="exact"/>
        <w:rPr>
          <w:rFonts w:ascii="Times New Roman" w:cs="Times New Roman" w:eastAsia="Times New Roman" w:hAnsi="Times New Roman"/>
          <w:sz w:val="18"/>
          <w:szCs w:val="18"/>
          <w:color w:val="auto"/>
        </w:rPr>
      </w:pPr>
    </w:p>
    <w:p>
      <w:pPr>
        <w:ind w:left="440" w:right="100" w:firstLine="947"/>
        <w:spacing w:after="0" w:line="253" w:lineRule="auto"/>
        <w:tabs>
          <w:tab w:leader="none" w:pos="164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Agent or Term Loan Servicer determines at any time that any amount received by Agent or Term Loan Servicer, as applicable, under this Agreement must be returned to any Credit Party or paid to any other Person pursuant to any insolvency law or otherwise, then, notwithstanding any other term or condition of this Agreement or any other Financing Document, Agent or Term Loan Servicer, as applicable, will not be required to distribute any portion thereof to any Lender. In addition, each Lender will repay to Agent or Term Loan Servicer, as applicable, on demand any portion of such amount that Agent or Term Loan Servicer, as applicable, has distributed to such Lender, together with interest at such rate, if any, as Agent or Term Loan Servicer, as applicable, is required to pay to any Credit Party or such other Person, without setoff, counterclaim or deduction of any kind.</w:t>
      </w:r>
    </w:p>
    <w:p>
      <w:pPr>
        <w:spacing w:after="0" w:line="184" w:lineRule="exact"/>
        <w:rPr>
          <w:rFonts w:ascii="Times New Roman" w:cs="Times New Roman" w:eastAsia="Times New Roman" w:hAnsi="Times New Roman"/>
          <w:sz w:val="18"/>
          <w:szCs w:val="18"/>
          <w:color w:val="auto"/>
        </w:rPr>
      </w:pPr>
    </w:p>
    <w:p>
      <w:pPr>
        <w:ind w:right="60" w:firstLine="990"/>
        <w:spacing w:after="0" w:line="255" w:lineRule="auto"/>
        <w:tabs>
          <w:tab w:leader="none" w:pos="123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Defaulted Lenders</w:t>
      </w:r>
      <w:r>
        <w:rPr>
          <w:rFonts w:ascii="Times New Roman" w:cs="Times New Roman" w:eastAsia="Times New Roman" w:hAnsi="Times New Roman"/>
          <w:sz w:val="18"/>
          <w:szCs w:val="18"/>
          <w:color w:val="auto"/>
        </w:rPr>
        <w:t>. The failure of any Defaulted Lender to make any payment required by it hereunder shall not relieve any other Lender of its obligations to make payment, but neither any other Lender nor Agent nor Term Loan Servicer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spacing w:after="0" w:line="184" w:lineRule="exact"/>
        <w:rPr>
          <w:rFonts w:ascii="Times New Roman" w:cs="Times New Roman" w:eastAsia="Times New Roman" w:hAnsi="Times New Roman"/>
          <w:sz w:val="18"/>
          <w:szCs w:val="18"/>
          <w:color w:val="auto"/>
        </w:rPr>
      </w:pPr>
    </w:p>
    <w:p>
      <w:pPr>
        <w:ind w:firstLine="990"/>
        <w:spacing w:after="0" w:line="271" w:lineRule="auto"/>
        <w:tabs>
          <w:tab w:leader="none" w:pos="1224"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Sharing of Payments</w:t>
      </w:r>
      <w:r>
        <w:rPr>
          <w:rFonts w:ascii="Times New Roman" w:cs="Times New Roman" w:eastAsia="Times New Roman" w:hAnsi="Times New Roman"/>
          <w:sz w:val="17"/>
          <w:szCs w:val="17"/>
          <w:color w:val="auto"/>
        </w:rPr>
        <w:t xml:space="preserve">. If any Lender shall obtain any payment or other recovery (whether voluntary, involuntary, by application of setoff or otherwise) on account of any Loan (other than pursuant to the terms of Section 2.8(d)) in excess of its Pro Rata Share of payments entitled pursuant to the other provisions of this Section 11.13,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all or any portion of the excess payment or other recovery is thereafter required to be returned or otherwise recovered from such purchasing Lender, such portion of such purchase shall be rescinded and each Lender which has sold 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35" w:name="page536"/>
    <w:bookmarkEnd w:id="53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participation to the purchasing Lender shall repay to the purchasing Lender the purchase price to the ratable extent of such return or recovery, without interest. Each Credit Party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Credit Parties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spacing w:after="0" w:line="184" w:lineRule="exact"/>
        <w:rPr>
          <w:sz w:val="20"/>
          <w:szCs w:val="20"/>
          <w:color w:val="auto"/>
        </w:rPr>
      </w:pPr>
    </w:p>
    <w:p>
      <w:pPr>
        <w:ind w:right="100" w:firstLine="436"/>
        <w:spacing w:after="0" w:line="270" w:lineRule="auto"/>
        <w:rPr>
          <w:sz w:val="20"/>
          <w:szCs w:val="20"/>
          <w:color w:val="auto"/>
        </w:rPr>
      </w:pPr>
      <w:r>
        <w:rPr>
          <w:rFonts w:ascii="Times New Roman" w:cs="Times New Roman" w:eastAsia="Times New Roman" w:hAnsi="Times New Roman"/>
          <w:sz w:val="17"/>
          <w:szCs w:val="17"/>
          <w:color w:val="auto"/>
        </w:rPr>
        <w:t xml:space="preserve">Section 11.14 </w:t>
      </w:r>
      <w:r>
        <w:rPr>
          <w:rFonts w:ascii="Times New Roman" w:cs="Times New Roman" w:eastAsia="Times New Roman" w:hAnsi="Times New Roman"/>
          <w:sz w:val="17"/>
          <w:szCs w:val="17"/>
          <w:u w:val="single" w:color="auto"/>
          <w:color w:val="auto"/>
        </w:rPr>
        <w:t>Right to Perform, Preserve and Protect</w:t>
      </w:r>
      <w:r>
        <w:rPr>
          <w:rFonts w:ascii="Times New Roman" w:cs="Times New Roman" w:eastAsia="Times New Roman" w:hAnsi="Times New Roman"/>
          <w:sz w:val="17"/>
          <w:szCs w:val="17"/>
          <w:color w:val="auto"/>
        </w:rPr>
        <w:t>. If any Credit Party fails to perform any obligation hereunder or under any other Financing Document, Agent itself may, but shall not be obligated to, cause such obligation to be performed at Credit Parties’ expense. Agent is further authorized by the Credit Parties and the Lenders to make expenditures from time to time which Agent, in its reasonable business judgment, deems necessary or desirable to (a) preserve or protect the business conducted by the Credit Parties, the Collateral, or any portion thereof, and/or (b) enhance the likelihood of, or maximize the amount of, repayment of the Loan and other Obligations. Each Credit Party hereby agrees to reimburse Agent on demand for any and all costs, liabilities and obligations incurred by Agent pursuant to this Section 11.14. Each Lender hereby agrees to indemnify Agent upon demand for any and all costs, liabilities and obligations incurred by Agent pursuant to this Section 11.14, in accordance with the provisions of Section 11.6.</w:t>
      </w:r>
    </w:p>
    <w:p>
      <w:pPr>
        <w:spacing w:after="0" w:line="172"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Additional Titled Agents</w:t>
      </w:r>
      <w:r>
        <w:rPr>
          <w:rFonts w:ascii="Times New Roman" w:cs="Times New Roman" w:eastAsia="Times New Roman" w:hAnsi="Times New Roman"/>
          <w:sz w:val="18"/>
          <w:szCs w:val="18"/>
          <w:color w:val="auto"/>
        </w:rPr>
        <w:t>. Except for rights and powers, if any, expressly reserved under this Agreement to any bookrunner, arranger or to any titled agent named on the cover page of this Agreement, other than Agent and Term Loan Servicer (collectively, the “</w:t>
      </w:r>
      <w:r>
        <w:rPr>
          <w:rFonts w:ascii="Times New Roman" w:cs="Times New Roman" w:eastAsia="Times New Roman" w:hAnsi="Times New Roman"/>
          <w:sz w:val="18"/>
          <w:szCs w:val="18"/>
          <w:b w:val="1"/>
          <w:bCs w:val="1"/>
          <w:color w:val="auto"/>
        </w:rPr>
        <w:t>Additional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and except for obligations, liabilities, duties and responsibilities, if any, expressly assumed under this Agreement by any Additional 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990"/>
        <w:spacing w:after="0" w:line="258" w:lineRule="auto"/>
        <w:tabs>
          <w:tab w:leader="none" w:pos="1225"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Agreement or any other Financing Document may be amended, waived or otherwise modified unless such amendment, waiver or other modification is in writing and is signed or otherwise approved by Borrowers, the Required Lenders and any other Lender to the extent required under Section 11.16(b);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each Fee Letter may be amended, or rights or privileges thereunder waived, in a writing executed only by the parties thereto.</w:t>
      </w:r>
    </w:p>
    <w:p>
      <w:pPr>
        <w:spacing w:after="0" w:line="179" w:lineRule="exact"/>
        <w:rPr>
          <w:rFonts w:ascii="Times New Roman" w:cs="Times New Roman" w:eastAsia="Times New Roman" w:hAnsi="Times New Roman"/>
          <w:sz w:val="18"/>
          <w:szCs w:val="18"/>
          <w:color w:val="auto"/>
        </w:rPr>
      </w:pPr>
    </w:p>
    <w:p>
      <w:pPr>
        <w:jc w:val="both"/>
        <w:ind w:left="440" w:right="160" w:firstLine="423"/>
        <w:spacing w:after="0" w:line="263" w:lineRule="auto"/>
        <w:tabs>
          <w:tab w:leader="none" w:pos="1111"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required signatures under Section 11.16(a), no provision of this Agreement or any other Financing Document may be amended, waived or otherwise modified unless such amendment, waiver or other modification is in writing and is signed or otherwise approved by the following Persons:</w:t>
      </w:r>
    </w:p>
    <w:p>
      <w:pPr>
        <w:spacing w:after="0" w:line="175"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amendment, waiver or other modification would increase a Lender’s funding obligations in respect of any Loan, by such</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and/or</w:t>
      </w:r>
    </w:p>
    <w:p>
      <w:pPr>
        <w:spacing w:after="0" w:line="202"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rights or duties of Agent are affected thereby, by Agent; and/or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36" w:name="page537"/>
    <w:bookmarkEnd w:id="536"/>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(iii) if the rights or duties of Term Loan Servicer are affected thereby, by Term Loan Servicer,</w:t>
      </w:r>
    </w:p>
    <w:p>
      <w:pPr>
        <w:spacing w:after="0" w:line="219"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each of (i) and (ii) above, no such amendment, waiver or other modification shall, unless signed or otherwise approved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writing 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(other than any mandatory prepayment pursuant to Section 2.1(b)(ii)) of principal of any Loan, or of interest on any Loan (other than default interest) or any fees provided for hereunder (other than late charges) or postpone the date of termination of any commitment of any Lender hereunder;</w:t>
      </w:r>
    </w:p>
    <w:p>
      <w:pPr>
        <w:spacing w:after="0" w:line="3" w:lineRule="exact"/>
        <w:rPr>
          <w:sz w:val="20"/>
          <w:szCs w:val="20"/>
          <w:color w:val="auto"/>
        </w:rPr>
      </w:pPr>
    </w:p>
    <w:p>
      <w:pPr>
        <w:ind w:left="280" w:hanging="273"/>
        <w:spacing w:after="0"/>
        <w:tabs>
          <w:tab w:leader="none" w:pos="2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definition of the term Required Lenders or the percentage of Lenders which shall be required for Lenders to take any action hereunder;</w:t>
      </w:r>
    </w:p>
    <w:p>
      <w:pPr>
        <w:spacing w:after="0" w:line="6" w:lineRule="exact"/>
        <w:rPr>
          <w:rFonts w:ascii="Times New Roman" w:cs="Times New Roman" w:eastAsia="Times New Roman" w:hAnsi="Times New Roman"/>
          <w:sz w:val="18"/>
          <w:szCs w:val="18"/>
          <w:color w:val="auto"/>
        </w:rPr>
      </w:pPr>
    </w:p>
    <w:p>
      <w:pPr>
        <w:ind w:right="20" w:firstLine="7"/>
        <w:spacing w:after="0" w:line="248" w:lineRule="auto"/>
        <w:tabs>
          <w:tab w:leader="none" w:pos="29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authorize any Credit Party to sell or otherwise dispose of all or substantially all of the Collateral, release any Guarantor of all or any portion of the Obligations or its Guarantee obligations with respect thereto, except, in each case with respect to this clause (D), as otherwise may be provided in this Agreement or the other Financing Documents (including in connection with any disposition permitted hereunder); (E) amend, waive or otherwise modify this Section 11.16(b) or the definitions of the terms used in this Section 11.16(b) insofar as the definitions affect the substance of this Section 11.16(b); (F) consent to the assignment, delegation or other transfer by any Credit Party of any of its rights and obligations under any Financing Document or release any Credit Party of its payment obligations under any Financing Document, except, in each case with respect to this clause (F), pursuant to a merger or consolidation permitted pursuant to this Agreement; or (G) amend any of the provisions of Section 10.7 or amend any of the definitions Pro Rata Share, Revolving Loan Commitment, Term Loan Commitment, Term Loan Tranche 1 Commitments, Term Loan Tranche 2 Commitments, Revolving Loan Commitment Amount, Term Loan Commitment Amount, Term Loan Tranche 1 Commitment Amount, Term Loan Tranche 2 Commitment Amount, Revolving Loan Commitment Percentage, Term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40" w:hanging="250"/>
        <w:spacing w:after="0"/>
        <w:tabs>
          <w:tab w:leader="none" w:pos="12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440" w:firstLine="947"/>
        <w:spacing w:after="0" w:line="251" w:lineRule="auto"/>
        <w:tabs>
          <w:tab w:leader="none" w:pos="159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or, if a “Trade Date” is specified in such Assignment Agreement, as of such Trade Date) shall be in a minimum aggregate amount equal to $1,000,000 or, if less, the assignor’s entire interests in the outstanding Loan;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connection with simultaneous assignments to two or more related Approved Funds, such Approved Funds shall be treated as one assignee for purposes of determining compliance with the minimum assignment size referred to above. Credit Parties, Agent and Term Loan Servicer shall be entitled to continue to deal solely and directly with such Lender in connection with the interests so assigned to an Eligible Assignee until Agent shall have received and accepted an effective Assignment Agreement executed, delivered and fully completed by the applicable parties thereto and a processing fee of $3,500 to be paid by the assigning Lender;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only one processing fee shall be payable in connection with simultaneous assignments to two or more related Approved Funds.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37" w:name="page538"/>
    <w:bookmarkEnd w:id="537"/>
    <w:p>
      <w:pPr>
        <w:ind w:left="440" w:right="40" w:firstLine="947"/>
        <w:spacing w:after="0" w:line="251" w:lineRule="auto"/>
        <w:tabs>
          <w:tab w:leader="none" w:pos="164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(including, for the avoidance of doubt, the obligation to deliver applicable documentation pursuant to Section 2.8(c) which such Eligible Assignee shall deliver to Borrower Representative and Agent on or prior to the date of such Assignment Agreement), and (B) the assigning Lender, to the extent that rights and obligations hereunder have been assigned by it pursuant to such Assignment Agreement, shall be released from its rights and obligations hereunder (other than those that survive termination pursuant to Section 2.8(l) and Section 13.1).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86" w:lineRule="exact"/>
        <w:rPr>
          <w:rFonts w:ascii="Times New Roman" w:cs="Times New Roman" w:eastAsia="Times New Roman" w:hAnsi="Times New Roman"/>
          <w:sz w:val="18"/>
          <w:szCs w:val="18"/>
          <w:color w:val="auto"/>
        </w:rPr>
      </w:pPr>
    </w:p>
    <w:p>
      <w:pPr>
        <w:ind w:left="440" w:firstLine="947"/>
        <w:spacing w:after="0" w:line="250" w:lineRule="auto"/>
        <w:tabs>
          <w:tab w:leader="none" w:pos="169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acting solely for this purpose as an agent of Borrower,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such Register shall be conclusive, absent manifest error, and Borrower, Agent, Term Loan Servicer and Lenders may treat each Person whose name is recorded therein pursuant to the terms hereof as a Lender hereunder for all purposes of this Agreement, notwithstanding notice to the contrary. Such Register shall be available for inspection by Borrower, Term Loan Servicer and any Lender, at any reasonable time upon reasonable prior notice to Agent. Each Lender that sells a participation shall, acting solely for this purpose as an agent of Borrower maintain a register on which it enters the name and address of each Participant and the principal amounts (and stated interest) of each Participant’s interest in the Obligations (each, a “Participant Register”). The entries in the Participant Registers shall be conclusive, absent manifest error. Each Participant Register shall be available for inspection by Borrower, Agent and Term Loan Servicer at any reasonable time upon reasonable prior notice to the applicable Lender;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Borrower) except to the extent that such disclosure is necessary to establish that such commitment, loan, letter of credit or other obligation is in registered form under Section 5f.103-1(c) of the United States Treasury Regulations. For the avoidance of doubt, Agent (in its capacity as Agent) and Term Loan Servicer (in its capacity as Term Loan Servicer) shall have no responsibility for maintaining a Participant Register.</w:t>
      </w:r>
    </w:p>
    <w:p>
      <w:pPr>
        <w:spacing w:after="0" w:line="187" w:lineRule="exact"/>
        <w:rPr>
          <w:rFonts w:ascii="Times New Roman" w:cs="Times New Roman" w:eastAsia="Times New Roman" w:hAnsi="Times New Roman"/>
          <w:sz w:val="18"/>
          <w:szCs w:val="18"/>
          <w:color w:val="auto"/>
        </w:rPr>
      </w:pPr>
    </w:p>
    <w:p>
      <w:pPr>
        <w:ind w:left="440" w:firstLine="947"/>
        <w:spacing w:after="0" w:line="258" w:lineRule="auto"/>
        <w:tabs>
          <w:tab w:leader="none" w:pos="168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11.17(a)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38" w:name="page539"/>
    <w:bookmarkEnd w:id="538"/>
    <w:p>
      <w:pPr>
        <w:ind w:left="440" w:firstLine="947"/>
        <w:spacing w:after="0" w:line="268" w:lineRule="auto"/>
        <w:tabs>
          <w:tab w:leader="none" w:pos="1635" w:val="left"/>
        </w:tabs>
        <w:numPr>
          <w:ilvl w:val="2"/>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Notwithstanding the foregoing provisions of this Section 11.17(a) or any other provision of this Agreement, Agent has the right, but not the obligation, to effectuate assignments of Loan via an electronic settlement system acceptable to Agent as designated in writing from time to time to the Lenders by Agent (the “</w:t>
      </w:r>
      <w:r>
        <w:rPr>
          <w:rFonts w:ascii="Times New Roman" w:cs="Times New Roman" w:eastAsia="Times New Roman" w:hAnsi="Times New Roman"/>
          <w:sz w:val="17"/>
          <w:szCs w:val="17"/>
          <w:b w:val="1"/>
          <w:bCs w:val="1"/>
          <w:color w:val="auto"/>
        </w:rPr>
        <w:t>Settlement Service</w:t>
      </w:r>
      <w:r>
        <w:rPr>
          <w:rFonts w:ascii="Times New Roman" w:cs="Times New Roman" w:eastAsia="Times New Roman" w:hAnsi="Times New Roman"/>
          <w:sz w:val="17"/>
          <w:szCs w:val="17"/>
          <w:color w:val="auto"/>
        </w:rPr>
        <w:t>”). At any time when Agent elects, in its sole discretion, to implement such Settlement Service, each such assignment shall be effected by the assigning Lender and proposed assignee pursuant to the procedures then in effect under the Settlement Service, which procedures shall be consistent with the other provisions of this Section 11.17(a).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spacing w:after="0" w:line="175" w:lineRule="exact"/>
        <w:rPr>
          <w:rFonts w:ascii="Times New Roman" w:cs="Times New Roman" w:eastAsia="Times New Roman" w:hAnsi="Times New Roman"/>
          <w:sz w:val="17"/>
          <w:szCs w:val="17"/>
          <w:color w:val="auto"/>
        </w:rPr>
      </w:pPr>
    </w:p>
    <w:p>
      <w:pPr>
        <w:ind w:right="40" w:firstLine="990"/>
        <w:spacing w:after="0" w:line="252" w:lineRule="auto"/>
        <w:tabs>
          <w:tab w:leader="none" w:pos="123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Credit Party, Agent or Term Loan Servicer, sell to one or more Persons (other than any Credit Party or any Credit Party’s Affiliates) participating interests in its Loan, commitments or other interests hereunder (any such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provided that, notwithstanding anything else to the contrary provided herein, so long as no Event of Default has occurred and is continuing, no Lender may sell participating interests in its Loan, commitments or other interests hereunder to any Competitor, without the written consent of the Borrower Representative. In the event of a sale by a Lender of a participating interest to a Participant,</w:t>
      </w:r>
    </w:p>
    <w:p>
      <w:pPr>
        <w:spacing w:after="0" w:line="2" w:lineRule="exact"/>
        <w:rPr>
          <w:rFonts w:ascii="Times New Roman" w:cs="Times New Roman" w:eastAsia="Times New Roman" w:hAnsi="Times New Roman"/>
          <w:sz w:val="18"/>
          <w:szCs w:val="18"/>
          <w:color w:val="auto"/>
        </w:rPr>
      </w:pPr>
    </w:p>
    <w:p>
      <w:pPr>
        <w:ind w:right="40" w:firstLine="7"/>
        <w:spacing w:after="0" w:line="262" w:lineRule="auto"/>
        <w:tabs>
          <w:tab w:leader="none" w:pos="213"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Lender’s obligations hereunder shall remain unchanged for all purposes, (ii) Credit Parties, Agent and Term Loan Servicer shall continue to deal solely and directly with such Lender in connection with such Lender’s rights and obligations hereunder, and (iii) all amounts payable by each Credit Party shall be determined as if such Lender had not sold such participation and shall be paid directly to such Lender. Each Credit Party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right of set-off shall be subject to the obligation of each Participant to share with Lenders, and Lenders agree to share with each Participant, as provided in Section 11.5. Notwithstanding the foregoing,</w:t>
      </w:r>
    </w:p>
    <w:p>
      <w:pPr>
        <w:spacing w:after="0" w:line="4" w:lineRule="exact"/>
        <w:rPr>
          <w:rFonts w:ascii="Times New Roman" w:cs="Times New Roman" w:eastAsia="Times New Roman" w:hAnsi="Times New Roman"/>
          <w:sz w:val="17"/>
          <w:szCs w:val="17"/>
          <w:color w:val="auto"/>
        </w:rPr>
      </w:pPr>
    </w:p>
    <w:p>
      <w:pPr>
        <w:ind w:right="100" w:firstLine="7"/>
        <w:spacing w:after="0" w:line="285" w:lineRule="auto"/>
        <w:tabs>
          <w:tab w:leader="none" w:pos="213"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shall be entitled to receive any greater payment under Section 2.8 with respect to any participation than its participating Lender would have been entitled to receive and (ii) any Participant shall deliver applicable documentation pursuant to Section 2.8(c) to its participating Lender.</w:t>
      </w:r>
    </w:p>
    <w:p>
      <w:pPr>
        <w:spacing w:after="0" w:line="158" w:lineRule="exact"/>
        <w:rPr>
          <w:rFonts w:ascii="Times New Roman" w:cs="Times New Roman" w:eastAsia="Times New Roman" w:hAnsi="Times New Roman"/>
          <w:sz w:val="17"/>
          <w:szCs w:val="17"/>
          <w:color w:val="auto"/>
        </w:rPr>
      </w:pPr>
    </w:p>
    <w:p>
      <w:pPr>
        <w:ind w:right="40" w:firstLine="990"/>
        <w:spacing w:after="0" w:line="251" w:lineRule="auto"/>
        <w:tabs>
          <w:tab w:leader="none" w:pos="122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Within thirty (30) days after: (i) receipt by Agent of notice and demand from any Lender for payment of additional costs as provided in Section 2.8(h), which demand shall not have been revoked, (ii) any Credit Party is required to pay any additional amount to any Lender or any Governmental Authority for the account of any Lender pursuant to Section 2.8(a) through (h),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each of Borrower Representative and Agent may, at its option, notify such Affected Lender and, in the case of Borrowers’ election, Agent, of such Person’s intention to obtain, at Borrowers’ expense, a replacement Lender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for such Lender, which Replacement Lender shall be an Eligible Assignee and, in the event the Replacement Lender is to replace an Affected Lender described in the preceding clause (iv), such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39" w:name="page540"/>
    <w:bookmarkEnd w:id="539"/>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Section 11.17(a);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 Borrowers shall have reimbursed such Lender for its increased costs and additional payments for which it is entitled to reimbursement under Section 2.8(a) through (h), as applicable, of this Agreement through the date of such sale and assignment, and</w:t>
      </w:r>
    </w:p>
    <w:p>
      <w:pPr>
        <w:spacing w:after="0" w:line="1" w:lineRule="exact"/>
        <w:rPr>
          <w:sz w:val="20"/>
          <w:szCs w:val="20"/>
          <w:color w:val="auto"/>
        </w:rPr>
      </w:pPr>
    </w:p>
    <w:p>
      <w:pPr>
        <w:ind w:right="280" w:firstLine="7"/>
        <w:spacing w:after="0" w:line="266" w:lineRule="auto"/>
        <w:tabs>
          <w:tab w:leader="none" w:pos="282"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Credit Parties, shall be effective for purposes of this Section 11.17(c) and Section 11.17(a). Upon any such assignment and payment, such replaced Lender shall no longer constitute a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for purposes hereof, other than with respect to such rights and obligations that survive termination as set forth in Section 13.1.</w:t>
      </w:r>
    </w:p>
    <w:p>
      <w:pPr>
        <w:spacing w:after="0" w:line="176" w:lineRule="exact"/>
        <w:rPr>
          <w:rFonts w:ascii="Times New Roman" w:cs="Times New Roman" w:eastAsia="Times New Roman" w:hAnsi="Times New Roman"/>
          <w:sz w:val="17"/>
          <w:szCs w:val="17"/>
          <w:color w:val="auto"/>
        </w:rPr>
      </w:pPr>
    </w:p>
    <w:p>
      <w:pPr>
        <w:ind w:firstLine="990"/>
        <w:spacing w:after="0" w:line="278" w:lineRule="auto"/>
        <w:tabs>
          <w:tab w:leader="none" w:pos="123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Party Assignments</w:t>
      </w:r>
      <w:r>
        <w:rPr>
          <w:rFonts w:ascii="Times New Roman" w:cs="Times New Roman" w:eastAsia="Times New Roman" w:hAnsi="Times New Roman"/>
          <w:sz w:val="18"/>
          <w:szCs w:val="18"/>
          <w:color w:val="auto"/>
        </w:rPr>
        <w:t>. No Credit Party may assign, delegate or otherwise transfer any of its rights or other obligations hereunder or under any other Financing Document without the prior written consent of Agent and each Lender.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Funding and Settlement Provisions Applicable When Non-Funding Lenders Exist</w:t>
      </w:r>
      <w:r>
        <w:rPr>
          <w:rFonts w:ascii="Times New Roman" w:cs="Times New Roman" w:eastAsia="Times New Roman" w:hAnsi="Times New Roman"/>
          <w:sz w:val="18"/>
          <w:szCs w:val="18"/>
          <w:color w:val="auto"/>
        </w:rPr>
        <w:t>. So long as Agent has not waived the conditions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funding of Loans set forth in Section 7.2 or Section 2.1, any Lender may deliver a notice to Agent stating that such Lender shall cease making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Loans or not fund any tranche of the Term Loan, as applicable, due to the non-satisfaction of one or more conditions to funding Loans set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forth in Section 7.2 or Section 2.1, and specifying any such non-satisfied conditions. Any Lender delivering any such notice shall become a non-funding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 “</w:t>
      </w:r>
      <w:r>
        <w:rPr>
          <w:rFonts w:ascii="Times New Roman" w:cs="Times New Roman" w:eastAsia="Times New Roman" w:hAnsi="Times New Roman"/>
          <w:sz w:val="18"/>
          <w:szCs w:val="18"/>
          <w:b w:val="1"/>
          <w:bCs w:val="1"/>
          <w:color w:val="auto"/>
        </w:rPr>
        <w:t>Non-Funding Lender</w:t>
      </w:r>
      <w:r>
        <w:rPr>
          <w:rFonts w:ascii="Times New Roman" w:cs="Times New Roman" w:eastAsia="Times New Roman" w:hAnsi="Times New Roman"/>
          <w:sz w:val="18"/>
          <w:szCs w:val="18"/>
          <w:color w:val="auto"/>
        </w:rPr>
        <w:t>”) for purposes of this Agreement commencing on the Business Day following receipt by Agent of such notice,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cease to be a Non-Funding Lender on the date on which such Lender has either revoked the effectiveness of such notice or acknowledged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to each of Agent the satisfaction of the condition(s) specified in such notice, or Required Lenders waive the conditions to the funding of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giving rise to such notice by Non-Funding Lender. Each Non-Funding Lender shall remain a Lender for purposes of this Agreement to the extent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such Non-Funding Lender has Revolving Loan Outstanding in excess of Zero Dollars ($0) or Term Loans outstanding in excess of Zero Dollars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($0);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during any period of time that any Non-Funding Lender exists, and notwithstanding any provision to the contrary set forth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the following provisions shall apply:</w:t>
      </w:r>
    </w:p>
    <w:p>
      <w:pPr>
        <w:spacing w:after="0" w:line="202" w:lineRule="exact"/>
        <w:rPr>
          <w:sz w:val="20"/>
          <w:szCs w:val="20"/>
          <w:color w:val="auto"/>
        </w:rPr>
      </w:pPr>
    </w:p>
    <w:p>
      <w:pPr>
        <w:ind w:right="160" w:firstLine="982"/>
        <w:spacing w:after="0" w:line="263" w:lineRule="auto"/>
        <w:rPr>
          <w:sz w:val="20"/>
          <w:szCs w:val="20"/>
          <w:color w:val="auto"/>
        </w:rPr>
      </w:pPr>
      <w:r>
        <w:rPr>
          <w:rFonts w:ascii="Times New Roman" w:cs="Times New Roman" w:eastAsia="Times New Roman" w:hAnsi="Times New Roman"/>
          <w:sz w:val="18"/>
          <w:szCs w:val="18"/>
          <w:color w:val="auto"/>
        </w:rPr>
        <w:t>(a) For purposes of determining the Pro Rata Share of each Lender under clauses (a) and (b) of the definition of such term, each Non-Funding Lender shall be deemed to have a Revolving Loan Commitment Amount and Term Loan Commitment Amount as in effect immediately before such Lender became a Non-Funding Lender.</w:t>
      </w:r>
    </w:p>
    <w:p>
      <w:pPr>
        <w:spacing w:after="0" w:line="175" w:lineRule="exact"/>
        <w:rPr>
          <w:sz w:val="20"/>
          <w:szCs w:val="20"/>
          <w:color w:val="auto"/>
        </w:rPr>
      </w:pPr>
    </w:p>
    <w:p>
      <w:pPr>
        <w:ind w:right="460" w:firstLine="990"/>
        <w:spacing w:after="0" w:line="278" w:lineRule="auto"/>
        <w:tabs>
          <w:tab w:leader="none" w:pos="123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(a) above, the Revolving Loan Commitment Amount and Term Loan Commitment Amount of each Non-Funding Lender shall be deemed to be Zero Dollars ($0).</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8" w:right="539" w:bottom="1440" w:gutter="0" w:footer="0" w:header="0"/>
        </w:sectPr>
      </w:pPr>
    </w:p>
    <w:bookmarkStart w:id="540" w:name="page541"/>
    <w:bookmarkEnd w:id="540"/>
    <w:p>
      <w:pPr>
        <w:ind w:right="100" w:firstLine="990"/>
        <w:spacing w:after="0" w:line="263" w:lineRule="auto"/>
        <w:tabs>
          <w:tab w:leader="none" w:pos="1225"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Revolving Loan Commitment at any date of determination during such period shall be deemed to be equal to the sum of (i) the aggregate Revolving Loan Commitment Amounts of all Lenders, other than the Non-Funding Lenders as of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Revolving Loan Outstandings of all Non-Funding Lenders as of such date.</w:t>
      </w:r>
    </w:p>
    <w:p>
      <w:pPr>
        <w:spacing w:after="0" w:line="175" w:lineRule="exact"/>
        <w:rPr>
          <w:rFonts w:ascii="Times New Roman" w:cs="Times New Roman" w:eastAsia="Times New Roman" w:hAnsi="Times New Roman"/>
          <w:sz w:val="18"/>
          <w:szCs w:val="18"/>
          <w:color w:val="auto"/>
        </w:rPr>
      </w:pPr>
    </w:p>
    <w:p>
      <w:pPr>
        <w:ind w:firstLine="990"/>
        <w:spacing w:after="0" w:line="263" w:lineRule="auto"/>
        <w:tabs>
          <w:tab w:leader="none" w:pos="1235"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 Commitment at any date of determination during such period shall be deemed to be equal to the sum of (i) the aggregate Term Loan Commitment Amounts of all Lenders, other than the Non-Funding Lenders as of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principal amount outstanding under the Term Loans of all Non-Funding Lenders as of such date.</w:t>
      </w:r>
    </w:p>
    <w:p>
      <w:pPr>
        <w:spacing w:after="0" w:line="17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shall have no right to make or disburse Revolving Loans for the account of any Non-Funding Lender pursuant to Section 2.1(b)</w:t>
      </w:r>
    </w:p>
    <w:p>
      <w:pPr>
        <w:spacing w:after="0" w:line="37" w:lineRule="exact"/>
        <w:rPr>
          <w:rFonts w:ascii="Times New Roman" w:cs="Times New Roman" w:eastAsia="Times New Roman" w:hAnsi="Times New Roman"/>
          <w:sz w:val="17"/>
          <w:szCs w:val="17"/>
          <w:color w:val="auto"/>
        </w:rPr>
      </w:pPr>
    </w:p>
    <w:p>
      <w:pPr>
        <w:ind w:left="220" w:hanging="213"/>
        <w:spacing w:after="0"/>
        <w:tabs>
          <w:tab w:leader="none" w:pos="2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interest, fees, expenses and other charges of any Credit Party.</w:t>
      </w:r>
    </w:p>
    <w:p>
      <w:pPr>
        <w:spacing w:after="0" w:line="202" w:lineRule="exact"/>
        <w:rPr>
          <w:rFonts w:ascii="Times New Roman" w:cs="Times New Roman" w:eastAsia="Times New Roman" w:hAnsi="Times New Roman"/>
          <w:sz w:val="18"/>
          <w:szCs w:val="18"/>
          <w:color w:val="auto"/>
        </w:rPr>
      </w:pPr>
    </w:p>
    <w:p>
      <w:pPr>
        <w:ind w:right="80" w:firstLine="990"/>
        <w:spacing w:after="0" w:line="263" w:lineRule="auto"/>
        <w:tabs>
          <w:tab w:leader="none" w:pos="1205"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Agent applies proceeds of Collateral or other payments received by Agent to repayment of Revolving Loans or Term Loans pursuant to Section 10.7, such payments and proceeds shall be applied first in respect of Revolving Loans or Term Loans made at the time any Non-Funding Lenders exist, and second in respect of all other outstanding Revolving Loans or Term Loans, as applicable.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 – GUARANTY</w:t>
      </w:r>
    </w:p>
    <w:p>
      <w:pPr>
        <w:spacing w:after="0" w:line="225"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Guarantor hereby unconditionally guarantees, as a primary obligor and not merely as a surety, jointly and severally with each other Guarantor when and as due, whether at maturity, by acceleration, by notice of prepayment or otherwise, the due and punctual performance of all of the Obligations, including payment in full of the principal, accrued but unpaid interest and all other amounts due and owing to the Agent, Term Loan Servicer and Lenders under the Loans and (b) indemnifies each Lender immediately on demand against any cost, loss or liability suffered by such Lender if any obligations guaranteed by it are or become unenforceable, invalid, voided, avoid or illegal, the amount of which such cost, loss or liability shall be equal to the amount which such Lender would otherwise be entitled to recover. Each payment made by any Guarantor pursuant to this Article 12 shall be made in lawful money of the United States in immediately available funds. Each Guarantor hereby acknowledges and agrees that it is an Affiliate of a Borrower or other interested party and will derive significant economic benefit from the Loans.</w:t>
      </w:r>
    </w:p>
    <w:p>
      <w:pPr>
        <w:spacing w:after="0" w:line="187"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Payment of Amounts Owed</w:t>
      </w:r>
      <w:r>
        <w:rPr>
          <w:rFonts w:ascii="Times New Roman" w:cs="Times New Roman" w:eastAsia="Times New Roman" w:hAnsi="Times New Roman"/>
          <w:sz w:val="18"/>
          <w:szCs w:val="18"/>
          <w:color w:val="auto"/>
        </w:rPr>
        <w:t>. The Guarantee hereunder is an absolute, unconditional and continuing guarantee of the full and punctual payment and performance of all of the Obligations and not of their collectability only and is in no way conditioned upon any requirement that the Agent, Term Loan Servicer or any Lender first attempt to collect any of the Obligations from any Borrower or resort to any collateral security or other means of obtaining payment. In the event of any default by Borrowers in the payment of the Obligations, after the expiration of any applicable cure or grace period, each Guarantor agrees, on demand by Agent (which demand may be made, subject to any applicable cure or grace period, concurrently with notice to Borrowers that the Borrowers are in default of their obligations), to pay the Obligations, regardless of any defense, right of set-off or recoupment or claims which any Borrower or Guarantor may have against Agent, Term Loan Servicer or Lenders or the holder of the Notes other than the defense of payment in full of the Obligations (other than inchoate indemnification obligations for which no claim has yet been made). The choice by Agent, Term Loan Servicer or Lenders of one alternative remedy over another shall not be subject to question or challenge by any Guarantor or any other Person, nor shall any such choice be asserted as a defense, setoff, recoupment or failure to mitigate damages in any action, proceeding, or counteraction by Agent, Term Loan Servicer or Lenders to recover or seeking any other remedy under this Guarantee, nor shall such choice preclude Agent, Term Loan Servicer or Lenders from subsequently electing to exercise a different remedy.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41" w:name="page542"/>
    <w:bookmarkEnd w:id="541"/>
    <w:p>
      <w:pPr>
        <w:jc w:val="both"/>
        <w:ind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12.3 </w:t>
      </w:r>
      <w:r>
        <w:rPr>
          <w:rFonts w:ascii="Times New Roman" w:cs="Times New Roman" w:eastAsia="Times New Roman" w:hAnsi="Times New Roman"/>
          <w:sz w:val="18"/>
          <w:szCs w:val="18"/>
          <w:u w:val="single" w:color="auto"/>
          <w:color w:val="auto"/>
        </w:rPr>
        <w:t>Certain Waivers by Guarantor</w:t>
      </w:r>
      <w:r>
        <w:rPr>
          <w:rFonts w:ascii="Times New Roman" w:cs="Times New Roman" w:eastAsia="Times New Roman" w:hAnsi="Times New Roman"/>
          <w:sz w:val="18"/>
          <w:szCs w:val="18"/>
          <w:color w:val="auto"/>
        </w:rPr>
        <w:t>. To the fullest extent permitted by Law, each Guarantor does hereby: (a) (a) waive notice of acceptance of this Agreement by Agent, Term Loan Servicer and Lenders and any and all notices and demands of every kind which may be required to be given by Law;</w:t>
      </w:r>
    </w:p>
    <w:p>
      <w:pPr>
        <w:spacing w:after="0" w:line="175" w:lineRule="exact"/>
        <w:rPr>
          <w:sz w:val="20"/>
          <w:szCs w:val="20"/>
          <w:color w:val="auto"/>
        </w:rPr>
      </w:pPr>
    </w:p>
    <w:p>
      <w:pPr>
        <w:ind w:right="400" w:firstLine="990"/>
        <w:spacing w:after="0" w:line="263" w:lineRule="auto"/>
        <w:tabs>
          <w:tab w:leader="none" w:pos="123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refrain from asserting, until after repayment in full of the Obligations (other than inchoate indemnification obligations for which no claim has yet been made) and the termination of the Revolving Loan Commitments and Term Loan Commitments, any defense, right of set-off, right of recoupment or other claim which such Guarantor may have against any Borrower;</w:t>
      </w:r>
    </w:p>
    <w:p>
      <w:pPr>
        <w:spacing w:after="0" w:line="175" w:lineRule="exact"/>
        <w:rPr>
          <w:rFonts w:ascii="Times New Roman" w:cs="Times New Roman" w:eastAsia="Times New Roman" w:hAnsi="Times New Roman"/>
          <w:sz w:val="18"/>
          <w:szCs w:val="18"/>
          <w:color w:val="auto"/>
        </w:rPr>
      </w:pPr>
    </w:p>
    <w:p>
      <w:pPr>
        <w:ind w:right="500" w:firstLine="990"/>
        <w:spacing w:after="0" w:line="278" w:lineRule="auto"/>
        <w:tabs>
          <w:tab w:leader="none" w:pos="122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defense (other than payment in full of the Obligations), right of set-off, right of recoupment or other claim which such Guarantor may have against Agent, Term Loan Servicer, Lenders or the holder of the Notes;</w:t>
      </w:r>
    </w:p>
    <w:p>
      <w:pPr>
        <w:spacing w:after="0" w:line="16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and all rights such Guarantor may have under any anti-deficiency statute or other similar protections;</w:t>
      </w:r>
    </w:p>
    <w:p>
      <w:pPr>
        <w:spacing w:after="0" w:line="220" w:lineRule="exact"/>
        <w:rPr>
          <w:rFonts w:ascii="Times New Roman" w:cs="Times New Roman" w:eastAsia="Times New Roman" w:hAnsi="Times New Roman"/>
          <w:sz w:val="18"/>
          <w:szCs w:val="18"/>
          <w:color w:val="auto"/>
        </w:rPr>
      </w:pPr>
    </w:p>
    <w:p>
      <w:pPr>
        <w:ind w:right="640" w:firstLine="990"/>
        <w:spacing w:after="0" w:line="285" w:lineRule="auto"/>
        <w:tabs>
          <w:tab w:leader="none" w:pos="1225"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all rights at Law or in equity to seek subrogation, contribution, indemnification or any other form of reimbursement or repayment from any Borrower, any other Guarantor or any other person or entity now or hereafter primarily or secondarily liable for any of the Obligations until the Obligations have been paid in full (other than inchoate indemnification obligations for which no claim has yet been made);</w:t>
      </w:r>
    </w:p>
    <w:p>
      <w:pPr>
        <w:spacing w:after="0" w:line="159" w:lineRule="exact"/>
        <w:rPr>
          <w:rFonts w:ascii="Times New Roman" w:cs="Times New Roman" w:eastAsia="Times New Roman" w:hAnsi="Times New Roman"/>
          <w:sz w:val="17"/>
          <w:szCs w:val="17"/>
          <w:color w:val="auto"/>
        </w:rPr>
      </w:pPr>
    </w:p>
    <w:p>
      <w:pPr>
        <w:ind w:right="380" w:firstLine="990"/>
        <w:spacing w:after="0" w:line="278" w:lineRule="auto"/>
        <w:tabs>
          <w:tab w:leader="none" w:pos="120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presentment for payment, demand for payment, notice of nonpayment or dishonor, protest and notice of protest, diligence in collection and any and all formalities which otherwise might be legally required to charge such Guarantor with liability;</w:t>
      </w:r>
    </w:p>
    <w:p>
      <w:pPr>
        <w:spacing w:after="0" w:line="162" w:lineRule="exact"/>
        <w:rPr>
          <w:rFonts w:ascii="Times New Roman" w:cs="Times New Roman" w:eastAsia="Times New Roman" w:hAnsi="Times New Roman"/>
          <w:sz w:val="18"/>
          <w:szCs w:val="18"/>
          <w:color w:val="auto"/>
        </w:rPr>
      </w:pPr>
    </w:p>
    <w:p>
      <w:pPr>
        <w:ind w:right="400" w:firstLine="990"/>
        <w:spacing w:after="0" w:line="278" w:lineRule="auto"/>
        <w:tabs>
          <w:tab w:leader="none" w:pos="123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benefit of all appraisement, valuation, marshalling, forbearance, stay, extension, redemption, homestead, exemption and moratorium Laws now or hereafter in effect;</w:t>
      </w:r>
    </w:p>
    <w:p>
      <w:pPr>
        <w:spacing w:after="0" w:line="162" w:lineRule="exact"/>
        <w:rPr>
          <w:rFonts w:ascii="Times New Roman" w:cs="Times New Roman" w:eastAsia="Times New Roman" w:hAnsi="Times New Roman"/>
          <w:sz w:val="18"/>
          <w:szCs w:val="18"/>
          <w:color w:val="auto"/>
        </w:rPr>
      </w:pPr>
    </w:p>
    <w:p>
      <w:pPr>
        <w:ind w:right="280" w:firstLine="990"/>
        <w:spacing w:after="0" w:line="263" w:lineRule="auto"/>
        <w:tabs>
          <w:tab w:leader="none" w:pos="123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defense based on the incapacity, lack of authority, death or disability of any other person or entity or the failure of Agent, Term Loan Servicer or Lenders to file or enforce a claim against the estate of any other person or entity in any administrative, bankruptcy or other proceeding;</w:t>
      </w:r>
    </w:p>
    <w:p>
      <w:pPr>
        <w:spacing w:after="0" w:line="175" w:lineRule="exact"/>
        <w:rPr>
          <w:rFonts w:ascii="Times New Roman" w:cs="Times New Roman" w:eastAsia="Times New Roman" w:hAnsi="Times New Roman"/>
          <w:sz w:val="18"/>
          <w:szCs w:val="18"/>
          <w:color w:val="auto"/>
        </w:rPr>
      </w:pPr>
    </w:p>
    <w:p>
      <w:pPr>
        <w:ind w:right="20" w:firstLine="990"/>
        <w:spacing w:after="0" w:line="263" w:lineRule="auto"/>
        <w:tabs>
          <w:tab w:leader="none" w:pos="11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defense based on an election of remedies by Agent, Term Loan Servicer or Lenders, whether or not such election may affect in any way the recourse, subrogation or other rights of such Guarantor against any Borrower, any other Guarantor or any other person in connection with the Obligations;</w:t>
      </w:r>
    </w:p>
    <w:p>
      <w:pPr>
        <w:spacing w:after="0" w:line="175" w:lineRule="exact"/>
        <w:rPr>
          <w:rFonts w:ascii="Times New Roman" w:cs="Times New Roman" w:eastAsia="Times New Roman" w:hAnsi="Times New Roman"/>
          <w:sz w:val="18"/>
          <w:szCs w:val="18"/>
          <w:color w:val="auto"/>
        </w:rPr>
      </w:pPr>
    </w:p>
    <w:p>
      <w:pPr>
        <w:ind w:right="60" w:firstLine="990"/>
        <w:spacing w:after="0" w:line="255" w:lineRule="auto"/>
        <w:tabs>
          <w:tab w:leader="none" w:pos="11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after payment in full of the Obligations (other than inchoate indemnification obligations for which no claim has yet been made) and the termination of the Revolving Loan Commitments and Term Loan Commitments, waive any right to file any Claim (as defined below) as part of, and any right to request consolidation of any action or proceeding relating to a Claim with, any action or proceeding filed or maintained by Agent, Term Loan Servicer or Lenders to collect any Obligations of such Guarantor to Agent, Term Loan Servicer or Lenders hereunder or to exercise any rights or remedies available to Agent, Term Loan Servicer or Lenders under the Financing Documents, at law, in equity or otherwise;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42" w:name="page543"/>
    <w:bookmarkEnd w:id="542"/>
    <w:p>
      <w:pPr>
        <w:ind w:right="120" w:firstLine="990"/>
        <w:spacing w:after="0" w:line="278" w:lineRule="auto"/>
        <w:tabs>
          <w:tab w:leader="none" w:pos="123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waive any defense based on the failure of the Agent or Lenders to (i) provide notice to such Guarantor of a sale or other disposition of any of the security for any of the Obligations, or (ii) conduct such a sale or disposition in a commercially reasonable manner;</w:t>
      </w:r>
    </w:p>
    <w:p>
      <w:pPr>
        <w:spacing w:after="0" w:line="162" w:lineRule="exact"/>
        <w:rPr>
          <w:rFonts w:ascii="Times New Roman" w:cs="Times New Roman" w:eastAsia="Times New Roman" w:hAnsi="Times New Roman"/>
          <w:sz w:val="18"/>
          <w:szCs w:val="18"/>
          <w:color w:val="auto"/>
        </w:rPr>
      </w:pPr>
    </w:p>
    <w:p>
      <w:pPr>
        <w:ind w:right="20" w:firstLine="990"/>
        <w:spacing w:after="0" w:line="258" w:lineRule="auto"/>
        <w:tabs>
          <w:tab w:leader="none" w:pos="119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defense based on the negligence of Agent, Term Loan Servicer or Lenders in administering this Agreement or the other Financing Documents (including, but not limited to, the failure to perfect any security interest in any Collateral), or taking or failing to take any action in connection therewith,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waiver shall not apply to the gross negligence or willful misconduct of the Agent, Term Loan Servicer or Lenders, as determined by the final, non-appealable decision of a court having proper jurisdiction;</w:t>
      </w:r>
    </w:p>
    <w:p>
      <w:pPr>
        <w:spacing w:after="0" w:line="179"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defense of expiration of any statute of limitations affecting the liability of such Guarantor hereunder or the enforcement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2" w:lineRule="exact"/>
        <w:rPr>
          <w:rFonts w:ascii="Times New Roman" w:cs="Times New Roman" w:eastAsia="Times New Roman" w:hAnsi="Times New Roman"/>
          <w:sz w:val="18"/>
          <w:szCs w:val="18"/>
          <w:color w:val="auto"/>
        </w:rPr>
      </w:pPr>
    </w:p>
    <w:p>
      <w:pPr>
        <w:jc w:val="both"/>
        <w:ind w:right="140" w:firstLine="990"/>
        <w:spacing w:after="0" w:line="258" w:lineRule="auto"/>
        <w:tabs>
          <w:tab w:leader="none" w:pos="123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right to file any Claim (as defined below) as part of, and any right to request consolidation of any action or proceeding relating to a Claim with, any action or proceeding filed or maintained by Agent, Term Loan Servicer or Lenders to collect any Obligations of such Guarantor to Agent, Term Loan Servicer or Lenders hereunder or to exercise any rights or remedies available to Agent, Term Loan Servicer or Lenders under the Financing Documents, at law, in equity or otherwise;</w:t>
      </w:r>
    </w:p>
    <w:p>
      <w:pPr>
        <w:spacing w:after="0" w:line="179" w:lineRule="exact"/>
        <w:rPr>
          <w:rFonts w:ascii="Times New Roman" w:cs="Times New Roman" w:eastAsia="Times New Roman" w:hAnsi="Times New Roman"/>
          <w:sz w:val="18"/>
          <w:szCs w:val="18"/>
          <w:color w:val="auto"/>
        </w:rPr>
      </w:pPr>
    </w:p>
    <w:p>
      <w:pPr>
        <w:jc w:val="both"/>
        <w:ind w:right="20" w:firstLine="990"/>
        <w:spacing w:after="0" w:line="263" w:lineRule="auto"/>
        <w:tabs>
          <w:tab w:leader="none" w:pos="123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neither Agent, Term Loan Servicer nor Lenders shall have any obligation to obtain, perfect or retain a security interest in any property to secure any of the Obligations (including any mortgage or security interest contemplated by the Financing Documents), or to protect or insure any such property;</w:t>
      </w:r>
    </w:p>
    <w:p>
      <w:pPr>
        <w:spacing w:after="0" w:line="175"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obligation Agent, Term Loan Servicer or Lenders may have to disclose to such Guarantor any facts the Agent, Term Loan Servicer or Lenders now or hereafter may know or have reasonably available to it regarding the Borrowers or Borrowers’ financial condition, whether or not the Agent, Term Loan Servicer or Lenders have a reasonable opportunity to communicate such facts or have reason to believe that any such facts are unknown to such Guarantor or materially increase the risk to such Guarantor beyond the risk such Guarantor intends to assume hereunder;</w:t>
      </w:r>
    </w:p>
    <w:p>
      <w:pPr>
        <w:spacing w:after="0" w:line="179" w:lineRule="exact"/>
        <w:rPr>
          <w:rFonts w:ascii="Times New Roman" w:cs="Times New Roman" w:eastAsia="Times New Roman" w:hAnsi="Times New Roman"/>
          <w:sz w:val="18"/>
          <w:szCs w:val="18"/>
          <w:color w:val="auto"/>
        </w:rPr>
      </w:pPr>
    </w:p>
    <w:p>
      <w:pPr>
        <w:jc w:val="both"/>
        <w:ind w:right="220" w:firstLine="990"/>
        <w:spacing w:after="0" w:line="263" w:lineRule="auto"/>
        <w:tabs>
          <w:tab w:leader="none" w:pos="123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neither Agent, Term Loan Servicer nor Lenders shall be liable in any way for any decrease in the value or marketability of any property securing any of the Obligations which may result from any action or omission of the Agent, Term Loan Servicer or Lenders in enforcing any part of this Agreement;</w:t>
      </w:r>
    </w:p>
    <w:p>
      <w:pPr>
        <w:spacing w:after="0" w:line="175"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defense based on any invalidity, irregularity or unenforceability, in whole or in part, of any one or more of the Financing</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2" w:lineRule="exact"/>
        <w:rPr>
          <w:rFonts w:ascii="Times New Roman" w:cs="Times New Roman" w:eastAsia="Times New Roman" w:hAnsi="Times New Roman"/>
          <w:sz w:val="18"/>
          <w:szCs w:val="18"/>
          <w:color w:val="auto"/>
        </w:rPr>
      </w:pPr>
    </w:p>
    <w:p>
      <w:pPr>
        <w:ind w:left="1100" w:hanging="237"/>
        <w:spacing w:after="0"/>
        <w:tabs>
          <w:tab w:leader="none" w:pos="11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defense based on any change in the composition of Borrowers, and</w:t>
      </w:r>
    </w:p>
    <w:p>
      <w:pPr>
        <w:spacing w:after="0" w:line="220" w:lineRule="exact"/>
        <w:rPr>
          <w:rFonts w:ascii="Times New Roman" w:cs="Times New Roman" w:eastAsia="Times New Roman" w:hAnsi="Times New Roman"/>
          <w:sz w:val="18"/>
          <w:szCs w:val="18"/>
          <w:color w:val="auto"/>
        </w:rPr>
      </w:pPr>
    </w:p>
    <w:p>
      <w:pPr>
        <w:ind w:right="120" w:firstLine="990"/>
        <w:spacing w:after="0" w:line="278" w:lineRule="auto"/>
        <w:tabs>
          <w:tab w:leader="none" w:pos="1195"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defense based on any representations and warranties made by such Guarantor herein or by any Borrower herein or in any of the Financing Documents.</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For purposes of this section, the term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shall mean any claim, action or cause of action, defense, counterclaim, set-off or right of recoupment of any kind or nature against the Agent, Term Loan Servicer or Lenders, its officers, directors, employees, agents, members, actuaries, accountants, trustees or attorneys, or any affiliate of the Agent, Term Loan Servicer or Lenders in connection with the making, closing, administration, collection or enforcement by the Agent, Term Loan Servicer or Lenders of the Obligations.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43" w:name="page544"/>
    <w:bookmarkEnd w:id="543"/>
    <w:p>
      <w:pPr>
        <w:ind w:firstLine="436"/>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12.4 </w:t>
      </w:r>
      <w:r>
        <w:rPr>
          <w:rFonts w:ascii="Times New Roman" w:cs="Times New Roman" w:eastAsia="Times New Roman" w:hAnsi="Times New Roman"/>
          <w:sz w:val="17"/>
          <w:szCs w:val="17"/>
          <w:u w:val="single" w:color="auto"/>
          <w:color w:val="auto"/>
        </w:rPr>
        <w:t>Guarantor’s Obligations Not Affected by Modifications of Financing Documents</w:t>
      </w:r>
      <w:r>
        <w:rPr>
          <w:rFonts w:ascii="Times New Roman" w:cs="Times New Roman" w:eastAsia="Times New Roman" w:hAnsi="Times New Roman"/>
          <w:sz w:val="17"/>
          <w:szCs w:val="17"/>
          <w:color w:val="auto"/>
        </w:rPr>
        <w:t>. Each Guarantor further agrees that such Guarantor’s liability as guarantor shall not be impaired or affected by any renewals or extensions which may be made from time to time, with or without the knowledge or consent of Guarantor for the time for payment of interest or principal or by any forbearance or delay in collecting interest or principal hereunder, or by any waiver by Agent or Lenders under this Agreement or any other Financing Documents, or by Agent’s, Term Loan Servicer’s or Lenders’ failure or election not to pursue any other remedies it may have against any Borrower or Guarantor, or by any change or modification in the Notes, this Agreement or any other Financing Document, or by the acceptance by Agent or Lenders of any additional security or any increase, substitution or change therein, or by the release by Agent or Lenders of any security or any withdrawal thereof or decrease therein, or by the application of payments received from any source to the payment of any obligation other than the Obligations even though Agent, Term Loan Servicer or Lenders might lawfully have elected to apply such payments to any part or all of the Obligations, it being the intent hereof that, subject to Agent’s, Term Loan Servicer’s or Lenders’ compliance with the terms of this Article 12 and the Financing Documents, each Guarantor shall remain liable for the payment of the Obligations, until the Obligations have been paid in full (other than inchoate indemnification obligations for which no claim has yet been made), notwithstanding any act or thing which might otherwise operate as a legal or equitable discharge of a surety. Each Guarantor further understands and agrees that Agent or Lenders may at any time enter into agreements with Borrowers to amend, modify and/or increase the principal amount of, interest rate applicable to or other economic and non-economic terms of this Agreement or the other Financing Documents, and may waive or release any provision or provisions of this Agreement or the other Financing Documents, and, with reference to such instruments, may make and enter into any such agreement or agreements as Agent, Lenders and Borrowers may deem proper and desirable, without in any manner impairing this Guarantee or any of Agent’s, Term Loan Servicer’s or Lenders’ rights hereunder or each Guarantor’s obligations hereunder, and each Guarantor’s obligations hereunder shall apply to the this Agreement and other Financing Documents as so amended, modified, extended, renewed or increased.</w:t>
      </w:r>
    </w:p>
    <w:p>
      <w:pPr>
        <w:spacing w:after="0" w:line="396"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u w:val="single" w:color="auto"/>
          <w:color w:val="auto"/>
        </w:rPr>
        <w:t>Reinstatement; Deficiency</w:t>
      </w:r>
      <w:r>
        <w:rPr>
          <w:rFonts w:ascii="Times New Roman" w:cs="Times New Roman" w:eastAsia="Times New Roman" w:hAnsi="Times New Roman"/>
          <w:sz w:val="18"/>
          <w:szCs w:val="18"/>
          <w:color w:val="auto"/>
        </w:rPr>
        <w:t>. This guaranty shall continue to be effective or be reinstated (as the case may be) if at any time payment of all or any part of any sum payable pursuant to this Agreement or any other Financing Document is rescinded or otherwise required to be returned by Agent, Term Loan Servicer or Lenders upon the insolvency, bankruptcy, dissolution, liquidation, or reorganization of any Borrower, or upon or as a result of the appointment of a receiver, intervenor, custodian or conservator of or trustee or similar officer for, any Borrower or any substantial part of its property, or otherwise, all as though such payment to Agent, Term Loan Servicer or Lenders had not been made, regardless of whether Agent, Term Loan Servicer or Lenders contested the order requiring the return of such payment. In the event of the foreclosure of the Financing Documents and of a deficiency, each Guarantor hereby promises and agrees forthwith to pay the amount of such deficiency notwithstanding the fact that recovery of said deficiency against Borrowers would not be allowed by applicable law; however, the foregoing shall not be deemed to require that Agent, Term Loan Servicer or Lenders institute foreclosure proceedings or otherwise resort to or exhaust any other collateral or security prior to or concurrently with enforcing this guaranty.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u w:val="single" w:color="auto"/>
          <w:color w:val="auto"/>
        </w:rPr>
        <w:t>Subordination of Borrowers’ Obligations to Guarantors; Claims in Bankruptcy</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112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44" w:name="page545"/>
    <w:bookmarkEnd w:id="544"/>
    <w:p>
      <w:pPr>
        <w:ind w:right="20" w:firstLine="990"/>
        <w:spacing w:after="0" w:line="251" w:lineRule="auto"/>
        <w:tabs>
          <w:tab w:leader="none" w:pos="122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indebtedness of any Borrower to any Guarantor (including, but not limited to, any right of such Guarantor to a return of any capital contributed to a Borrower), whether now or hereafter existing, is hereby subordinated to the payment of the Obligations. Each Guarantor agrees that, until the Obligations have been paid in full (other than inchoate indemnification obligations for which no claim has yet been made), such Guarantor will not seek, accept, or retain for its own account, any payment from any Borrower on account of such subordinated debt, except as permitted in this Agreement or the other Financing Documents. Until the payment in full of the Obligations (other than inchoate indemnification obligations for which no claim has yet been made) and the termination of the Revolving Loan Commitments and Term Loan Commitments, and except to the extent such payment is permitted by this Agreement or the other Financing Documents, any payments to any Guarantor on account of such subordinated debt shall be collected and received by such Guarantor in trust for Agent and Lenders and shall be immediately paid over to Agent, for the benefit of Agent and Lenders, on account of the Obligations without impairing or releasing the obligations of such Guarantor hereunder.</w:t>
      </w:r>
    </w:p>
    <w:p>
      <w:pPr>
        <w:spacing w:after="0" w:line="191" w:lineRule="exact"/>
        <w:rPr>
          <w:rFonts w:ascii="Times New Roman" w:cs="Times New Roman" w:eastAsia="Times New Roman" w:hAnsi="Times New Roman"/>
          <w:sz w:val="18"/>
          <w:szCs w:val="18"/>
          <w:color w:val="auto"/>
        </w:rPr>
      </w:pPr>
    </w:p>
    <w:p>
      <w:pPr>
        <w:ind w:right="240" w:firstLine="990"/>
        <w:spacing w:after="0" w:line="251" w:lineRule="auto"/>
        <w:tabs>
          <w:tab w:leader="none" w:pos="123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shall promptly file in any bankruptcy or other proceeding in which the filing of claims is required by law, all claims and proofs of claims that such Guarantor may have against any Borrower or any other Guarantor and does hereby assign to Agent or its nominee (and will, upon request of Agent, reconfirm in writing the assignment to Agent or its nominee of) all rights of such Guarantor under such claims. If such Guarantor does not file any such claim, Agent, as attorney-in-fact for such Guarantor, is hereby irrevocably authorized to do so in the name of such Guarantor, or in Agent’s discretion, to assign the claim to a designee and cause proof of claim to be filed in the name of Agent’s designee. In all such cases, whether in administration, bankruptcy or otherwise, the person or persons authorized to pay such claim shall pay to Agent, for the benefit of Agent and Lenders, the full amount thereof and, to the full extent necessary for that purpose, each Guarantor hereby assigns to the Lenders all of such Guarantor’s rights to any such payments or distributions to which such Guarantor would otherwise be entitled, such assignment being a present and irrevocable assignment of all such rights.</w:t>
      </w:r>
    </w:p>
    <w:p>
      <w:pPr>
        <w:spacing w:after="0" w:line="192"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12.7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The provisions of this Article 12 are severable, and in any action or proceeding involving any state corporate law, or any state, federal or foreign bankruptcy, insolvency, reorganization or other law affecting the rights of creditors generally, if the obligations of any Guarantor under this Article 12 would otherwise be held or determined to be avoidable, invalid or unenforceable on account of the amount of such Guarantor’s liability under this Article 12, then, notwithstanding any other provision of this Article 12 to the contrary, the amount of such liability shall, without any further action by the Guarantors or the Agent, Term Loan Servicer or any Lender, be automatically limited and reduced to the highest amount that is valid and enforceable as determined in such action or proceeding (such highest amount determined hereunder being the relevant Guarantor’s “</w:t>
      </w:r>
      <w:r>
        <w:rPr>
          <w:rFonts w:ascii="Times New Roman" w:cs="Times New Roman" w:eastAsia="Times New Roman" w:hAnsi="Times New Roman"/>
          <w:sz w:val="18"/>
          <w:szCs w:val="18"/>
          <w:b w:val="1"/>
          <w:bCs w:val="1"/>
          <w:color w:val="auto"/>
        </w:rPr>
        <w:t>Maximum Liability</w:t>
      </w:r>
      <w:r>
        <w:rPr>
          <w:rFonts w:ascii="Times New Roman" w:cs="Times New Roman" w:eastAsia="Times New Roman" w:hAnsi="Times New Roman"/>
          <w:sz w:val="18"/>
          <w:szCs w:val="18"/>
          <w:color w:val="auto"/>
        </w:rPr>
        <w:t>”). This Section 12.7 with respect to the Maximum Liability of each Guarantor is intended solely to preserve the rights of the Agent, Term Loan Servicer and the Lenders to the maximum extent not subject to avoidance under applicable law, and no Guarantor nor any other Person shall have any right or claim under this Section 12.7 with respect to such Maximum Liability, except to the extent necessary so that the obligations of any Guarantor hereunder shall not be rendered voidable under applicable law. Each Guarantor agrees that the Obligations may at any time and from time to time exceed the Maximum Liability of each Guarantor without impairing this guaranty or affecting the rights and remedies of the Agent, Term Loan Servicer or the Lenders hereunder, provided that, nothing in this sentence shall be construed to increase any Guarantor’s obligations hereunder beyond its Maximum Liability.</w:t>
      </w:r>
    </w:p>
    <w:p>
      <w:pPr>
        <w:spacing w:after="0" w:line="193"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12.8 </w:t>
      </w:r>
      <w:r>
        <w:rPr>
          <w:rFonts w:ascii="Times New Roman" w:cs="Times New Roman" w:eastAsia="Times New Roman" w:hAnsi="Times New Roman"/>
          <w:sz w:val="18"/>
          <w:szCs w:val="18"/>
          <w:u w:val="single" w:color="auto"/>
          <w:color w:val="auto"/>
        </w:rPr>
        <w:t>Guarantor’s Investigation</w:t>
      </w:r>
      <w:r>
        <w:rPr>
          <w:rFonts w:ascii="Times New Roman" w:cs="Times New Roman" w:eastAsia="Times New Roman" w:hAnsi="Times New Roman"/>
          <w:sz w:val="18"/>
          <w:szCs w:val="18"/>
          <w:color w:val="auto"/>
        </w:rPr>
        <w:t>. Each Guarantor acknowledges receipt of a copy of each of this Agreement and the other Financing Documents. Each Guarantor has made an independent investigation of the other Credit Parties and of the financial condition of the other Credit Parties. Neither Agent, Term Loan Servicer nor any Lender has made and neither Agent, Term Loan Servicer nor any Lender does make any representations or warranties as to the income, expense, operation, finances or any other matter or thing affecting any Credit Party nor has Agent, Term Loan Servicer or any Lender made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45" w:name="page546"/>
    <w:bookmarkEnd w:id="54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representations or warranties as to the amount or nature of the Obligations of any Credit Party to which this Article 12 applies as specifically herein set forth, nor has Agent, Term Loan Servicer or any Lender or any officer, agent or employee of Agent, Term Loan Servicer or any Lender or any representative thereof, made any other oral representations, agreements or commitments of any kind or nature, and each Guarantor hereby expressly acknowledges that no such representations or warranties have been made and such Guarantor expressly disclaims reliance on any such representations or warranties.</w:t>
      </w:r>
    </w:p>
    <w:p>
      <w:pPr>
        <w:spacing w:after="0" w:line="184" w:lineRule="exact"/>
        <w:rPr>
          <w:sz w:val="20"/>
          <w:szCs w:val="20"/>
          <w:color w:val="auto"/>
        </w:rPr>
      </w:pPr>
    </w:p>
    <w:p>
      <w:pPr>
        <w:jc w:val="both"/>
        <w:ind w:right="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12.9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provisions of this Article 12 shall remain in effect until this Agreement has terminated pursuant to its terms and all Obligations (other than inchoate indemnity obligations for which no claim has been made and any other obligations which, by their terms, are to survive the termination of this Agreement) have been paid and satisfied in full.</w:t>
      </w:r>
    </w:p>
    <w:p>
      <w:pPr>
        <w:spacing w:after="0" w:line="175"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Each Guarantor hereby designates Borrower Representative and its representatives and agents on its behalf for the purpose of giving and receiving all notices and other consents hereunder or under any other Financing Document and taking all other actions on behalf of such Guarantor under the Financing Documents. Borrower Representative hereby accepts such appointment.</w:t>
      </w:r>
    </w:p>
    <w:p>
      <w:pPr>
        <w:spacing w:after="0" w:line="175" w:lineRule="exact"/>
        <w:rPr>
          <w:sz w:val="20"/>
          <w:szCs w:val="20"/>
          <w:color w:val="auto"/>
        </w:rPr>
      </w:pPr>
    </w:p>
    <w:p>
      <w:pPr>
        <w:ind w:right="100"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u w:val="single" w:color="auto"/>
          <w:color w:val="auto"/>
        </w:rPr>
        <w:t>Guarantor Acknowledgement</w:t>
      </w:r>
      <w:r>
        <w:rPr>
          <w:rFonts w:ascii="Times New Roman" w:cs="Times New Roman" w:eastAsia="Times New Roman" w:hAnsi="Times New Roman"/>
          <w:sz w:val="18"/>
          <w:szCs w:val="18"/>
          <w:color w:val="auto"/>
        </w:rPr>
        <w:t>. Without limiting the generality of the foregoing, each Guarantor, by its acceptance of this Guaranty, hereby confirms that it is a Subsidiary of a Borrower and each Guarantor further confirms that it will materially benefit from the Loans made hereunder and the parties hereto intend that this Guaranty not constitute a fraudulent transfer or conveyance for purposes of the Bankruptcy Law (as defined below), the Uniform Fraudulent Conveyance Act, the Uniform Fraudulent Transfer Act or any similar federal, state or foreign law to the extent applicable to this Guaranty. In furtherance of that intention, the liabilities of each Guarantor under this Guaranty (the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Person with respect to the Liabilities, result in the Liabilities of such Guarantor under this Guaranty not constituting a fraudulent transfer or conveyance. For purposes hereof, “</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the United States Bankruptcy Code, or any similar federal, state or foreign law for the relief of debtors. This paragraph with respect to the maximum liability of each Guarantor is intended solely to preserve the rights of the holders, to the maximum extent not subject to avoidance under applicable law, and neither a Guarantor nor any other Person shall have any right or claim under this paragraph with respect to such maximum liability, except to the extent necessary so that the obligations of a Guarantor hereunder shall not be rendered voidable under applicable law. Each Guarantor agrees that the Obligations guaranteed hereunder may at any time and from time to time exceed the maximum liability of such Guarantor without impairing this Guaranty or affecting the rights and remedies of the holders hereunder; provided that nothing in this sentence shall be construed to increase such Guarantor’s obligations hereunder beyond its maximum liability.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13 - MISCELLANEOUS</w:t>
      </w:r>
    </w:p>
    <w:p>
      <w:pPr>
        <w:spacing w:after="0" w:line="225"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agreements, representations and warranties made herein and in every other Financing Document shall survive the execution and delivery of this Agreement and the other Financing Documents. The provisions of Section 2.10 and Articles 11 and 13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46" w:name="page547"/>
    <w:bookmarkEnd w:id="546"/>
    <w:p>
      <w:pPr>
        <w:ind w:right="40" w:firstLine="436"/>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13.2 </w:t>
      </w:r>
      <w:r>
        <w:rPr>
          <w:rFonts w:ascii="Times New Roman" w:cs="Times New Roman" w:eastAsia="Times New Roman" w:hAnsi="Times New Roman"/>
          <w:sz w:val="17"/>
          <w:szCs w:val="17"/>
          <w:u w:val="single" w:color="auto"/>
          <w:color w:val="auto"/>
        </w:rPr>
        <w:t>No Waivers</w:t>
      </w:r>
      <w:r>
        <w:rPr>
          <w:rFonts w:ascii="Times New Roman" w:cs="Times New Roman" w:eastAsia="Times New Roman" w:hAnsi="Times New Roman"/>
          <w:sz w:val="17"/>
          <w:szCs w:val="17"/>
          <w:color w:val="auto"/>
        </w:rPr>
        <w:t>. No failure or delay by Agent, Term Loan Servicer or any Lender in exercising any right, power or privilege 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Borrower or any other Credit Party has the independent right to cure any such Event of Default, but is rather presented merely for convenience should such Event of Default be waived in accordance with the terms of the applicable Financing Documents.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52" w:lineRule="auto"/>
        <w:tabs>
          <w:tab w:leader="none" w:pos="122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and other communications to any party hereunder shall be in writing (including prepaid overnight courier, email or similar writing) and shall be given to such party at its address or e-mail address set forth below or on the signature pages hereof (or, in the case of any such Lender who becomes a Lender after the date hereof, in an Assignment Agreement or in a notice delivered to Borrower Representative and Agent by the assignee Lender forthwith upon such assignment) or at such other address or e-mail address as such party may hereafter specify for the purpose by notice to Agent and Borrower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notices, requests or other communications shall be permitted by electronic means only in accordance with the provisions of Section 13.3(b) and (c). Each such notice, request or other communication shall be effective (i) if given by electronic means, in accordance with the provisions of Section 13.3(b) and (c), or (ii) if given by mail, prepaid overnight courier or any other means, when received or when receipt is refused at the applicable address specified by this Section 13.3(a).</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Credit Party:</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Omada Health, Inc., as Borrower Representative</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500 Sansome Street, Suite 200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Steve Cook</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 and</w:t>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140 Scott Drive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Kathleen M. Wells, Esq.</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Agent or to MCF (or any of its Affiliates or Approved Funds) as a Lender: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MidCap Funding IV Trust</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7255 Woodmont Ave, Suite 300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Account Manager for Omada Health transaction</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47" w:name="page548"/>
    <w:bookmarkEnd w:id="5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MidCap Funding IV Trust</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7255 Woodmont Ave, Suite 300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Legal</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Term Loan Servicer: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MidCap Financial Trust</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7255 Woodmont Ave, Suite 300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Account Manager for Omada Health transaction</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MidCap Financial Trust</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7255 Woodmont Ave, Suite 300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Legal</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u w:val="single" w:color="auto"/>
          <w:color w:val="auto"/>
        </w:rPr>
        <w:t>If to any Lender other than MidCap</w:t>
      </w:r>
      <w:r>
        <w:rPr>
          <w:rFonts w:ascii="Times New Roman" w:cs="Times New Roman" w:eastAsia="Times New Roman" w:hAnsi="Times New Roman"/>
          <w:sz w:val="18"/>
          <w:szCs w:val="18"/>
          <w:color w:val="auto"/>
        </w:rPr>
        <w:t>: at the address set forth on the signature pages to this Agreement or provided as a notice address for such in connection with any assignment hereunder.</w:t>
      </w:r>
    </w:p>
    <w:p>
      <w:pPr>
        <w:spacing w:after="0" w:line="162" w:lineRule="exact"/>
        <w:rPr>
          <w:sz w:val="20"/>
          <w:szCs w:val="20"/>
          <w:color w:val="auto"/>
        </w:rPr>
      </w:pPr>
    </w:p>
    <w:p>
      <w:pPr>
        <w:ind w:right="80" w:firstLine="990"/>
        <w:spacing w:after="0" w:line="254" w:lineRule="auto"/>
        <w:tabs>
          <w:tab w:leader="none" w:pos="123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parties hereto may be delivered or furnished by electronic communication (including e-mail and Internet or intranet websites) pursuant to procedures approved from time to time by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apply to notices sent directly to any Lender if such Lender has notified Agent that it is incapable of receiving notices by electronic communication. Agent, Term Loan Servicer or Borrower Representative may, in their reasonable discretion, agree to accept notices and other communications to them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approval of such procedures may be limited to particular notices or communications.</w:t>
      </w:r>
    </w:p>
    <w:p>
      <w:pPr>
        <w:spacing w:after="0" w:line="183" w:lineRule="exact"/>
        <w:rPr>
          <w:rFonts w:ascii="Times New Roman" w:cs="Times New Roman" w:eastAsia="Times New Roman" w:hAnsi="Times New Roman"/>
          <w:sz w:val="18"/>
          <w:szCs w:val="18"/>
          <w:color w:val="auto"/>
        </w:rPr>
      </w:pPr>
    </w:p>
    <w:p>
      <w:pPr>
        <w:ind w:right="100" w:firstLine="990"/>
        <w:spacing w:after="0" w:line="271" w:lineRule="auto"/>
        <w:tabs>
          <w:tab w:leader="none" w:pos="1225"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any such notice or other communication is not sent or posted during normal business hours, such notice or communication shall be deemed to have been sent at the opening of business on the next Business Day.</w:t>
      </w:r>
    </w:p>
    <w:p>
      <w:pPr>
        <w:spacing w:after="0" w:line="173"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or obligation under this Agreement or any other Financing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48" w:name="page549"/>
    <w:bookmarkEnd w:id="548"/>
    <w:p>
      <w:pPr>
        <w:ind w:right="46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Section 13.5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and captions used in the Financing Documents (including the Exhibits, Schedules and Annexes hereto and thereto) are included for convenience of reference only and shall not be given any substantive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68" w:lineRule="auto"/>
        <w:tabs>
          <w:tab w:leader="none" w:pos="1225"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Term Loan Servicer and each Lender shall hold all non-public information regarding the Credit Parties and their respective businesses and obtained by Agent, Term Loan Servicer or 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w:t>
      </w:r>
    </w:p>
    <w:p>
      <w:pPr>
        <w:spacing w:after="0" w:line="1" w:lineRule="exact"/>
        <w:rPr>
          <w:rFonts w:ascii="Times New Roman" w:cs="Times New Roman" w:eastAsia="Times New Roman" w:hAnsi="Times New Roman"/>
          <w:sz w:val="17"/>
          <w:szCs w:val="17"/>
          <w:color w:val="auto"/>
        </w:rPr>
      </w:pPr>
    </w:p>
    <w:p>
      <w:pPr>
        <w:ind w:right="80" w:firstLine="7"/>
        <w:spacing w:after="0" w:line="262" w:lineRule="auto"/>
        <w:tabs>
          <w:tab w:leader="none" w:pos="262"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prospective transferees or purchasers of any interest in the Loans, Agent, Term Loan Servicer or a Lender,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such Persons are bound by obligations of confidentiality, (iii) as required by applicable Law, subpoena, judicial order or similar order and in connection with any litigation; provided that (x) prior to any disclosure under this clause (iii), Agent or such Lender agrees to endeavor to provide Borrower Representative with prior notice thereof and with respect to any order, subpoena or legal or administrative order or process, to the extent Agent or such Lender is permitted to provide such prior notice to Borrower Representative pursuant to the terms thereof, and (y) any disclosure under this clause</w:t>
      </w:r>
    </w:p>
    <w:p>
      <w:pPr>
        <w:spacing w:after="0" w:line="2" w:lineRule="exact"/>
        <w:rPr>
          <w:rFonts w:ascii="Times New Roman" w:cs="Times New Roman" w:eastAsia="Times New Roman" w:hAnsi="Times New Roman"/>
          <w:sz w:val="17"/>
          <w:szCs w:val="17"/>
          <w:color w:val="auto"/>
        </w:rPr>
      </w:pPr>
    </w:p>
    <w:p>
      <w:pPr>
        <w:ind w:firstLine="7"/>
        <w:spacing w:after="0" w:line="248" w:lineRule="auto"/>
        <w:tabs>
          <w:tab w:leader="none" w:pos="31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limited solely to that portion of the non-public information as may be specifically requested or required by such Law, subpoena, judicial order or similar order and in connection with such litigation, (iv) as may be required in connection with the examination, audit or similar investigation of such Person, (v) as Agent, Term Loan Servicer or any Lender reasonably considers appropriate in exercising remedies under the Financing Documents during the continuance of an Event of Default, and (v) to a Person that is a trustee, investment advisor or investment manager, collateral manager, servicer (including any Term Loan Servicer), noteholder or secured party in a Securitization (as hereinafter defined) in connection with the administration, servicing and reporting on the assets serving as collateral for such Securitization. For the purposes of this Section, “</w:t>
      </w:r>
      <w:r>
        <w:rPr>
          <w:rFonts w:ascii="Times New Roman" w:cs="Times New Roman" w:eastAsia="Times New Roman" w:hAnsi="Times New Roman"/>
          <w:sz w:val="18"/>
          <w:szCs w:val="18"/>
          <w:b w:val="1"/>
          <w:bCs w:val="1"/>
          <w:color w:val="auto"/>
        </w:rPr>
        <w:t>Securitization</w:t>
      </w:r>
      <w:r>
        <w:rPr>
          <w:rFonts w:ascii="Times New Roman" w:cs="Times New Roman" w:eastAsia="Times New Roman" w:hAnsi="Times New Roman"/>
          <w:sz w:val="18"/>
          <w:szCs w:val="18"/>
          <w:color w:val="auto"/>
        </w:rPr>
        <w:t xml:space="preserve">” means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not include information that either: (y) is in the public domain, or becomes part of the public domain after disclosure to such Person through no fault of such Person, or (z) is disclosed to such Person by a Person other than a Credit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Agent does not have actual knowledge that such Person is prohibited from disclosing such information. The obligations of Agent, Term Loan Servicer and Lenders under this Section 13.6 shall supersede and replace the obligations of Agent, Term Loan Servicer and Lenders under any confidentiality agreement in respect of this financing executed and delivered by Agent, Term Loan Servicer or any Lender prior to the date hereof.</w:t>
      </w:r>
    </w:p>
    <w:p>
      <w:pPr>
        <w:spacing w:after="0" w:line="196"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Waiver of Consequential and Other Damages</w:t>
      </w:r>
      <w:r>
        <w:rPr>
          <w:rFonts w:ascii="Times New Roman" w:cs="Times New Roman" w:eastAsia="Times New Roman" w:hAnsi="Times New Roman"/>
          <w:sz w:val="18"/>
          <w:szCs w:val="18"/>
          <w:color w:val="auto"/>
        </w:rPr>
        <w:t>. To the fullest extent permitted by applicable law, no Credit Party shall assert, and each Credit Party hereby waives, any claim 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49" w:name="page550"/>
    <w:bookmarkEnd w:id="5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13.8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55" w:lineRule="auto"/>
        <w:tabs>
          <w:tab w:leader="none" w:pos="122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EACH NOTE AND EACH OTHER FINANCING DOCUMENT,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84" w:lineRule="exact"/>
        <w:rPr>
          <w:rFonts w:ascii="Times New Roman" w:cs="Times New Roman" w:eastAsia="Times New Roman" w:hAnsi="Times New Roman"/>
          <w:sz w:val="18"/>
          <w:szCs w:val="18"/>
          <w:color w:val="auto"/>
        </w:rPr>
      </w:pPr>
    </w:p>
    <w:p>
      <w:pPr>
        <w:ind w:right="20" w:firstLine="990"/>
        <w:spacing w:after="0" w:line="269" w:lineRule="auto"/>
        <w:tabs>
          <w:tab w:leader="none" w:pos="1235"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CONSENTS TO THE JURISDICTION OF ANY STATE OR FEDERAL COURT LOCATED IN THE STATE OF NEW YORK IN THE CITY OF NEW YORK, BOROUGH OF MANHATTAN, AND IRREVOCABLY AGREES THAT ALL ACTIONS OR PROCEEDINGS ARISING OUT OF OR RELATING TO THIS AGREEMENT OR THE OTHER FINANCING DOCUMENTS SHALL BE LITIGATED IN SUCH COURTS. EACH PARTY HERETO EXPRESSLY SUBMITS AND CONSENTS TO THE JURISDICTION OF THE AFORESAID COURTS AND WAIVES ANY DEFENSE OF FORUM NON CONVENIENS. EACH PARTY HERETO HEREBY WAIVES PERSONAL SERVICE OF ANY AND ALL PROCESS AND AGREES THAT ALL SUCH SERVICE OF PROCESS MAY BE MADE UPON SUCH PARTY BY CERTIFIED OR REGISTERED MAIL, RETURN RECEIPT REQUESTED, ADDRESSED TO SUCH PARTY AT THE ADDRESS SET FORTH IN THIS AGREEMENT AND SERVICE SO MADE SHALL BE COMPLETE TEN (10) DAYS AFTER THE SAME HAS BEEN POSTED.</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68" w:lineRule="auto"/>
        <w:tabs>
          <w:tab w:leader="none" w:pos="1225"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AGENT, TERM LOAN SERVICER,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CREDIT PARTY, AGENT, TERM LOAN SERVICER,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CREDIT PARTY, AGENT, TERM LOAN SERVICER AND EACH LENDER WARRANTS AND REPRESENTS THAT IT HAS HAD THE OPPORTUNITY OF REVIEWING THIS JURY WAIVER WITH LEGAL COUNSEL, AND THAT IT KNOWINGLY AND VOLUNTARILY WAIVES ITS JURY TRIAL RIGHTS.</w:t>
      </w:r>
    </w:p>
    <w:p>
      <w:pPr>
        <w:spacing w:after="0" w:line="175" w:lineRule="exact"/>
        <w:rPr>
          <w:rFonts w:ascii="Times New Roman" w:cs="Times New Roman" w:eastAsia="Times New Roman" w:hAnsi="Times New Roman"/>
          <w:sz w:val="17"/>
          <w:szCs w:val="17"/>
          <w:color w:val="auto"/>
        </w:rPr>
      </w:pPr>
    </w:p>
    <w:p>
      <w:pPr>
        <w:ind w:right="120" w:firstLine="990"/>
        <w:spacing w:after="0" w:line="253" w:lineRule="auto"/>
        <w:tabs>
          <w:tab w:leader="none" w:pos="123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such action or proceeding is brought or filed in any United States federal court sitting in the State of California or in any state court of the State of California, and the waiver of jury trial set forth in Section 12.9(a) hereof is determined or held to be ineffective or unenforceable, the parties agree that (i) actions or proceedings shall be resolved by reference to a private judge sitting without a jury, pursuant to California Code of Civil Procedure Section 638, before a mutually acceptable referee or, if the parties cannot agree, a referee selected by the Presiding Judge of Los Angeles County, California; (ii) such referee shall hear and determine all of the issues in any action or proceeding (whether of fact or of law), including issues pertaining to a “provisional remedy” as defined in California Code of Civil Procedure Section 1281.8, including without limitation, entering restraining orders, entering temporary restraining orders, issuing temporary and permanent injunctions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60"/>
          </w:cols>
          <w:pgMar w:left="480" w:top="268" w:right="559" w:bottom="1440" w:gutter="0" w:footer="0" w:header="0"/>
        </w:sectPr>
      </w:pPr>
    </w:p>
    <w:bookmarkStart w:id="550" w:name="page551"/>
    <w:bookmarkEnd w:id="550"/>
    <w:p>
      <w:pPr>
        <w:ind w:right="4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appointing receivers, and shall report a statement of decision, provided that, if during the course of any dispute any party desires to seek such a “provisional remedy” but a referee has not been appointed, or is otherwise unavailable to hear the request for such provisional remedy, then such party may apply to the Los Angeles County Superior Court for such provisional relief; and (iii) pursuant to California Code of Civil Procedure Section 644, judgment may be entered upon the decision of such referee in the same manner as if such action or proceeding had been tried directly by a court. Such proceeding shall be conducted in Los Angeles County, California, with California rules of evidence and discovery applicable to such proceeding. In the event any actions or proceedings are to be resolved by judicial reference, any party may seek from any court having jurisdiction thereover any prejudgment order, writ or other relief and have such prejudgment order, writ or other relief enforced to the fullest extent permitted by Law notwithstanding that all actions or proceedings are otherwise subject to resolution by judicial reference. Each Borrower, Agent and the Lenders further represents and warrants and represents that it has reviewed this consent and agreement with legal counsel of its own choosing, or has had an opportunity to do so, and that it knowingly and voluntarily gives this consent and enters into this Agreement having had the opportunity to consult with legal counsel. This consent and agreement is irrevocable, meaning that it may not be modified either orally or in writing, and this consent and agreement shall apply to any subsequent amendments, renewals, supplements, or modifications to this Agreement or any other agreement or document entered into between the parties in connection with this Agreement. In the event of litigation, this Agreement may be filed as evidence of either or both parties’ consent and agreement to have any and all actions and proceedings heard and determined by a referee under California Code of Civil Procedure Section 638. Notwithstanding anything to the contrary contained herein, the parties acknowledge and agree that this provision shall have no application to any non-judicial foreclosure of all or any portion of the Collateral constituting real property (whether pursuant to the provisions of the Financing Documents or applicable law).</w:t>
      </w:r>
    </w:p>
    <w:p>
      <w:pPr>
        <w:spacing w:after="0" w:line="201" w:lineRule="exact"/>
        <w:rPr>
          <w:sz w:val="20"/>
          <w:szCs w:val="20"/>
          <w:color w:val="auto"/>
        </w:rPr>
      </w:pPr>
    </w:p>
    <w:p>
      <w:pPr>
        <w:ind w:right="60" w:firstLine="990"/>
        <w:spacing w:after="0" w:line="252" w:lineRule="auto"/>
        <w:tabs>
          <w:tab w:leader="none" w:pos="122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each Borrower, Agent and the Lenders understand, acknowledge and agree that (i) the provisions of Section 12.9(b) of this Agreement above shall have no application to any non-judicial foreclosure and/or private (i.e., non-judicial) sale under the California Commercial Code as to all or any portion of Collateral constituting real property whether pursuant to the provisions of the Financing Documents or applicable law; provided, however, in the event Borrower contests the same, then the provisions of Section 12.9(b) above shall apply to any actions or proceedings arising therefrom (but not the non-judicial foreclosure proceeding, which may remain pending), and (ii) the provisions of Section 12.9(b) above shall not be deemed to be a waiver by, or a limitation upon, the rights of Agent or the Lenders to proceed with a non-judicial foreclosure or private sale under said Commercial Code as a permitted remedy hereunder or under applicable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Publication; Advertisement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55" w:lineRule="auto"/>
        <w:tabs>
          <w:tab w:leader="none" w:pos="122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Publication</w:t>
      </w:r>
      <w:r>
        <w:rPr>
          <w:rFonts w:ascii="Times New Roman" w:cs="Times New Roman" w:eastAsia="Times New Roman" w:hAnsi="Times New Roman"/>
          <w:sz w:val="18"/>
          <w:szCs w:val="18"/>
          <w:color w:val="auto"/>
        </w:rPr>
        <w:t>. No Credit Party will directly or indirectly publish, disclose or otherwise use in any public disclosure, advertising material, promotional material, press release or interview, any reference to the name, logo or any trademark of MCF or any of its Affiliates or any reference to this Agreement or the financing evidenced hereby, in any case except (i) as required by Law, subpoena or judicial or similar order, in which case the applicable Credit Party shall use commercially reasonable efforts to give Agent prior written notice of such publication or other disclosure, or (ii) with MCF’s prior written consent.</w:t>
      </w:r>
    </w:p>
    <w:p>
      <w:pPr>
        <w:spacing w:after="0" w:line="184" w:lineRule="exact"/>
        <w:rPr>
          <w:rFonts w:ascii="Times New Roman" w:cs="Times New Roman" w:eastAsia="Times New Roman" w:hAnsi="Times New Roman"/>
          <w:sz w:val="18"/>
          <w:szCs w:val="18"/>
          <w:color w:val="auto"/>
        </w:rPr>
      </w:pPr>
    </w:p>
    <w:p>
      <w:pPr>
        <w:jc w:val="both"/>
        <w:ind w:right="260" w:firstLine="990"/>
        <w:spacing w:after="0" w:line="263" w:lineRule="auto"/>
        <w:tabs>
          <w:tab w:leader="none" w:pos="123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Advertisement</w:t>
      </w:r>
      <w:r>
        <w:rPr>
          <w:rFonts w:ascii="Times New Roman" w:cs="Times New Roman" w:eastAsia="Times New Roman" w:hAnsi="Times New Roman"/>
          <w:sz w:val="18"/>
          <w:szCs w:val="18"/>
          <w:color w:val="auto"/>
        </w:rPr>
        <w:t>. Each Lender and each Credit Party hereby authorizes MCF to publish the name of such Lender and Credit Party, the existence of the financing arrangements referenced under this Agreement, the primary purpose and/or structure of those arrangements, the amount of credit extended under each facility, the title and role of each party to this Agreement, and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51" w:name="page552"/>
    <w:bookmarkEnd w:id="551"/>
    <w:p>
      <w:pPr>
        <w:ind w:right="3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 in league table measurements after the Closing Date. With respect to any of the foregoing, MCF shall provide Borrowers with an opportunity to review and confer with MCF regarding 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spacing w:after="0" w:line="184"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Counterparts; Integration</w:t>
      </w:r>
      <w:r>
        <w:rPr>
          <w:rFonts w:ascii="Times New Roman" w:cs="Times New Roman" w:eastAsia="Times New Roman" w:hAnsi="Times New Roman"/>
          <w:sz w:val="18"/>
          <w:szCs w:val="18"/>
          <w:color w:val="auto"/>
        </w:rPr>
        <w:t>. This Agreement and the other Financing Documents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94"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5"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Lender Approvals</w:t>
      </w:r>
      <w:r>
        <w:rPr>
          <w:rFonts w:ascii="Times New Roman" w:cs="Times New Roman" w:eastAsia="Times New Roman" w:hAnsi="Times New Roman"/>
          <w:sz w:val="18"/>
          <w:szCs w:val="18"/>
          <w:color w:val="auto"/>
        </w:rPr>
        <w:t>. Unless expressly provided herein to the contrary, any approval, consent, waiver or satisfaction of Agent, Term Loan Servicer or Lenders with respect to any matter that is the subject of this Agreement, the other Financing Documents may be granted or withheld by Agent, Term Loan Servicer and Lenders in their sole and absolute discretion and credit judgment.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Expenses; Indemnity</w:t>
      </w:r>
    </w:p>
    <w:p>
      <w:pPr>
        <w:spacing w:after="0" w:line="221" w:lineRule="exact"/>
        <w:rPr>
          <w:sz w:val="20"/>
          <w:szCs w:val="20"/>
          <w:color w:val="auto"/>
        </w:rPr>
      </w:pPr>
    </w:p>
    <w:p>
      <w:pPr>
        <w:ind w:firstLine="990"/>
        <w:spacing w:after="0" w:line="271" w:lineRule="auto"/>
        <w:tabs>
          <w:tab w:leader="none" w:pos="1225"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with respect to Indemnified Taxes, Other Taxes and Excluded Taxes, which shall be governed exclusively by Section 2.8, Credit Parties hereby agree to promptly pay (i) all reasonable and documented out-of-pocket costs and expenses of Agent and Term Loan Servicer (including, without limitation, reasonable and documented out-of-pocket fees, costs and expenses of counsel to, and independent appraisers and consultants retained by Agent) in connection with the examination, review, due diligence investigation, documentation, negotiation, closing and syndication of the transactions contemplated by the Financing Documents, in connection with the performance by Agent or Term Loan Servicer of its rights and remedies under the Financing Documents and in connection with the continued administration of the Financing Documents including (A) 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52" w:name="page553"/>
    <w:bookmarkEnd w:id="552"/>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the Credit Parties, their Subsidiaries or the PCs); (ii) without limitation of the preceding clause (i), all reasonable and documented out-of-pocket costs and expenses of Agent in connection with the creation, perfection and maintenance of Liens pursuant to the Financing Documents other than disputes solely among Lenders, and/or Agent and/or Term Loan Servicer (other than any claims against such person in its capacity or in fulfilling its role as Agent, arranger or any similar role hereunder) to the extent such disputes do not arise from any act or omission of any Credit Party or of any Affiliate of a Credit Party; (iii) without limitation of the preceding clause (i), all documented out-of-pocket costs and expenses of Agent and/or Term Loan Servicer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and documented out-of-pocket costs and expenses of Agent in connection with Agent’s reservation of funds in anticipation of the funding of the initial Loans to be made hereunder; and (v) all documented out-of-pocket costs and expenses incurred by Lenders in connection with any litigation, dispute, suit or proceeding relating to any Financing Document, other than disputes solely among Lenders and/or Agent and/or Term Loan Servicer (other than any claims against such person in its capacity or in fulfilling its role as Agent, Term Loan Servicer, arranger or any similar role hereunder) to the extent such disputes do not arise from any act or omission of any Credit Party or of any Affiliate of a Credit Party, and in connection with any workout, collection, bankruptcy, insolvency and other enforcement proceedings under any and all Financing Documents, whether or not Agent, Term Loan Servicer or Lenders are a party thereto.</w:t>
      </w:r>
    </w:p>
    <w:p>
      <w:pPr>
        <w:spacing w:after="0" w:line="200" w:lineRule="exact"/>
        <w:rPr>
          <w:sz w:val="20"/>
          <w:szCs w:val="20"/>
          <w:color w:val="auto"/>
        </w:rPr>
      </w:pPr>
    </w:p>
    <w:p>
      <w:pPr>
        <w:ind w:firstLine="990"/>
        <w:spacing w:after="0" w:line="265" w:lineRule="auto"/>
        <w:tabs>
          <w:tab w:leader="none" w:pos="1235"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Credit Party hereby agrees to indemnify, pay and hold harmless Agent, Term Loan Servicer and Lenders and the officers, directors, employees, trustees, agents, investment advisors and investment managers, collateral managers, servicers, and counsel of Agent, Term Loan Servicer and Lenders (collectively called the “</w:t>
      </w:r>
      <w:r>
        <w:rPr>
          <w:rFonts w:ascii="Times New Roman" w:cs="Times New Roman" w:eastAsia="Times New Roman" w:hAnsi="Times New Roman"/>
          <w:sz w:val="17"/>
          <w:szCs w:val="17"/>
          <w:b w:val="1"/>
          <w:bCs w:val="1"/>
          <w:color w:val="auto"/>
        </w:rPr>
        <w:t>Indemnitees</w:t>
      </w:r>
      <w:r>
        <w:rPr>
          <w:rFonts w:ascii="Times New Roman" w:cs="Times New Roman" w:eastAsia="Times New Roman" w:hAnsi="Times New Roman"/>
          <w:sz w:val="17"/>
          <w:szCs w:val="17"/>
          <w:color w:val="auto"/>
        </w:rPr>
        <w:t>”) from and against any and all liabilities, obligations, losses, damages, penalties, actions, judgments, suits, claims, costs, expenses and disbursements of any kind or nature whatsoever (including the reasonable and documented out-of-pocket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expenses of investigation by engineers, environmental consultants and similar technical personnel and any commission, fee or compensation claimed by any broker (other than any broker retained by Agent or Lenders) asserting any right to payment for the transactions contemplated hereby, which may be imposed on, incurred by or asserted against such Indemnitee as a result of or in connection with the transactions contemplated hereby or by the other Financing Documents (including (i)(A) as a direct or indirect result of the presence on or under, or escape, seepage, leakage, spillage, discharge, emission or release from, any property now or previously owned, leased or operated by a Credit Party, any Subsidiary or any other Person of any Hazardous Materials, (B) 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a Credit Party or any Subsidiary, and (ii) proposed and actual extensions of credit under this Agreement) and the use or intended use of the proceeds of the Loans, except that Credit Parties shall have no obligation hereunder to an Indemnitee with respect to any liability resulting from (x) the gross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negligence or willful misconduct of such Indemnitee, as determined by a final non-appealable judgment of a court of competent jurisdiction, or</w:t>
      </w:r>
    </w:p>
    <w:p>
      <w:pPr>
        <w:spacing w:after="0" w:line="26" w:lineRule="exact"/>
        <w:rPr>
          <w:sz w:val="20"/>
          <w:szCs w:val="20"/>
          <w:color w:val="auto"/>
        </w:rPr>
      </w:pPr>
    </w:p>
    <w:p>
      <w:pPr>
        <w:ind w:right="100" w:firstLine="7"/>
        <w:spacing w:after="0" w:line="262" w:lineRule="auto"/>
        <w:tabs>
          <w:tab w:leader="none" w:pos="252"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solely among any Indemnitees (other than any claims against an Indemnitee in its capacity or in fulfilling its role as Agent, arranger or any similar role hereunder) to the extent such disputes do not arise from any act or omission of any Credit Party or of any of any Credit Party’s Affiliates, unless such claims arise from the bad faith, gross negligence or willful misconduct of any such Person). To the extent that the undertaking set forth in the immediately preceding sentence may be unenforceable, Credit Parties shall contribute the maximum portion which it is permitted to pay and satisfy under applicable Law to the payment and satisfaction of all such indemnified liabilities incurred by the Indemnitees or any of them. This</w:t>
      </w:r>
    </w:p>
    <w:p>
      <w:pPr>
        <w:spacing w:after="0" w:line="2" w:lineRule="exact"/>
        <w:rPr>
          <w:rFonts w:ascii="Times New Roman" w:cs="Times New Roman" w:eastAsia="Times New Roman" w:hAnsi="Times New Roman"/>
          <w:sz w:val="17"/>
          <w:szCs w:val="17"/>
          <w:color w:val="auto"/>
        </w:rPr>
      </w:pPr>
    </w:p>
    <w:p>
      <w:pPr>
        <w:ind w:right="32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13.14(b) shall not apply with respect to Taxes other than any Taxes that represent liabilities, obligations, losses, damages, claims etc. arising from any non-Tax claim.</w:t>
      </w:r>
    </w:p>
    <w:p>
      <w:pPr>
        <w:spacing w:after="0" w:line="181" w:lineRule="exact"/>
        <w:rPr>
          <w:rFonts w:ascii="Times New Roman" w:cs="Times New Roman" w:eastAsia="Times New Roman" w:hAnsi="Times New Roman"/>
          <w:sz w:val="17"/>
          <w:szCs w:val="17"/>
          <w:color w:val="auto"/>
        </w:rPr>
      </w:pPr>
    </w:p>
    <w:p>
      <w:pPr>
        <w:ind w:right="160" w:firstLine="990"/>
        <w:spacing w:after="0" w:line="253" w:lineRule="auto"/>
        <w:tabs>
          <w:tab w:leader="none" w:pos="1225"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in this Agreement, the obligations of Credit Parties under this Section 13.14 shall survive the payment in full of the Obligations and the termination of this Agreement. NO INDEMNITEE SHALL BE RESPONSIBLE OR LIABLE TO THE CREDIT PARTIES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84" w:lineRule="exact"/>
        <w:rPr>
          <w:rFonts w:ascii="Times New Roman" w:cs="Times New Roman" w:eastAsia="Times New Roman" w:hAnsi="Times New Roman"/>
          <w:sz w:val="18"/>
          <w:szCs w:val="18"/>
          <w:color w:val="auto"/>
        </w:rPr>
      </w:pPr>
    </w:p>
    <w:p>
      <w:pPr>
        <w:ind w:right="20" w:firstLine="990"/>
        <w:spacing w:after="0" w:line="255" w:lineRule="auto"/>
        <w:tabs>
          <w:tab w:leader="none" w:pos="1235"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for itself and all endorsers, guarantors and sureties and their heirs, legal representatives, successors and assigns, hereby further specifically waives any rights that it may have under Section 1542 of the California Civil Code (to the extent applicable), which provides as follows: “A GENERAL RELEASE DOES NOT EXTEND TO CLAIMS WHICH THE CREDITOR DOES NOT KNOW OR SUSPECT TO EXIST IN HIS OR HER FAVOR AT THE TIME OF EXECUTING THE RELEASE, WHICH IF KNOWN BY HIM OR HER MUST HAVE MATERIALLY AFFECTED HIS OR HER SETTLEMENT WITH THE DEBTOR,” and further waives any similar rights under applicable Laws.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13.16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Agreement shall remain in full force and effect and continue to be effective 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87"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13.17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Credit Parties and Agent, Term Loan Servicer and each Lender and their respective successors and permitted assigns.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54" w:name="page555"/>
    <w:bookmarkEnd w:id="554"/>
    <w:p>
      <w:pPr>
        <w:ind w:right="22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13.18 </w:t>
      </w:r>
      <w:r>
        <w:rPr>
          <w:rFonts w:ascii="Times New Roman" w:cs="Times New Roman" w:eastAsia="Times New Roman" w:hAnsi="Times New Roman"/>
          <w:sz w:val="18"/>
          <w:szCs w:val="18"/>
          <w:u w:val="single" w:color="auto"/>
          <w:color w:val="auto"/>
        </w:rPr>
        <w:t>USA PATRIOT Act Notification</w:t>
      </w:r>
      <w:r>
        <w:rPr>
          <w:rFonts w:ascii="Times New Roman" w:cs="Times New Roman" w:eastAsia="Times New Roman" w:hAnsi="Times New Roman"/>
          <w:sz w:val="18"/>
          <w:szCs w:val="18"/>
          <w:color w:val="auto"/>
        </w:rPr>
        <w:t>. Agent (for itself and not on behalf of any Lender), Term Loan Servicer (for itself and not on behalf of any Lender), and each Lender hereby notifies Credit Parties that pursuant to the requirements of the USA PATRIOT Act, it is required to obtain, verify and record certain information and documentation that identifies Credit Parties, which information includes the name and address of the Credit Parties and such other information that will allow Agent, Term Loan Servicer, or such Lender, as applicable, to identify Credit Parties in accordance with the USA PATRIOT Act.</w:t>
      </w:r>
    </w:p>
    <w:p>
      <w:pPr>
        <w:spacing w:after="0" w:line="18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Section 13.19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Financing Document or in any other agreement, arrangement or understanding among any such parties, each party hereto acknowledges that any liability of any Affected Financial Institution arising under any Financing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60" w:firstLine="990"/>
        <w:spacing w:after="0" w:line="278" w:lineRule="auto"/>
        <w:tabs>
          <w:tab w:leader="none" w:pos="122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0"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0" w:lineRule="exact"/>
        <w:rPr>
          <w:rFonts w:ascii="Times New Roman" w:cs="Times New Roman" w:eastAsia="Times New Roman" w:hAnsi="Times New Roman"/>
          <w:sz w:val="18"/>
          <w:szCs w:val="18"/>
          <w:color w:val="auto"/>
        </w:rPr>
      </w:pPr>
    </w:p>
    <w:p>
      <w:pPr>
        <w:jc w:val="both"/>
        <w:ind w:left="440" w:right="40" w:firstLine="947"/>
        <w:spacing w:after="0" w:line="258" w:lineRule="auto"/>
        <w:tabs>
          <w:tab w:leader="none" w:pos="1645"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Document; or</w:t>
      </w:r>
    </w:p>
    <w:p>
      <w:pPr>
        <w:spacing w:after="0" w:line="179" w:lineRule="exact"/>
        <w:rPr>
          <w:rFonts w:ascii="Times New Roman" w:cs="Times New Roman" w:eastAsia="Times New Roman" w:hAnsi="Times New Roman"/>
          <w:sz w:val="18"/>
          <w:szCs w:val="18"/>
          <w:color w:val="auto"/>
        </w:rPr>
      </w:pPr>
    </w:p>
    <w:p>
      <w:pPr>
        <w:ind w:left="440" w:right="420" w:firstLine="947"/>
        <w:spacing w:after="0" w:line="278" w:lineRule="auto"/>
        <w:tabs>
          <w:tab w:leader="none" w:pos="1695"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13.20 Section 13.21 </w:t>
      </w:r>
      <w:r>
        <w:rPr>
          <w:rFonts w:ascii="Times New Roman" w:cs="Times New Roman" w:eastAsia="Times New Roman" w:hAnsi="Times New Roman"/>
          <w:sz w:val="18"/>
          <w:szCs w:val="18"/>
          <w:u w:val="single" w:color="auto"/>
          <w:color w:val="auto"/>
        </w:rPr>
        <w:t>Erroneous Payments.</w:t>
      </w:r>
    </w:p>
    <w:p>
      <w:pPr>
        <w:spacing w:after="0" w:line="221" w:lineRule="exact"/>
        <w:rPr>
          <w:sz w:val="20"/>
          <w:szCs w:val="20"/>
          <w:color w:val="auto"/>
        </w:rPr>
      </w:pPr>
    </w:p>
    <w:p>
      <w:pPr>
        <w:ind w:firstLine="990"/>
        <w:spacing w:after="0" w:line="250" w:lineRule="auto"/>
        <w:tabs>
          <w:tab w:leader="none" w:pos="122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any other party hereto hereby severally agrees that if (i) the Agent or Term Loan Servicer notifies (which such notice shall be conclusive absent manifest error) such Lender (or the Lender which is an Affiliate of a Lender) or any other Person that has received funds from the Agent, the Term Loan Servicer or any of their Affiliates, either for its own account or on behalf of a Lender (each such recipient,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that the Agent or Term Loan Servicer, as applicable, has determined in its sole discretion that any funds received by such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 were erroneously transmitted to, or otherwise erroneously or mistakenly received by, such Payment Recipient (whether or not known to such Payment Recipient) or (ii) any Payment Recipient receives any payment from the Agent or Term Loan Servicer (or any of their Affiliates) (x) that is in a different amount than, or on a different date from, that specified in a notice of payment, prepayment or repayment sent by the Agent or the Term Loan Servicer (or any of their Affiliates) with respect to such payment, prepayment or repayment, as applicable, (y) that was not preceded or accompanied by a notice of payment, prepayment or repayment sent by the Agent or Term Loan Servicer (or any of their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13.20(a), whether received as a payment,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8" w:right="499" w:bottom="1440" w:gutter="0" w:footer="0" w:header="0"/>
        </w:sectPr>
      </w:pPr>
    </w:p>
    <w:bookmarkStart w:id="555" w:name="page556"/>
    <w:bookmarkEnd w:id="555"/>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prepayment or repayment of principal, interest, fees, distribution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Section shall require the Agent or Term Loan Servicer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or Term Loan Servicer, as applicable, for the return of any Erroneous Payments, including without limitation waiver of any defense based on “discharge for value” or any similar doctrine.</w:t>
      </w:r>
    </w:p>
    <w:p>
      <w:pPr>
        <w:spacing w:after="0" w:line="182" w:lineRule="exact"/>
        <w:rPr>
          <w:sz w:val="20"/>
          <w:szCs w:val="20"/>
          <w:color w:val="auto"/>
        </w:rPr>
      </w:pPr>
    </w:p>
    <w:p>
      <w:pPr>
        <w:ind w:right="160" w:firstLine="990"/>
        <w:spacing w:after="0" w:line="278" w:lineRule="auto"/>
        <w:tabs>
          <w:tab w:leader="none" w:pos="123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immediately preceding clause (a), each Payment Recipient agrees that, in the case of clause (a)(ii) above, it shall promptly notify the Agent and Term Loan Servicer in writing of such occurrence.</w:t>
      </w:r>
    </w:p>
    <w:p>
      <w:pPr>
        <w:spacing w:after="0" w:line="162" w:lineRule="exact"/>
        <w:rPr>
          <w:rFonts w:ascii="Times New Roman" w:cs="Times New Roman" w:eastAsia="Times New Roman" w:hAnsi="Times New Roman"/>
          <w:sz w:val="18"/>
          <w:szCs w:val="18"/>
          <w:color w:val="auto"/>
        </w:rPr>
      </w:pPr>
    </w:p>
    <w:p>
      <w:pPr>
        <w:ind w:right="20" w:firstLine="990"/>
        <w:spacing w:after="0" w:line="251" w:lineRule="auto"/>
        <w:tabs>
          <w:tab w:leader="none" w:pos="122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(a)(i) or (a)(ii) above, such Erroneous Payment shall at all times remain the property of the Agent or Term Loan Servicer, as applicable, and shall be segregated by the Payment Recipient and held in trust for the benefit of the Agent or Term Loan Servicer, as applicable, and upon demand from the Agent or Term Loan Servicer, as applicable, such Payment Recipient shall (or, shall cause any Person who received any portion of an Erroneous Payment on its behalf to), promptly, but in all events no later than one Business Day thereafter, return to the Agent or Term Loan Servicer, as applicable,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or Term Loan Servicer, as applicable, at the greater of the Federal Funds Rate and a rate determined by the Agent or Term Loan Servicer, as applicable, in accordance with banking industry rules on interbank compensation from time to time in effect.</w:t>
      </w:r>
    </w:p>
    <w:p>
      <w:pPr>
        <w:spacing w:after="0" w:line="191" w:lineRule="exact"/>
        <w:rPr>
          <w:rFonts w:ascii="Times New Roman" w:cs="Times New Roman" w:eastAsia="Times New Roman" w:hAnsi="Times New Roman"/>
          <w:sz w:val="18"/>
          <w:szCs w:val="18"/>
          <w:color w:val="auto"/>
        </w:rPr>
      </w:pPr>
    </w:p>
    <w:p>
      <w:pPr>
        <w:ind w:firstLine="990"/>
        <w:spacing w:after="0" w:line="250" w:lineRule="auto"/>
        <w:tabs>
          <w:tab w:leader="none" w:pos="123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Agent or Term Loan Servicer for any reason, after demand therefor by the Agent or Term Loan Servicer, as applicable,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then at the sole discretion of the Agent or Term Loan Servicer, as applicable, and upon the Agent’s or Term Loan Servicer’s, as applicable, written notice to such Lender (i) such Lender shall be deemed to have made a cashless assignment of the full face amount of the portion of its Loans (but not its Term Loan Commitment Amount or Revolving Loan Commitment Amount, as applicable) with respect to which such Erroneous Payment was made (the “</w:t>
      </w:r>
      <w:r>
        <w:rPr>
          <w:rFonts w:ascii="Times New Roman" w:cs="Times New Roman" w:eastAsia="Times New Roman" w:hAnsi="Times New Roman"/>
          <w:sz w:val="18"/>
          <w:szCs w:val="18"/>
          <w:b w:val="1"/>
          <w:bCs w:val="1"/>
          <w:color w:val="auto"/>
        </w:rPr>
        <w:t>Erroneous Payment Impacted Loans</w:t>
      </w:r>
      <w:r>
        <w:rPr>
          <w:rFonts w:ascii="Times New Roman" w:cs="Times New Roman" w:eastAsia="Times New Roman" w:hAnsi="Times New Roman"/>
          <w:sz w:val="18"/>
          <w:szCs w:val="18"/>
          <w:color w:val="auto"/>
        </w:rPr>
        <w:t>”) to the Agent or Term Loan Servicer or, at the option of the Agent or Term Loan Servicer (as applicable), the Agent’s or Term Loan Servicer’s applicable lending affiliate (such assignee, the “</w:t>
      </w:r>
      <w:r>
        <w:rPr>
          <w:rFonts w:ascii="Times New Roman" w:cs="Times New Roman" w:eastAsia="Times New Roman" w:hAnsi="Times New Roman"/>
          <w:sz w:val="18"/>
          <w:szCs w:val="18"/>
          <w:b w:val="1"/>
          <w:bCs w:val="1"/>
          <w:color w:val="auto"/>
        </w:rPr>
        <w:t>Agent Assignee</w:t>
      </w:r>
      <w:r>
        <w:rPr>
          <w:rFonts w:ascii="Times New Roman" w:cs="Times New Roman" w:eastAsia="Times New Roman" w:hAnsi="Times New Roman"/>
          <w:sz w:val="18"/>
          <w:szCs w:val="18"/>
          <w:color w:val="auto"/>
        </w:rPr>
        <w:t>”) in an amount that is equal to the Erroneous Payment Return Deficiency (or such lesser amount as the Agent or Term Loan Servicer, as applicable, may specify) (such assignment of the Loans (but not its Term Loan Commitment Amount or Revolving Loan Commitment Amount, as applicable) of the Erroneous Payment Impacted Loans, the “</w:t>
      </w:r>
      <w:r>
        <w:rPr>
          <w:rFonts w:ascii="Times New Roman" w:cs="Times New Roman" w:eastAsia="Times New Roman" w:hAnsi="Times New Roman"/>
          <w:sz w:val="18"/>
          <w:szCs w:val="18"/>
          <w:b w:val="1"/>
          <w:bCs w:val="1"/>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Deficiency Assignment</w:t>
      </w:r>
      <w:r>
        <w:rPr>
          <w:rFonts w:ascii="Times New Roman" w:cs="Times New Roman" w:eastAsia="Times New Roman" w:hAnsi="Times New Roman"/>
          <w:sz w:val="18"/>
          <w:szCs w:val="18"/>
          <w:color w:val="auto"/>
        </w:rPr>
        <w:t>”) plus any accrued and unpaid interest on such assigned amount, without further consent or approval of any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without any payment by the Agent Assignee as the assignee of such Erroneous Payment Deficiency Assignment. Without limitation of its rights hereunder, following the effectiveness of the Erroneous Payment Deficiency Assignment, the Agent or Term Loan Servicer, as applicable,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556" w:name="page557"/>
    <w:bookmarkEnd w:id="55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11.17 and (3) the Agent may reflect such assignments in the Register without further consent or action by any other Person.</w:t>
      </w:r>
    </w:p>
    <w:p>
      <w:pPr>
        <w:spacing w:after="0" w:line="180" w:lineRule="exact"/>
        <w:rPr>
          <w:sz w:val="20"/>
          <w:szCs w:val="20"/>
          <w:color w:val="auto"/>
        </w:rPr>
      </w:pPr>
    </w:p>
    <w:p>
      <w:pPr>
        <w:ind w:right="100" w:firstLine="990"/>
        <w:spacing w:after="0" w:line="250" w:lineRule="auto"/>
        <w:tabs>
          <w:tab w:leader="none" w:pos="122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agrees that (x) in the event an Erroneous Payment (or portion thereof) is not recovered from any Payment Recipient that has received such Erroneous Payment (or portion thereof) for any reason, the Agent or Term Loan Servicer, as applicable (1) shall be subrogated to all the rights of such Payment Recipient and (2) is authorized to set off, net and apply any and all amounts at any time owing to such Payment Recipient under any Financing Document, or otherwise payable or distributable by the Agent or Term Loan Servicer, as applicable, to such Payment Recipient from any source, against any amount due to the Agent or Term Loan Servicer, as applicable, under this Section 13.20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Agent or the Term Loan Servicer, as applicable, from the Borrower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94" w:lineRule="exact"/>
        <w:rPr>
          <w:rFonts w:ascii="Times New Roman" w:cs="Times New Roman" w:eastAsia="Times New Roman" w:hAnsi="Times New Roman"/>
          <w:sz w:val="18"/>
          <w:szCs w:val="18"/>
          <w:color w:val="auto"/>
        </w:rPr>
      </w:pPr>
    </w:p>
    <w:p>
      <w:pPr>
        <w:ind w:right="200" w:firstLine="990"/>
        <w:spacing w:after="0" w:line="285" w:lineRule="auto"/>
        <w:tabs>
          <w:tab w:leader="none" w:pos="1205"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party’s obligations under this Section 13.20 shall survive the resignation or replacement of the Agent or Term Loan Servicer, as applicable, or any transfer of right or obligations by, or the replacement of, a Lender, the termination of the Term Loan Commitments, the Revolving Loan Commitments or the repayment, satisfaction or discharge of all Obligations (or any portion thereof) under any Financing Document.</w:t>
      </w:r>
    </w:p>
    <w:p>
      <w:pPr>
        <w:spacing w:after="0" w:line="159" w:lineRule="exact"/>
        <w:rPr>
          <w:rFonts w:ascii="Times New Roman" w:cs="Times New Roman" w:eastAsia="Times New Roman" w:hAnsi="Times New Roman"/>
          <w:sz w:val="17"/>
          <w:szCs w:val="17"/>
          <w:color w:val="auto"/>
        </w:rPr>
      </w:pPr>
    </w:p>
    <w:p>
      <w:pPr>
        <w:ind w:firstLine="990"/>
        <w:spacing w:after="0" w:line="251" w:lineRule="auto"/>
        <w:tabs>
          <w:tab w:leader="none" w:pos="123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13.20 to the contrary notwithstanding, (i) nothing in this Section 13.20 will constitute a waiver or release of any claim of any party hereunder arising from any Payment Recipient’s receipt of an Erroneous Payment and (ii) there will only be deemed to be a recovery of the Erroneous Payment to the extent that Agent or Term Loan Servicer, as applicable, has received payment from the Payment Recipient in immediately available funds the Erroneous Payment Return Deficiency, whether directly from the Payment Recipient, as a result of the exercise by Agent or Term Loan Servicer, as applicable,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the Agent Assignee and shall not constitute a recovery of the Erroneous Payment).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APPEAR ON FOLLOWING PAGE(S)]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57" w:name="page558"/>
    <w:bookmarkEnd w:id="557"/>
    <w:p>
      <w:pPr>
        <w:ind w:right="1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intending to be legally bound, each of the parties have caused this Agreement to be executed as of the day and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mentioned.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BORROWERS:</w:t>
            </w:r>
          </w:p>
        </w:tc>
        <w:tc>
          <w:tcPr>
            <w:tcW w:w="58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OMADA HEALTH, INC.</w:t>
            </w:r>
          </w:p>
        </w:tc>
      </w:tr>
      <w:tr>
        <w:trPr>
          <w:trHeight w:val="427"/>
        </w:trPr>
        <w:tc>
          <w:tcPr>
            <w:tcW w:w="510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Duffy</w:t>
            </w:r>
          </w:p>
        </w:tc>
      </w:tr>
      <w:tr>
        <w:trPr>
          <w:trHeight w:val="202"/>
        </w:trPr>
        <w:tc>
          <w:tcPr>
            <w:tcW w:w="5100" w:type="dxa"/>
            <w:vAlign w:val="bottom"/>
          </w:tcPr>
          <w:p>
            <w:pPr>
              <w:spacing w:after="0"/>
              <w:rPr>
                <w:sz w:val="17"/>
                <w:szCs w:val="17"/>
                <w:color w:val="auto"/>
              </w:rPr>
            </w:pPr>
          </w:p>
        </w:tc>
        <w:tc>
          <w:tcPr>
            <w:tcW w:w="10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Sean Duffy</w:t>
            </w:r>
          </w:p>
        </w:tc>
      </w:tr>
      <w:tr>
        <w:trPr>
          <w:trHeight w:val="233"/>
        </w:trPr>
        <w:tc>
          <w:tcPr>
            <w:tcW w:w="510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28"/>
        </w:trPr>
        <w:tc>
          <w:tcPr>
            <w:tcW w:w="5100" w:type="dxa"/>
            <w:vAlign w:val="bottom"/>
          </w:tcPr>
          <w:p>
            <w:pPr>
              <w:spacing w:after="0"/>
              <w:rPr>
                <w:sz w:val="24"/>
                <w:szCs w:val="24"/>
                <w:color w:val="auto"/>
              </w:rPr>
            </w:pPr>
          </w:p>
        </w:tc>
        <w:tc>
          <w:tcPr>
            <w:tcW w:w="58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PHYSERA, INC.</w:t>
            </w:r>
          </w:p>
        </w:tc>
      </w:tr>
      <w:tr>
        <w:trPr>
          <w:trHeight w:val="427"/>
        </w:trPr>
        <w:tc>
          <w:tcPr>
            <w:tcW w:w="510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Duffy</w:t>
            </w:r>
          </w:p>
        </w:tc>
      </w:tr>
      <w:tr>
        <w:trPr>
          <w:trHeight w:val="202"/>
        </w:trPr>
        <w:tc>
          <w:tcPr>
            <w:tcW w:w="5100" w:type="dxa"/>
            <w:vAlign w:val="bottom"/>
          </w:tcPr>
          <w:p>
            <w:pPr>
              <w:spacing w:after="0"/>
              <w:rPr>
                <w:sz w:val="17"/>
                <w:szCs w:val="17"/>
                <w:color w:val="auto"/>
              </w:rPr>
            </w:pPr>
          </w:p>
        </w:tc>
        <w:tc>
          <w:tcPr>
            <w:tcW w:w="10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Sean Duffy</w:t>
            </w:r>
          </w:p>
        </w:tc>
      </w:tr>
      <w:tr>
        <w:trPr>
          <w:trHeight w:val="233"/>
        </w:trPr>
        <w:tc>
          <w:tcPr>
            <w:tcW w:w="510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61"/>
        </w:trPr>
        <w:tc>
          <w:tcPr>
            <w:tcW w:w="5100" w:type="dxa"/>
            <w:vAlign w:val="bottom"/>
          </w:tcPr>
          <w:p>
            <w:pPr>
              <w:spacing w:after="0"/>
              <w:rPr>
                <w:sz w:val="24"/>
                <w:szCs w:val="24"/>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126</w:t>
            </w:r>
          </w:p>
        </w:tc>
        <w:tc>
          <w:tcPr>
            <w:tcW w:w="4800" w:type="dxa"/>
            <w:vAlign w:val="bottom"/>
          </w:tcPr>
          <w:p>
            <w:pPr>
              <w:spacing w:after="0"/>
              <w:rPr>
                <w:sz w:val="24"/>
                <w:szCs w:val="24"/>
                <w:color w:val="auto"/>
              </w:rPr>
            </w:pPr>
          </w:p>
        </w:tc>
      </w:tr>
      <w:tr>
        <w:trPr>
          <w:trHeight w:val="32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tc>
        <w:tc>
          <w:tcPr>
            <w:tcW w:w="102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ectPr>
          <w:pgSz w:w="11900" w:h="16838" w:orient="portrait"/>
          <w:cols w:equalWidth="0" w:num="1">
            <w:col w:w="10920"/>
          </w:cols>
          <w:pgMar w:left="480" w:top="264" w:right="49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AGENT:</w:t>
      </w:r>
    </w:p>
    <w:p>
      <w:pPr>
        <w:spacing w:after="0" w:line="3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MIDCAP FUNDING IV TRUST</w:t>
      </w:r>
    </w:p>
    <w:p>
      <w:pPr>
        <w:spacing w:after="0" w:line="202" w:lineRule="exact"/>
        <w:rPr>
          <w:sz w:val="20"/>
          <w:szCs w:val="20"/>
          <w:color w:val="auto"/>
        </w:rPr>
      </w:pPr>
    </w:p>
    <w:tbl>
      <w:tblPr>
        <w:tblLayout w:type="fixed"/>
        <w:tblInd w:w="4920" w:type="dxa"/>
        <w:tblCellMar>
          <w:top w:w="0" w:type="dxa"/>
          <w:left w:w="0" w:type="dxa"/>
          <w:bottom w:w="0" w:type="dxa"/>
          <w:right w:w="0" w:type="dxa"/>
        </w:tblCellMar>
      </w:tblPr>
      <w:tr>
        <w:trPr>
          <w:trHeight w:val="2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3"/>
        </w:trPr>
        <w:tc>
          <w:tcPr>
            <w:tcW w:w="40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0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3"/>
        </w:trPr>
        <w:tc>
          <w:tcPr>
            <w:tcW w:w="40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4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Maurice Amsellem</w:t>
            </w:r>
          </w:p>
        </w:tc>
      </w:tr>
      <w:tr>
        <w:trPr>
          <w:trHeight w:val="202"/>
        </w:trPr>
        <w:tc>
          <w:tcPr>
            <w:tcW w:w="400" w:type="dxa"/>
            <w:vAlign w:val="bottom"/>
          </w:tcPr>
          <w:p>
            <w:pPr>
              <w:spacing w:after="0"/>
              <w:rPr>
                <w:sz w:val="17"/>
                <w:szCs w:val="17"/>
                <w:color w:val="auto"/>
              </w:rPr>
            </w:pPr>
          </w:p>
        </w:tc>
        <w:tc>
          <w:tcPr>
            <w:tcW w:w="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Maurice Amsellem</w:t>
            </w:r>
          </w:p>
        </w:tc>
      </w:tr>
      <w:tr>
        <w:trPr>
          <w:trHeight w:val="233"/>
        </w:trPr>
        <w:tc>
          <w:tcPr>
            <w:tcW w:w="4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Attn: Account Manager for Omada Health transaction</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Revolving Loan Payment Account Designation:</w:t>
      </w: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Wells Fargo Bank, N.A. (McLean, VA)</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ABA #: ###</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Account Name: ###</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Account #: ###</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Attention: ###</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 LOAN SERVICER:</w:t>
      </w:r>
    </w:p>
    <w:p>
      <w:pPr>
        <w:spacing w:after="0" w:line="3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MIDCAP FINANCIAL TRUST</w:t>
      </w:r>
    </w:p>
    <w:p>
      <w:pPr>
        <w:spacing w:after="0" w:line="202" w:lineRule="exact"/>
        <w:rPr>
          <w:sz w:val="20"/>
          <w:szCs w:val="20"/>
          <w:color w:val="auto"/>
        </w:rPr>
      </w:pPr>
    </w:p>
    <w:tbl>
      <w:tblPr>
        <w:tblLayout w:type="fixed"/>
        <w:tblInd w:w="4920" w:type="dxa"/>
        <w:tblCellMar>
          <w:top w:w="0" w:type="dxa"/>
          <w:left w:w="0" w:type="dxa"/>
          <w:bottom w:w="0" w:type="dxa"/>
          <w:right w:w="0" w:type="dxa"/>
        </w:tblCellMar>
      </w:tblPr>
      <w:tr>
        <w:trPr>
          <w:trHeight w:val="2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3"/>
        </w:trPr>
        <w:tc>
          <w:tcPr>
            <w:tcW w:w="40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0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3"/>
        </w:trPr>
        <w:tc>
          <w:tcPr>
            <w:tcW w:w="40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4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Maurice Amsellem</w:t>
            </w:r>
          </w:p>
        </w:tc>
      </w:tr>
      <w:tr>
        <w:trPr>
          <w:trHeight w:val="202"/>
        </w:trPr>
        <w:tc>
          <w:tcPr>
            <w:tcW w:w="400" w:type="dxa"/>
            <w:vAlign w:val="bottom"/>
          </w:tcPr>
          <w:p>
            <w:pPr>
              <w:spacing w:after="0"/>
              <w:rPr>
                <w:sz w:val="17"/>
                <w:szCs w:val="17"/>
                <w:color w:val="auto"/>
              </w:rPr>
            </w:pPr>
          </w:p>
        </w:tc>
        <w:tc>
          <w:tcPr>
            <w:tcW w:w="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Maurice Amsellem</w:t>
            </w:r>
          </w:p>
        </w:tc>
      </w:tr>
      <w:tr>
        <w:trPr>
          <w:trHeight w:val="233"/>
        </w:trPr>
        <w:tc>
          <w:tcPr>
            <w:tcW w:w="4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Attn: Account Manager for Omada Health transaction</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c/o MidCap Financial Services, LLC, as servicer</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7255 Woodmont Avenue, Suite 300</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E-mail: ###</w:t>
      </w: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Term Loan Payment Account Designation:</w:t>
      </w: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SunTrust Bank, N.A.</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ABA #: ###</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Account Name: ###</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Account #: ###</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Attention: ###</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560" w:name="page561"/>
    <w:bookmarkEnd w:id="560"/>
    <w:tbl>
      <w:tblPr>
        <w:tblLayout w:type="fixed"/>
        <w:tblInd w:w="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MIDCAP FINANCIAL TRUST</w:t>
            </w:r>
          </w:p>
        </w:tc>
      </w:tr>
      <w:tr>
        <w:trPr>
          <w:trHeight w:val="409"/>
        </w:trPr>
        <w:tc>
          <w:tcPr>
            <w:tcW w:w="49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3"/>
        </w:trPr>
        <w:tc>
          <w:tcPr>
            <w:tcW w:w="4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09"/>
        </w:trPr>
        <w:tc>
          <w:tcPr>
            <w:tcW w:w="49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3"/>
        </w:trPr>
        <w:tc>
          <w:tcPr>
            <w:tcW w:w="4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Maurice Amsellem</w:t>
            </w:r>
          </w:p>
        </w:tc>
      </w:tr>
      <w:tr>
        <w:trPr>
          <w:trHeight w:val="202"/>
        </w:trPr>
        <w:tc>
          <w:tcPr>
            <w:tcW w:w="4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Maurice Amsellem</w:t>
            </w:r>
          </w:p>
        </w:tc>
      </w:tr>
      <w:tr>
        <w:trPr>
          <w:trHeight w:val="233"/>
        </w:trPr>
        <w:tc>
          <w:tcPr>
            <w:tcW w:w="4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61"/>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129</w:t>
            </w:r>
          </w:p>
        </w:tc>
        <w:tc>
          <w:tcPr>
            <w:tcW w:w="4800" w:type="dxa"/>
            <w:vAlign w:val="bottom"/>
          </w:tcPr>
          <w:p>
            <w:pPr>
              <w:spacing w:after="0"/>
              <w:rPr>
                <w:sz w:val="24"/>
                <w:szCs w:val="24"/>
                <w:color w:val="auto"/>
              </w:rPr>
            </w:pPr>
          </w:p>
        </w:tc>
      </w:tr>
      <w:tr>
        <w:trPr>
          <w:trHeight w:val="32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w w:val="99"/>
              </w:rPr>
              <w:t>MidCap / Omada Health / Credit, Security and Guaranty Agreement</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20"/>
          </w:cols>
          <w:pgMar w:left="480" w:top="263"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bookmarkStart w:id="561" w:name="page562"/>
    <w:bookmarkEnd w:id="561"/>
    <w:tbl>
      <w:tblPr>
        <w:tblLayout w:type="fixed"/>
        <w:tblInd w:w="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MFIC OMADA SPV LLC</w:t>
            </w:r>
          </w:p>
        </w:tc>
      </w:tr>
      <w:tr>
        <w:trPr>
          <w:trHeight w:val="427"/>
        </w:trPr>
        <w:tc>
          <w:tcPr>
            <w:tcW w:w="4900" w:type="dxa"/>
            <w:vAlign w:val="bottom"/>
          </w:tcPr>
          <w:p>
            <w:pPr>
              <w:spacing w:after="0"/>
              <w:rPr>
                <w:sz w:val="24"/>
                <w:szCs w:val="24"/>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Kristin Hester</w:t>
            </w:r>
          </w:p>
        </w:tc>
      </w:tr>
      <w:tr>
        <w:trPr>
          <w:trHeight w:val="202"/>
        </w:trPr>
        <w:tc>
          <w:tcPr>
            <w:tcW w:w="4900" w:type="dxa"/>
            <w:vAlign w:val="bottom"/>
          </w:tcPr>
          <w:p>
            <w:pPr>
              <w:spacing w:after="0"/>
              <w:rPr>
                <w:sz w:val="17"/>
                <w:szCs w:val="17"/>
                <w:color w:val="auto"/>
              </w:rPr>
            </w:pPr>
          </w:p>
        </w:tc>
        <w:tc>
          <w:tcPr>
            <w:tcW w:w="1220" w:type="dxa"/>
            <w:vAlign w:val="bottom"/>
          </w:tcPr>
          <w:p>
            <w:pPr>
              <w:ind w:left="58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Kristin Hester</w:t>
            </w:r>
          </w:p>
        </w:tc>
      </w:tr>
      <w:tr>
        <w:trPr>
          <w:trHeight w:val="233"/>
        </w:trPr>
        <w:tc>
          <w:tcPr>
            <w:tcW w:w="490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61"/>
        </w:trPr>
        <w:tc>
          <w:tcPr>
            <w:tcW w:w="490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130</w:t>
            </w:r>
          </w:p>
        </w:tc>
        <w:tc>
          <w:tcPr>
            <w:tcW w:w="4800" w:type="dxa"/>
            <w:vAlign w:val="bottom"/>
          </w:tcPr>
          <w:p>
            <w:pPr>
              <w:spacing w:after="0"/>
              <w:rPr>
                <w:sz w:val="24"/>
                <w:szCs w:val="24"/>
                <w:color w:val="auto"/>
              </w:rPr>
            </w:pPr>
          </w:p>
        </w:tc>
      </w:tr>
      <w:tr>
        <w:trPr>
          <w:trHeight w:val="32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w w:val="99"/>
              </w:rPr>
              <w:t>MidCap / Omada Health / Credit, Security and Guaranty Agreement</w:t>
            </w:r>
          </w:p>
        </w:tc>
        <w:tc>
          <w:tcPr>
            <w:tcW w:w="122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20"/>
          </w:cols>
          <w:pgMar w:left="480" w:top="263"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bookmarkStart w:id="562" w:name="page563"/>
    <w:bookmarkEnd w:id="562"/>
    <w:tbl>
      <w:tblPr>
        <w:tblLayout w:type="fixed"/>
        <w:tblInd w:w="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2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ANNEXES, EXHIBITS AND SCHEDULES</w:t>
            </w:r>
          </w:p>
        </w:tc>
      </w:tr>
      <w:tr>
        <w:trPr>
          <w:trHeight w:val="414"/>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ANNEXES</w:t>
            </w:r>
          </w:p>
        </w:tc>
        <w:tc>
          <w:tcPr>
            <w:tcW w:w="580" w:type="dxa"/>
            <w:vAlign w:val="bottom"/>
            <w:gridSpan w:val="2"/>
          </w:tcPr>
          <w:p>
            <w:pPr>
              <w:spacing w:after="0"/>
              <w:rPr>
                <w:sz w:val="24"/>
                <w:szCs w:val="24"/>
                <w:color w:val="auto"/>
              </w:rPr>
            </w:pPr>
          </w:p>
        </w:tc>
        <w:tc>
          <w:tcPr>
            <w:tcW w:w="8220" w:type="dxa"/>
            <w:vAlign w:val="bottom"/>
          </w:tcPr>
          <w:p>
            <w:pPr>
              <w:spacing w:after="0"/>
              <w:rPr>
                <w:sz w:val="24"/>
                <w:szCs w:val="24"/>
                <w:color w:val="auto"/>
              </w:rPr>
            </w:pPr>
          </w:p>
        </w:tc>
      </w:tr>
      <w:tr>
        <w:trPr>
          <w:trHeight w:val="342"/>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A</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Commitment Annex</w:t>
            </w:r>
          </w:p>
        </w:tc>
      </w:tr>
      <w:tr>
        <w:trPr>
          <w:trHeight w:val="280"/>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220" w:type="dxa"/>
            <w:vAlign w:val="bottom"/>
          </w:tcPr>
          <w:p>
            <w:pPr>
              <w:spacing w:after="0"/>
              <w:rPr>
                <w:sz w:val="24"/>
                <w:szCs w:val="24"/>
                <w:color w:val="auto"/>
              </w:rPr>
            </w:pPr>
          </w:p>
        </w:tc>
      </w:tr>
      <w:tr>
        <w:trPr>
          <w:trHeight w:val="323"/>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580" w:type="dxa"/>
            <w:vAlign w:val="bottom"/>
            <w:gridSpan w:val="2"/>
          </w:tcPr>
          <w:p>
            <w:pPr>
              <w:spacing w:after="0"/>
              <w:rPr>
                <w:sz w:val="24"/>
                <w:szCs w:val="24"/>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Borrowing Base Certificate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E-1</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E-2</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E-3</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E-4</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U.S. Tax Compliance Certificate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Closing Checklist</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Assignment Agreement</w:t>
            </w:r>
          </w:p>
        </w:tc>
      </w:tr>
      <w:tr>
        <w:trPr>
          <w:trHeight w:val="23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Pledge Agreement</w:t>
            </w:r>
          </w:p>
        </w:tc>
      </w:tr>
      <w:tr>
        <w:trPr>
          <w:trHeight w:val="280"/>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8220" w:type="dxa"/>
            <w:vAlign w:val="bottom"/>
          </w:tcPr>
          <w:p>
            <w:pPr>
              <w:spacing w:after="0"/>
              <w:rPr>
                <w:sz w:val="24"/>
                <w:szCs w:val="24"/>
                <w:color w:val="auto"/>
              </w:rPr>
            </w:pPr>
          </w:p>
        </w:tc>
      </w:tr>
      <w:tr>
        <w:trPr>
          <w:trHeight w:val="323"/>
        </w:trPr>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Schedule 2.1</w:t>
            </w:r>
          </w:p>
        </w:tc>
        <w:tc>
          <w:tcPr>
            <w:tcW w:w="360" w:type="dxa"/>
            <w:vAlign w:val="bottom"/>
          </w:tcPr>
          <w:p>
            <w:pPr>
              <w:spacing w:after="0"/>
              <w:rPr>
                <w:sz w:val="24"/>
                <w:szCs w:val="24"/>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Scheduled Principal Payments for Term Loan</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Existence, Organizational ID Numbers, Foreign Qualification, Prior Names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3.4</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3.6</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Litigation</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3.17</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3.18</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Environmental Compliance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3.19</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4.9</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Litigation, Governmental Proceedings and Other Notice Events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5.1</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Debt; Contingent Obligations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5.2</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Liens;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5.7</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Permitted Investments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5.8</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5.11</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Business Description</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 Accounts and Securities Accounts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6.1</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Minimum Net Revenue</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7.4</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Post-Closing Obligations</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9.1</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Collateral</w:t>
            </w:r>
          </w:p>
        </w:tc>
      </w:tr>
      <w:tr>
        <w:trPr>
          <w:trHeight w:val="21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9.2(b)</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Location of Collateral</w:t>
            </w:r>
          </w:p>
        </w:tc>
      </w:tr>
      <w:tr>
        <w:trPr>
          <w:trHeight w:val="23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9.2(d)</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Chattel Paper, Letter of Credit Rights, Commercial Tort Claims, Instruments, Documents, Investment Property</w:t>
            </w:r>
          </w:p>
        </w:tc>
      </w:tr>
    </w:tbl>
    <w:p>
      <w:pPr>
        <w:ind w:left="320"/>
        <w:spacing w:after="0"/>
        <w:rPr>
          <w:sz w:val="20"/>
          <w:szCs w:val="20"/>
          <w:color w:val="auto"/>
        </w:rPr>
        <w:sectPr>
          <w:pgSz w:w="11900" w:h="16838" w:orient="portrait"/>
          <w:cols w:equalWidth="0" w:num="1">
            <w:col w:w="9979"/>
          </w:cols>
          <w:pgMar w:left="480" w:top="264" w:right="1440"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563" w:name="page564"/>
    <w:bookmarkEnd w:id="563"/>
    <w:p>
      <w:pPr>
        <w:ind w:left="3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A to Credit Agreement (Commitment Annex)</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Term Loan</w:t>
            </w: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Term Loan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Term Loan</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Term Loan</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Tranche 1</w:t>
            </w:r>
          </w:p>
        </w:tc>
        <w:tc>
          <w:tcPr>
            <w:tcW w:w="11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Tranche 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Tranche 2</w:t>
            </w:r>
          </w:p>
        </w:tc>
        <w:tc>
          <w:tcPr>
            <w:tcW w:w="10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Tranche 2</w:t>
            </w:r>
          </w:p>
        </w:tc>
        <w:tc>
          <w:tcPr>
            <w:tcW w:w="0" w:type="dxa"/>
            <w:vAlign w:val="bottom"/>
          </w:tcPr>
          <w:p>
            <w:pPr>
              <w:spacing w:after="0"/>
              <w:rPr>
                <w:sz w:val="1"/>
                <w:szCs w:val="1"/>
                <w:color w:val="auto"/>
              </w:rPr>
            </w:pPr>
          </w:p>
        </w:tc>
      </w:tr>
      <w:tr>
        <w:trPr>
          <w:trHeight w:val="147"/>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4480" w:type="dxa"/>
            <w:vAlign w:val="bottom"/>
            <w:vMerge w:val="restart"/>
          </w:tcPr>
          <w:p>
            <w:pPr>
              <w:spacing w:after="0"/>
              <w:rPr>
                <w:sz w:val="12"/>
                <w:szCs w:val="12"/>
                <w:color w:val="auto"/>
              </w:rPr>
            </w:pPr>
          </w:p>
        </w:tc>
        <w:tc>
          <w:tcPr>
            <w:tcW w:w="13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1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80" w:type="dxa"/>
            <w:vAlign w:val="bottom"/>
          </w:tcPr>
          <w:p>
            <w:pPr>
              <w:spacing w:after="0"/>
              <w:rPr>
                <w:sz w:val="12"/>
                <w:szCs w:val="12"/>
                <w:color w:val="auto"/>
              </w:rPr>
            </w:pPr>
          </w:p>
        </w:tc>
        <w:tc>
          <w:tcPr>
            <w:tcW w:w="136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0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Financial Trust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28,550,000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28,550,000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1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MFIC Omada SPV LLC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4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1,450,000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4"/>
        </w:trPr>
        <w:tc>
          <w:tcPr>
            <w:tcW w:w="4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6"/>
              </w:rPr>
              <w:t>30,000,000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6"/>
              </w:rPr>
              <w:t>30,000,000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Revolving Loan Commitment Amount</w:t>
            </w:r>
          </w:p>
        </w:tc>
        <w:tc>
          <w:tcPr>
            <w:tcW w:w="140" w:type="dxa"/>
            <w:vAlign w:val="bottom"/>
          </w:tcPr>
          <w:p>
            <w:pPr>
              <w:spacing w:after="0"/>
              <w:rPr>
                <w:sz w:val="16"/>
                <w:szCs w:val="16"/>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Revolving Loan Commitment Percentage</w:t>
            </w:r>
          </w:p>
        </w:tc>
        <w:tc>
          <w:tcPr>
            <w:tcW w:w="220" w:type="dxa"/>
            <w:vAlign w:val="bottom"/>
          </w:tcPr>
          <w:p>
            <w:pPr>
              <w:spacing w:after="0"/>
              <w:rPr>
                <w:sz w:val="16"/>
                <w:szCs w:val="16"/>
                <w:color w:val="auto"/>
              </w:rPr>
            </w:pPr>
          </w:p>
        </w:tc>
      </w:tr>
      <w:tr>
        <w:trPr>
          <w:trHeight w:val="21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Financial Trust</w:t>
            </w:r>
          </w:p>
        </w:tc>
        <w:tc>
          <w:tcPr>
            <w:tcW w:w="23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19,900,000</w:t>
            </w:r>
          </w:p>
        </w:tc>
        <w:tc>
          <w:tcPr>
            <w:tcW w:w="2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99.50%</w:t>
            </w:r>
          </w:p>
        </w:tc>
      </w:tr>
      <w:tr>
        <w:trPr>
          <w:trHeight w:val="21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MFIC Omada SPV LLC</w:t>
            </w:r>
          </w:p>
        </w:tc>
        <w:tc>
          <w:tcPr>
            <w:tcW w:w="23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r>
      <w:tr>
        <w:trPr>
          <w:trHeight w:val="214"/>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3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2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480"/>
          </w:cols>
          <w:pgMar w:left="480" w:top="264" w:right="939" w:bottom="1440" w:gutter="0" w:footer="0" w:header="0"/>
        </w:sectPr>
      </w:pPr>
    </w:p>
    <w:bookmarkStart w:id="564" w:name="page565"/>
    <w:bookmarkEnd w:id="564"/>
    <w:p>
      <w:pPr>
        <w:ind w:left="38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 to Credit Agreement (Reserved)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65" w:name="page566"/>
    <w:bookmarkEnd w:id="5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 to Credit Agreement (Form of Compliance Certificate)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Compliance Certificate is given by _____________________, a Responsible Officer of Omada Health, Inc., a Delaware corporation (the</w:t>
      </w:r>
    </w:p>
    <w:p>
      <w:pPr>
        <w:spacing w:after="0" w:line="2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pursuant to that certain Credit, Security and Guaranty Agreement dated as of June 2, 2023, among the Borrower Representative, all the Borrowers from time to time party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the Guarantors party thereto, MidCap Funding IV Trust, as Agent, MidCap Financial Trust, as Term Loan Servicer,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Responsible Officer hereby certifies to Agent and Lenders that:</w:t>
      </w:r>
    </w:p>
    <w:p>
      <w:pPr>
        <w:spacing w:after="0" w:line="114" w:lineRule="exact"/>
        <w:rPr>
          <w:sz w:val="20"/>
          <w:szCs w:val="20"/>
          <w:color w:val="auto"/>
        </w:rPr>
      </w:pPr>
    </w:p>
    <w:p>
      <w:pPr>
        <w:ind w:right="100" w:firstLine="990"/>
        <w:spacing w:after="0" w:line="263" w:lineRule="auto"/>
        <w:tabs>
          <w:tab w:leader="none" w:pos="122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delivered with this certificate in accordance with Section 4.1[(a)/(c)] of the Credit Agreement fairly present in all material respects the results of operations and financial condition of Credit Parties and their Consolidated Subsidiaries as of the dates and the accounting period covered by such financial statements;</w:t>
      </w:r>
    </w:p>
    <w:p>
      <w:pPr>
        <w:spacing w:after="0" w:line="68" w:lineRule="exact"/>
        <w:rPr>
          <w:rFonts w:ascii="Times New Roman" w:cs="Times New Roman" w:eastAsia="Times New Roman" w:hAnsi="Times New Roman"/>
          <w:sz w:val="18"/>
          <w:szCs w:val="18"/>
          <w:color w:val="auto"/>
        </w:rPr>
      </w:pPr>
    </w:p>
    <w:p>
      <w:pPr>
        <w:ind w:right="60" w:firstLine="990"/>
        <w:spacing w:after="0" w:line="254" w:lineRule="auto"/>
        <w:tabs>
          <w:tab w:leader="none" w:pos="123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the terms of the Credit Agreement and have made, or caused to be made under my supervision, a review in reasonable detail of the transactions and conditions of Credit Parties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hereto, which includes a description of the nature and period of existence of such Default or an Event of Default and what action Credit Parties have taken, are undertaking and propose to take with respect thereto;</w:t>
      </w:r>
    </w:p>
    <w:p>
      <w:pPr>
        <w:spacing w:after="0" w:line="72" w:lineRule="exact"/>
        <w:rPr>
          <w:rFonts w:ascii="Times New Roman" w:cs="Times New Roman" w:eastAsia="Times New Roman" w:hAnsi="Times New Roman"/>
          <w:sz w:val="18"/>
          <w:szCs w:val="18"/>
          <w:color w:val="auto"/>
        </w:rPr>
      </w:pPr>
    </w:p>
    <w:p>
      <w:pPr>
        <w:ind w:firstLine="990"/>
        <w:spacing w:after="0" w:line="254" w:lineRule="auto"/>
        <w:tabs>
          <w:tab w:leader="none" w:pos="122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attached hereto, or as the Borrower Representative may have notified Agent on any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any previous Compliance Certificate, </w:t>
      </w:r>
      <w:r>
        <w:rPr>
          <w:rFonts w:ascii="Times New Roman" w:cs="Times New Roman" w:eastAsia="Times New Roman" w:hAnsi="Times New Roman"/>
          <w:sz w:val="18"/>
          <w:szCs w:val="18"/>
          <w:u w:val="single" w:color="auto"/>
          <w:color w:val="auto"/>
        </w:rPr>
        <w:t>Schedule 9.2(b)</w:t>
      </w:r>
      <w:r>
        <w:rPr>
          <w:rFonts w:ascii="Times New Roman" w:cs="Times New Roman" w:eastAsia="Times New Roman" w:hAnsi="Times New Roman"/>
          <w:sz w:val="18"/>
          <w:szCs w:val="18"/>
          <w:color w:val="auto"/>
        </w:rPr>
        <w:t xml:space="preserve"> to the Credit Agreement contains a complete and accurate list of (i) each chief executive office and principal place of business of each Credit Party and each of their respective Subsidiaries, and (ii) all of the addresses (including all warehouses) at which any of the Collateral is located and/or books and records of Credit Parties regarding any Collateral and required to be disclosed pursuant to</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9.2(b) of the Credit Agreement;</w:t>
      </w:r>
    </w:p>
    <w:p>
      <w:pPr>
        <w:spacing w:after="0" w:line="91" w:lineRule="exact"/>
        <w:rPr>
          <w:rFonts w:ascii="Times New Roman" w:cs="Times New Roman" w:eastAsia="Times New Roman" w:hAnsi="Times New Roman"/>
          <w:sz w:val="18"/>
          <w:szCs w:val="18"/>
          <w:color w:val="auto"/>
        </w:rPr>
      </w:pPr>
    </w:p>
    <w:p>
      <w:pPr>
        <w:ind w:right="140" w:firstLine="990"/>
        <w:spacing w:after="0" w:line="265" w:lineRule="auto"/>
        <w:tabs>
          <w:tab w:leader="none" w:pos="123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attached hereto, or as the Borrower Representative may have notified Agent on any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to any previous Compliance Certificate,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to the Credit Agreement contains a complete and accurate statement of all Deposit Accounts and Securities Accounts maintained by Borrowers and Guarantors;</w:t>
      </w:r>
    </w:p>
    <w:p>
      <w:pPr>
        <w:spacing w:after="0" w:line="63" w:lineRule="exact"/>
        <w:rPr>
          <w:rFonts w:ascii="Times New Roman" w:cs="Times New Roman" w:eastAsia="Times New Roman" w:hAnsi="Times New Roman"/>
          <w:sz w:val="18"/>
          <w:szCs w:val="18"/>
          <w:color w:val="auto"/>
        </w:rPr>
      </w:pPr>
    </w:p>
    <w:p>
      <w:pPr>
        <w:ind w:right="140" w:firstLine="990"/>
        <w:spacing w:after="0" w:line="282" w:lineRule="auto"/>
        <w:tabs>
          <w:tab w:leader="none" w:pos="122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b w:val="1"/>
          <w:bCs w:val="1"/>
          <w:u w:val="single" w:color="auto"/>
          <w:color w:val="auto"/>
        </w:rPr>
        <w:t>Schedule 4</w:t>
      </w:r>
      <w:r>
        <w:rPr>
          <w:rFonts w:ascii="Times New Roman" w:cs="Times New Roman" w:eastAsia="Times New Roman" w:hAnsi="Times New Roman"/>
          <w:sz w:val="18"/>
          <w:szCs w:val="18"/>
          <w:color w:val="auto"/>
        </w:rPr>
        <w:t xml:space="preserve"> attached hereto, or as the Borrower Representative may have notified Agent on any </w:t>
      </w:r>
      <w:r>
        <w:rPr>
          <w:rFonts w:ascii="Times New Roman" w:cs="Times New Roman" w:eastAsia="Times New Roman" w:hAnsi="Times New Roman"/>
          <w:sz w:val="18"/>
          <w:szCs w:val="18"/>
          <w:b w:val="1"/>
          <w:bCs w:val="1"/>
          <w:u w:val="single" w:color="auto"/>
          <w:color w:val="auto"/>
        </w:rPr>
        <w:t>Schedule 4</w:t>
      </w:r>
      <w:r>
        <w:rPr>
          <w:rFonts w:ascii="Times New Roman" w:cs="Times New Roman" w:eastAsia="Times New Roman" w:hAnsi="Times New Roman"/>
          <w:sz w:val="18"/>
          <w:szCs w:val="18"/>
          <w:color w:val="auto"/>
        </w:rPr>
        <w:t xml:space="preserve"> to any previous Compliance Certificate, Schedule 3.19 to the Credit Agreement is true and correct in all material respects;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566" w:name="page567"/>
    <w:bookmarkEnd w:id="566"/>
    <w:p>
      <w:pPr>
        <w:ind w:right="80" w:firstLine="990"/>
        <w:spacing w:after="0" w:line="260" w:lineRule="auto"/>
        <w:tabs>
          <w:tab w:leader="none" w:pos="120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except as noted on </w:t>
      </w:r>
      <w:r>
        <w:rPr>
          <w:rFonts w:ascii="Times New Roman" w:cs="Times New Roman" w:eastAsia="Times New Roman" w:hAnsi="Times New Roman"/>
          <w:sz w:val="18"/>
          <w:szCs w:val="18"/>
          <w:b w:val="1"/>
          <w:bCs w:val="1"/>
          <w:u w:val="single" w:color="auto"/>
          <w:color w:val="auto"/>
        </w:rPr>
        <w:t>Schedule 5</w:t>
      </w:r>
      <w:r>
        <w:rPr>
          <w:rFonts w:ascii="Times New Roman" w:cs="Times New Roman" w:eastAsia="Times New Roman" w:hAnsi="Times New Roman"/>
          <w:sz w:val="18"/>
          <w:szCs w:val="18"/>
          <w:color w:val="auto"/>
        </w:rPr>
        <w:t xml:space="preserve"> attached hereto, or as the Borrower Representative may have notified Agent on any </w:t>
      </w:r>
      <w:r>
        <w:rPr>
          <w:rFonts w:ascii="Times New Roman" w:cs="Times New Roman" w:eastAsia="Times New Roman" w:hAnsi="Times New Roman"/>
          <w:sz w:val="18"/>
          <w:szCs w:val="18"/>
          <w:b w:val="1"/>
          <w:bCs w:val="1"/>
          <w:u w:val="single" w:color="auto"/>
          <w:color w:val="auto"/>
        </w:rPr>
        <w:t>Schedule 5</w:t>
      </w:r>
      <w:r>
        <w:rPr>
          <w:rFonts w:ascii="Times New Roman" w:cs="Times New Roman" w:eastAsia="Times New Roman" w:hAnsi="Times New Roman"/>
          <w:sz w:val="18"/>
          <w:szCs w:val="18"/>
          <w:color w:val="auto"/>
        </w:rPr>
        <w:t xml:space="preserve"> to any previous Compliance Certificate, no Borrower or Guarantor has acquired, by purchase or otherwise, any Chattel Paper, letter of credit Rights, Instruments, documents or investment property that is required to be disclosed pursuant to Section 9.2(d) of the Credit Agreement;]</w:t>
      </w:r>
      <w:r>
        <w:rPr>
          <w:rFonts w:ascii="Times New Roman" w:cs="Times New Roman" w:eastAsia="Times New Roman" w:hAnsi="Times New Roman"/>
          <w:sz w:val="26"/>
          <w:szCs w:val="26"/>
          <w:color w:val="auto"/>
          <w:vertAlign w:val="superscript"/>
        </w:rPr>
        <w:t>1</w:t>
      </w:r>
    </w:p>
    <w:p>
      <w:pPr>
        <w:ind w:left="1240" w:hanging="250"/>
        <w:spacing w:after="0"/>
        <w:tabs>
          <w:tab w:leader="none" w:pos="12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Credit Party Unrestricted Cash as of the date that is five (5) Business Days prior to the date hereof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5" w:lineRule="exact"/>
        <w:rPr>
          <w:sz w:val="20"/>
          <w:szCs w:val="20"/>
          <w:color w:val="auto"/>
        </w:rPr>
      </w:pPr>
    </w:p>
    <w:p>
      <w:pPr>
        <w:ind w:right="180" w:firstLine="990"/>
        <w:spacing w:after="0" w:line="278" w:lineRule="auto"/>
        <w:tabs>
          <w:tab w:leader="none" w:pos="123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held by all Borrowers (taken as a whole) as of the date that is five (5) Business Days prior to the date hereof is $[__________];</w:t>
      </w:r>
    </w:p>
    <w:p>
      <w:pPr>
        <w:spacing w:after="0" w:line="55" w:lineRule="exact"/>
        <w:rPr>
          <w:rFonts w:ascii="Times New Roman" w:cs="Times New Roman" w:eastAsia="Times New Roman" w:hAnsi="Times New Roman"/>
          <w:sz w:val="18"/>
          <w:szCs w:val="18"/>
          <w:color w:val="auto"/>
        </w:rPr>
      </w:pPr>
    </w:p>
    <w:p>
      <w:pPr>
        <w:ind w:firstLine="990"/>
        <w:spacing w:after="0" w:line="278" w:lineRule="auto"/>
        <w:tabs>
          <w:tab w:leader="none" w:pos="119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held by all Credit Parties (taken as a whole) as of the date that is five (5) Business Days prior to the date hereof is $[__________];</w:t>
      </w:r>
    </w:p>
    <w:p>
      <w:pPr>
        <w:spacing w:after="0" w:line="55" w:lineRule="exact"/>
        <w:rPr>
          <w:rFonts w:ascii="Times New Roman" w:cs="Times New Roman" w:eastAsia="Times New Roman" w:hAnsi="Times New Roman"/>
          <w:sz w:val="18"/>
          <w:szCs w:val="18"/>
          <w:color w:val="auto"/>
        </w:rPr>
      </w:pPr>
    </w:p>
    <w:p>
      <w:pPr>
        <w:ind w:right="80" w:firstLine="990"/>
        <w:spacing w:after="0" w:line="278" w:lineRule="auto"/>
        <w:tabs>
          <w:tab w:leader="none" w:pos="119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held by all Non-Credit Party Subsidiaries (taken as a whole) as of the date that is five (5) Business Days prior to the date hereof is $[__________];</w:t>
      </w:r>
    </w:p>
    <w:p>
      <w:pPr>
        <w:spacing w:after="0" w:line="55" w:lineRule="exact"/>
        <w:rPr>
          <w:rFonts w:ascii="Times New Roman" w:cs="Times New Roman" w:eastAsia="Times New Roman" w:hAnsi="Times New Roman"/>
          <w:sz w:val="18"/>
          <w:szCs w:val="18"/>
          <w:color w:val="auto"/>
        </w:rPr>
      </w:pPr>
    </w:p>
    <w:p>
      <w:pPr>
        <w:ind w:right="240" w:firstLine="990"/>
        <w:spacing w:after="0" w:line="278" w:lineRule="auto"/>
        <w:tabs>
          <w:tab w:leader="none" w:pos="123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held by all PCs (taken as a whole) as of the date that is five (5) Business Days prior to the date hereof is $[__________];</w:t>
      </w:r>
    </w:p>
    <w:p>
      <w:pPr>
        <w:spacing w:after="0" w:line="55"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the Borrowers as of the date that is five (5) Business Days prior to the date hereof is $[__________];</w:t>
      </w:r>
    </w:p>
    <w:p>
      <w:pPr>
        <w:spacing w:after="0" w:line="109"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Revenue Testing Period [</w:t>
      </w:r>
      <w:r>
        <w:rPr>
          <w:rFonts w:ascii="Times New Roman" w:cs="Times New Roman" w:eastAsia="Times New Roman" w:hAnsi="Times New Roman"/>
          <w:sz w:val="18"/>
          <w:szCs w:val="18"/>
          <w:b w:val="1"/>
          <w:bCs w:val="1"/>
          <w:color w:val="auto"/>
        </w:rPr>
        <w:t>is / is not]</w:t>
      </w:r>
      <w:r>
        <w:rPr>
          <w:rFonts w:ascii="Times New Roman" w:cs="Times New Roman" w:eastAsia="Times New Roman" w:hAnsi="Times New Roman"/>
          <w:sz w:val="18"/>
          <w:szCs w:val="18"/>
          <w:color w:val="auto"/>
        </w:rPr>
        <w:t xml:space="preserve"> in effect on the date hereof;</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Financial Covenant Trigger Event [</w:t>
      </w:r>
      <w:r>
        <w:rPr>
          <w:rFonts w:ascii="Times New Roman" w:cs="Times New Roman" w:eastAsia="Times New Roman" w:hAnsi="Times New Roman"/>
          <w:sz w:val="17"/>
          <w:szCs w:val="17"/>
          <w:b w:val="1"/>
          <w:bCs w:val="1"/>
          <w:color w:val="auto"/>
        </w:rPr>
        <w:t>did / did not</w:t>
      </w:r>
      <w:r>
        <w:rPr>
          <w:rFonts w:ascii="Times New Roman" w:cs="Times New Roman" w:eastAsia="Times New Roman" w:hAnsi="Times New Roman"/>
          <w:sz w:val="17"/>
          <w:szCs w:val="17"/>
          <w:color w:val="auto"/>
        </w:rPr>
        <w:t>] occur during the month for which this Compliance Certificate is being delivered;</w:t>
      </w:r>
    </w:p>
    <w:p>
      <w:pPr>
        <w:spacing w:after="0" w:line="129" w:lineRule="exact"/>
        <w:rPr>
          <w:rFonts w:ascii="Times New Roman" w:cs="Times New Roman" w:eastAsia="Times New Roman" w:hAnsi="Times New Roman"/>
          <w:sz w:val="17"/>
          <w:szCs w:val="17"/>
          <w:color w:val="auto"/>
        </w:rPr>
      </w:pPr>
    </w:p>
    <w:p>
      <w:pPr>
        <w:ind w:left="1240" w:hanging="250"/>
        <w:spacing w:after="0"/>
        <w:tabs>
          <w:tab w:leader="none" w:pos="12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of Borrowers and their Subsidiaries for the relevant Defined Period is equal to $[__________];</w:t>
      </w:r>
    </w:p>
    <w:p>
      <w:pPr>
        <w:spacing w:after="0" w:line="113" w:lineRule="exact"/>
        <w:rPr>
          <w:rFonts w:ascii="Times New Roman" w:cs="Times New Roman" w:eastAsia="Times New Roman" w:hAnsi="Times New Roman"/>
          <w:sz w:val="18"/>
          <w:szCs w:val="18"/>
          <w:color w:val="auto"/>
        </w:rPr>
      </w:pPr>
    </w:p>
    <w:p>
      <w:pPr>
        <w:ind w:right="60" w:firstLine="990"/>
        <w:spacing w:after="0" w:line="278" w:lineRule="auto"/>
        <w:tabs>
          <w:tab w:leader="none" w:pos="123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(as calculated in accordance with GAAP) attributable by the PCs for the relevant Defined Period is equal to $[__________], and such amount is [__._%] of the Net Revenue of Borrowers and their Subsidiaries;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GAAP Revenue for such Defined Period is equal to $[__________];</w:t>
      </w:r>
    </w:p>
    <w:p>
      <w:pPr>
        <w:spacing w:after="0" w:line="113"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GAAP Revenue attributable solely to the Restricted Foreign Subsidiaries for such Defined Period is equal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6454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5" w:lineRule="exact"/>
        <w:rPr>
          <w:sz w:val="20"/>
          <w:szCs w:val="20"/>
          <w:color w:val="auto"/>
        </w:rPr>
      </w:pPr>
    </w:p>
    <w:p>
      <w:pPr>
        <w:ind w:right="1700" w:firstLine="7"/>
        <w:spacing w:after="0" w:line="328" w:lineRule="auto"/>
        <w:tabs>
          <w:tab w:leader="none" w:pos="428" w:val="left"/>
        </w:tabs>
        <w:numPr>
          <w:ilvl w:val="0"/>
          <w:numId w:val="3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compliance certificates delivered for months ending March 31, June 30, September 30 and December 31 only. MidCap / Omada Health / Credit, Security and Guaranty Agreement</w:t>
      </w:r>
    </w:p>
    <w:p>
      <w:pPr>
        <w:sectPr>
          <w:pgSz w:w="11900" w:h="16838" w:orient="portrait"/>
          <w:cols w:equalWidth="0" w:num="1">
            <w:col w:w="10820"/>
          </w:cols>
          <w:pgMar w:left="480" w:top="264" w:right="599" w:bottom="1440" w:gutter="0" w:footer="0" w:header="0"/>
        </w:sectPr>
      </w:pPr>
    </w:p>
    <w:bookmarkStart w:id="567" w:name="page568"/>
    <w:bookmarkEnd w:id="567"/>
    <w:p>
      <w:pPr>
        <w:ind w:left="-7" w:firstLine="990"/>
        <w:spacing w:after="0" w:line="295" w:lineRule="auto"/>
        <w:tabs>
          <w:tab w:leader="none" w:pos="1207"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[Credit Parties are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in compliance with the covenants contained in Section 6.1 of the Credit Agreement, as demonstrated by the calculation attached hereto. Such calculations and the certifications contained therein are true, correct and complete]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8"/>
          <w:szCs w:val="18"/>
          <w:color w:val="auto"/>
        </w:rPr>
        <w:t>The foregoing certifications and computations are made as of ________________, 202__ (end of quarter) and as of _____________, 202__.</w:t>
      </w:r>
    </w:p>
    <w:p>
      <w:pPr>
        <w:spacing w:after="0" w:line="248" w:lineRule="exact"/>
        <w:rPr>
          <w:sz w:val="20"/>
          <w:szCs w:val="20"/>
          <w:color w:val="auto"/>
        </w:rPr>
      </w:pPr>
    </w:p>
    <w:p>
      <w:pPr>
        <w:ind w:left="6553"/>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553"/>
        <w:spacing w:after="0"/>
        <w:rPr>
          <w:sz w:val="20"/>
          <w:szCs w:val="20"/>
          <w:color w:val="auto"/>
        </w:rPr>
      </w:pPr>
      <w:r>
        <w:rPr>
          <w:rFonts w:ascii="Times New Roman" w:cs="Times New Roman" w:eastAsia="Times New Roman" w:hAnsi="Times New Roman"/>
          <w:sz w:val="18"/>
          <w:szCs w:val="18"/>
          <w:color w:val="auto"/>
        </w:rPr>
        <w:t>[______]</w:t>
      </w:r>
    </w:p>
    <w:p>
      <w:pPr>
        <w:spacing w:after="0" w:line="221" w:lineRule="exact"/>
        <w:rPr>
          <w:sz w:val="20"/>
          <w:szCs w:val="20"/>
          <w:color w:val="auto"/>
        </w:rPr>
      </w:pPr>
    </w:p>
    <w:p>
      <w:pPr>
        <w:ind w:left="6553"/>
        <w:spacing w:after="0"/>
        <w:tabs>
          <w:tab w:leader="none" w:pos="7112"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15875</wp:posOffset>
            </wp:positionV>
            <wp:extent cx="240347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53"/>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15875</wp:posOffset>
            </wp:positionV>
            <wp:extent cx="240347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53"/>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15875</wp:posOffset>
            </wp:positionV>
            <wp:extent cx="240347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4034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6454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1" w:lineRule="exact"/>
        <w:rPr>
          <w:sz w:val="20"/>
          <w:szCs w:val="20"/>
          <w:color w:val="auto"/>
        </w:rPr>
      </w:pPr>
    </w:p>
    <w:p>
      <w:pPr>
        <w:ind w:left="-7" w:right="1380" w:firstLine="7"/>
        <w:spacing w:after="0" w:line="328" w:lineRule="auto"/>
        <w:tabs>
          <w:tab w:leader="none" w:pos="421" w:val="left"/>
        </w:tabs>
        <w:numPr>
          <w:ilvl w:val="0"/>
          <w:numId w:val="3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only during a Net Revenue Testing Period or for any month during which a Financial Covenant Trigger Event occurs. MidCap / Omada Health / Credit, Security and Guaranty Agreement</w:t>
      </w:r>
    </w:p>
    <w:p>
      <w:pPr>
        <w:sectPr>
          <w:pgSz w:w="11900" w:h="16838" w:orient="portrait"/>
          <w:cols w:equalWidth="0" w:num="1">
            <w:col w:w="10773"/>
          </w:cols>
          <w:pgMar w:left="487" w:top="264" w:right="639" w:bottom="1440" w:gutter="0" w:footer="0" w:header="0"/>
        </w:sectPr>
      </w:pPr>
    </w:p>
    <w:bookmarkStart w:id="568" w:name="page569"/>
    <w:bookmarkEnd w:id="568"/>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C to Credit Agreement (Borrowing Base Certificate)</w:t>
      </w:r>
    </w:p>
    <w:p>
      <w:pPr>
        <w:spacing w:after="0" w:line="2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[See attached.]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69" w:name="page570"/>
    <w:bookmarkEnd w:id="5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D to Credit Agreement (Form of Notice of Borrowing)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BORROWING</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Notice of Borrowing is given by _____________________, a Responsible Officer of </w:t>
      </w:r>
      <w:r>
        <w:rPr>
          <w:rFonts w:ascii="Times New Roman" w:cs="Times New Roman" w:eastAsia="Times New Roman" w:hAnsi="Times New Roman"/>
          <w:sz w:val="18"/>
          <w:szCs w:val="18"/>
          <w:b w:val="1"/>
          <w:bCs w:val="1"/>
          <w:color w:val="auto"/>
        </w:rPr>
        <w:t>Omada Health, Inc.</w:t>
      </w:r>
      <w:r>
        <w:rPr>
          <w:rFonts w:ascii="Times New Roman" w:cs="Times New Roman" w:eastAsia="Times New Roman" w:hAnsi="Times New Roman"/>
          <w:sz w:val="18"/>
          <w:szCs w:val="18"/>
          <w:color w:val="auto"/>
        </w:rPr>
        <w:t>, a Delaware corporation (the</w:t>
      </w:r>
    </w:p>
    <w:p>
      <w:pPr>
        <w:spacing w:after="0" w:line="3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pursuant to that certain Credit, Security and Guaranty Agreement dated as of June 2, 2023 among the Borrower Representative, all the Borrowers from time to time party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the Guarantors party thereto, MidCap Funding IV Trust, as Agent, MidCap Financial Trust, as Term Loan Servicer, and the financial institutions or other entities from time to time parties 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7" w:lineRule="exact"/>
        <w:rPr>
          <w:sz w:val="20"/>
          <w:szCs w:val="20"/>
          <w:color w:val="auto"/>
        </w:rPr>
      </w:pPr>
    </w:p>
    <w:p>
      <w:pPr>
        <w:ind w:right="2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The undersigned Responsible Officer hereby gives notice to [Agent] / [Agent and Term Loan Servicer] of Borrower Representative’s request to borrow $____________________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Revolving Loans][Term Loan Tranche [__]] on _______________, 202__.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Attached is a Borrowing Base</w:t>
      </w:r>
    </w:p>
    <w:p>
      <w:pPr>
        <w:ind w:right="240"/>
        <w:spacing w:after="0" w:line="277" w:lineRule="auto"/>
        <w:rPr>
          <w:sz w:val="20"/>
          <w:szCs w:val="20"/>
          <w:color w:val="auto"/>
        </w:rPr>
      </w:pPr>
      <w:r>
        <w:rPr>
          <w:rFonts w:ascii="Times New Roman" w:cs="Times New Roman" w:eastAsia="Times New Roman" w:hAnsi="Times New Roman"/>
          <w:sz w:val="18"/>
          <w:szCs w:val="18"/>
          <w:color w:val="auto"/>
        </w:rPr>
        <w:t>Certificate complying in all respects with the Credit Agreement and confirming that, after giving effect to the requested advance, the Revolving Loan Outstandings will not exceed the Revolving Loan Limit.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3</w:t>
      </w:r>
    </w:p>
    <w:p>
      <w:pPr>
        <w:spacing w:after="0" w:line="39"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The undersigned officer hereby certifies that, both before and after giving effect to the request above (a) each of the conditions precedent set forth in Section 7.2 have been satisfied, (b) all the representations and warranties of each Credit Party contained in the Financing Documents are true and correct in all material respects on and as of the date hereof, except to the extent that any such representation or warranty relates to a specific earlier date, in which case such representation or warranty shall be true and correct in all material respects as of such specific earlier date; provided, however, in each case, such materiality qualifier shall not be applicable to any representations and warranties that already are qualified or modified by materiality in the text thereof, and (c) no Default or Event of Default has occurred and is continuing on the date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officer has executed and delivered this Notice of Borrowing this ____ day of ___________, 202__.</w:t>
      </w:r>
    </w:p>
    <w:p>
      <w:pPr>
        <w:spacing w:after="0" w:line="2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[BORROWER REPRESENTATIVE]</w:t>
      </w:r>
    </w:p>
    <w:p>
      <w:pPr>
        <w:spacing w:after="0" w:line="221" w:lineRule="exact"/>
        <w:rPr>
          <w:sz w:val="20"/>
          <w:szCs w:val="20"/>
          <w:color w:val="auto"/>
        </w:rPr>
      </w:pPr>
    </w:p>
    <w:p>
      <w:pPr>
        <w:ind w:left="6560"/>
        <w:spacing w:after="0"/>
        <w:tabs>
          <w:tab w:leader="none" w:pos="7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4034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76454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1" w:lineRule="exact"/>
        <w:rPr>
          <w:sz w:val="20"/>
          <w:szCs w:val="20"/>
          <w:color w:val="auto"/>
        </w:rPr>
      </w:pPr>
    </w:p>
    <w:p>
      <w:pPr>
        <w:ind w:left="440" w:right="260" w:hanging="433"/>
        <w:spacing w:after="0" w:line="207" w:lineRule="auto"/>
        <w:tabs>
          <w:tab w:leader="none" w:pos="440" w:val="left"/>
        </w:tabs>
        <w:numPr>
          <w:ilvl w:val="0"/>
          <w:numId w:val="3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if, immediately after giving effect to the borrowing and the use of proceeds thereof, the Revolving Loan Outstandings would be greater than 50% of the Revolving Loan Limit.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3" w:right="519" w:bottom="1440" w:gutter="0" w:footer="0" w:header="0"/>
        </w:sectPr>
      </w:pPr>
    </w:p>
    <w:bookmarkStart w:id="570" w:name="page571"/>
    <w:bookmarkEnd w:id="5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E-1 to Credit Agreement (Form of U.S. Tax Compliance Certificate)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U.S. Tax Compliance Certificate is given by _____________________, pursuant to that certain Credit, Security and Guaranty</w:t>
      </w:r>
    </w:p>
    <w:p>
      <w:pPr>
        <w:spacing w:after="0" w:line="2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Agreement dated as of June 2, 2023 among the Borrower Representative, the Borrowers from time to time party thereto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the Guarantors party thereto, MidCap Funding IV Trust, as Agent, MidCap Financial Trust, as Term Loan Servicer, and the financial institutions or other entities from time to time parties thereto, each as a Lender (as such agreement may have been amended,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shall have the meanings set forth in the Credit Agreement.</w:t>
      </w:r>
    </w:p>
    <w:p>
      <w:pPr>
        <w:spacing w:after="0" w:line="187"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2.8(c)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 (B) of the Code and (iv) it is not a controlled foreign corporation related to any Borrower as described in Section 881(c)(3)(C) of the Code.</w:t>
      </w:r>
    </w:p>
    <w:p>
      <w:pPr>
        <w:spacing w:after="0" w:line="180" w:lineRule="exact"/>
        <w:rPr>
          <w:sz w:val="20"/>
          <w:szCs w:val="20"/>
          <w:color w:val="auto"/>
        </w:rPr>
      </w:pPr>
    </w:p>
    <w:p>
      <w:pPr>
        <w:ind w:firstLine="982"/>
        <w:spacing w:after="0" w:line="274" w:lineRule="auto"/>
        <w:rPr>
          <w:sz w:val="20"/>
          <w:szCs w:val="20"/>
          <w:color w:val="auto"/>
        </w:rPr>
      </w:pPr>
      <w:r>
        <w:rPr>
          <w:rFonts w:ascii="Times New Roman" w:cs="Times New Roman" w:eastAsia="Times New Roman" w:hAnsi="Times New Roman"/>
          <w:sz w:val="17"/>
          <w:szCs w:val="17"/>
          <w:color w:val="auto"/>
        </w:rPr>
        <w:t>The undersigned has furnished Agent, Term Loan Servicer and the Borrower Representative with a certificate of its non-U.S. Person status on IRS Form W-8BEN or IRS Form W-8BEN-E. By executing this certificate, the undersigned agrees that (1) if the information provided on this certificate changes, the undersigned shall promptly so inform the Borrower Representative, Agent and Term Loan Servicer, and (2) the undersigned shall have at all times furnished the Borrower Representative, Term Loan Servicer and Agent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20"/>
          </w:cols>
          <w:pgMar w:left="480" w:top="264" w:right="499" w:bottom="1440" w:gutter="0" w:footer="0" w:header="0"/>
        </w:sectPr>
      </w:pPr>
    </w:p>
    <w:bookmarkStart w:id="571" w:name="page572"/>
    <w:bookmarkEnd w:id="5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E-2 to Credit Agreement (Form of U.S. Tax Compliance Certificate)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1" w:lineRule="exact"/>
        <w:rPr>
          <w:sz w:val="20"/>
          <w:szCs w:val="20"/>
          <w:color w:val="auto"/>
        </w:rPr>
      </w:pPr>
    </w:p>
    <w:p>
      <w:pPr>
        <w:jc w:val="both"/>
        <w:ind w:firstLine="982"/>
        <w:spacing w:after="0" w:line="268" w:lineRule="auto"/>
        <w:rPr>
          <w:sz w:val="20"/>
          <w:szCs w:val="20"/>
          <w:color w:val="auto"/>
        </w:rPr>
      </w:pPr>
      <w:r>
        <w:rPr>
          <w:rFonts w:ascii="Times New Roman" w:cs="Times New Roman" w:eastAsia="Times New Roman" w:hAnsi="Times New Roman"/>
          <w:sz w:val="17"/>
          <w:szCs w:val="17"/>
          <w:color w:val="auto"/>
        </w:rPr>
        <w:t>This U.S. Tax Compliance Certificate is given pursuant to that certain Credit, Security and Guaranty Agreement dated as of June 2, 2023 among the Borrower Representative, the Borrowers from time to time party (collectively, “</w:t>
      </w:r>
      <w:r>
        <w:rPr>
          <w:rFonts w:ascii="Times New Roman" w:cs="Times New Roman" w:eastAsia="Times New Roman" w:hAnsi="Times New Roman"/>
          <w:sz w:val="17"/>
          <w:szCs w:val="17"/>
          <w:b w:val="1"/>
          <w:bCs w:val="1"/>
          <w:color w:val="auto"/>
        </w:rPr>
        <w:t>Borrowers</w:t>
      </w:r>
      <w:r>
        <w:rPr>
          <w:rFonts w:ascii="Times New Roman" w:cs="Times New Roman" w:eastAsia="Times New Roman" w:hAnsi="Times New Roman"/>
          <w:sz w:val="17"/>
          <w:szCs w:val="17"/>
          <w:color w:val="auto"/>
        </w:rPr>
        <w:t>”), the Guarantors party thereto, MidCap Funding IV Trust, as Agent, MidCap Financial Trust, as Term Loan Servicer, and the financial institutions or other entities from time to time parties thereto, each as a Lender (as such agreement may have been amended, restated, supplemented or otherwise modified from time to time, the “</w:t>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set forth in the Credit Agreement.</w:t>
      </w:r>
    </w:p>
    <w:p>
      <w:pPr>
        <w:spacing w:after="0" w:line="202"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2.8(c)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0"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4" w:right="539" w:bottom="1440" w:gutter="0" w:footer="0" w:header="0"/>
        </w:sectPr>
      </w:pPr>
    </w:p>
    <w:bookmarkStart w:id="572" w:name="page573"/>
    <w:bookmarkEnd w:id="5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E-3 to Credit Agreement (Form of U.S. Tax Compliance Certificate)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1" w:lineRule="exact"/>
        <w:rPr>
          <w:sz w:val="20"/>
          <w:szCs w:val="20"/>
          <w:color w:val="auto"/>
        </w:rPr>
      </w:pPr>
    </w:p>
    <w:p>
      <w:pPr>
        <w:jc w:val="both"/>
        <w:ind w:firstLine="982"/>
        <w:spacing w:after="0" w:line="268" w:lineRule="auto"/>
        <w:rPr>
          <w:sz w:val="20"/>
          <w:szCs w:val="20"/>
          <w:color w:val="auto"/>
        </w:rPr>
      </w:pPr>
      <w:r>
        <w:rPr>
          <w:rFonts w:ascii="Times New Roman" w:cs="Times New Roman" w:eastAsia="Times New Roman" w:hAnsi="Times New Roman"/>
          <w:sz w:val="17"/>
          <w:szCs w:val="17"/>
          <w:color w:val="auto"/>
        </w:rPr>
        <w:t>This U.S. Tax Compliance Certificate is given pursuant to that certain Credit, Security and Guaranty Agreement dated as of June 2, 2023 among the Borrower Representative, the Borrowers from time to time party (collectively, “</w:t>
      </w:r>
      <w:r>
        <w:rPr>
          <w:rFonts w:ascii="Times New Roman" w:cs="Times New Roman" w:eastAsia="Times New Roman" w:hAnsi="Times New Roman"/>
          <w:sz w:val="17"/>
          <w:szCs w:val="17"/>
          <w:b w:val="1"/>
          <w:bCs w:val="1"/>
          <w:color w:val="auto"/>
        </w:rPr>
        <w:t>Borrowers</w:t>
      </w:r>
      <w:r>
        <w:rPr>
          <w:rFonts w:ascii="Times New Roman" w:cs="Times New Roman" w:eastAsia="Times New Roman" w:hAnsi="Times New Roman"/>
          <w:sz w:val="17"/>
          <w:szCs w:val="17"/>
          <w:color w:val="auto"/>
        </w:rPr>
        <w:t>”), the Guarantors party thereto, MidCap Funding IV Trust, as Agent, MidCap Financial Trust, as Term Loan Servicer, and the financial institutions or other entities from time to time parties thereto, each as a Lender (as such agreement may have been amended, restated, supplemented or otherwise modified from time to time, the “</w:t>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set forth in the Credit Agreement.</w:t>
      </w:r>
    </w:p>
    <w:p>
      <w:pPr>
        <w:spacing w:after="0" w:line="202"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Pursuant to the provisions of Section 2.8(c)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2" w:lineRule="exact"/>
        <w:rPr>
          <w:sz w:val="20"/>
          <w:szCs w:val="20"/>
          <w:color w:val="auto"/>
        </w:rPr>
      </w:pPr>
    </w:p>
    <w:p>
      <w:pPr>
        <w:ind w:right="20" w:firstLine="7"/>
        <w:spacing w:after="0" w:line="252" w:lineRule="auto"/>
        <w:tabs>
          <w:tab w:leader="none" w:pos="302"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5"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880"/>
          </w:cols>
          <w:pgMar w:left="480" w:top="264" w:right="539" w:bottom="1440" w:gutter="0" w:footer="0" w:header="0"/>
        </w:sectPr>
      </w:pPr>
    </w:p>
    <w:bookmarkStart w:id="573" w:name="page574"/>
    <w:bookmarkEnd w:id="573"/>
    <w:p>
      <w:pPr>
        <w:jc w:val="center"/>
        <w:ind w:left="500" w:right="244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Exhibit E-4 to Credit Agreement (Form of U.S. Tax Compliance Certificate) U.S. TAX COMPLIANCE CERTIFICATE </w:t>
      </w:r>
      <w:r>
        <w:rPr>
          <w:rFonts w:ascii="Times New Roman" w:cs="Times New Roman" w:eastAsia="Times New Roman" w:hAnsi="Times New Roman"/>
          <w:sz w:val="18"/>
          <w:szCs w:val="18"/>
          <w:color w:val="auto"/>
        </w:rPr>
        <w:t>(For Foreign Lenders That Are Partnerships For U.S. Federal Income Tax Purposes)</w:t>
      </w:r>
    </w:p>
    <w:p>
      <w:pPr>
        <w:spacing w:after="0" w:line="174" w:lineRule="exact"/>
        <w:rPr>
          <w:sz w:val="20"/>
          <w:szCs w:val="20"/>
          <w:color w:val="auto"/>
        </w:rPr>
      </w:pPr>
    </w:p>
    <w:p>
      <w:pPr>
        <w:jc w:val="both"/>
        <w:ind w:right="20" w:firstLine="982"/>
        <w:spacing w:after="0" w:line="268" w:lineRule="auto"/>
        <w:rPr>
          <w:sz w:val="20"/>
          <w:szCs w:val="20"/>
          <w:color w:val="auto"/>
        </w:rPr>
      </w:pPr>
      <w:r>
        <w:rPr>
          <w:rFonts w:ascii="Times New Roman" w:cs="Times New Roman" w:eastAsia="Times New Roman" w:hAnsi="Times New Roman"/>
          <w:sz w:val="17"/>
          <w:szCs w:val="17"/>
          <w:color w:val="auto"/>
        </w:rPr>
        <w:t>This U.S. Tax Compliance Certificate is given pursuant to that certain Credit, Security and Guaranty Agreement dated as of June 2, 2023 among the Borrower Representative, the Borrowers from time to time party (collectively, “</w:t>
      </w:r>
      <w:r>
        <w:rPr>
          <w:rFonts w:ascii="Times New Roman" w:cs="Times New Roman" w:eastAsia="Times New Roman" w:hAnsi="Times New Roman"/>
          <w:sz w:val="17"/>
          <w:szCs w:val="17"/>
          <w:b w:val="1"/>
          <w:bCs w:val="1"/>
          <w:color w:val="auto"/>
        </w:rPr>
        <w:t>Borrowers</w:t>
      </w:r>
      <w:r>
        <w:rPr>
          <w:rFonts w:ascii="Times New Roman" w:cs="Times New Roman" w:eastAsia="Times New Roman" w:hAnsi="Times New Roman"/>
          <w:sz w:val="17"/>
          <w:szCs w:val="17"/>
          <w:color w:val="auto"/>
        </w:rPr>
        <w:t>”), the Guarantors party thereto, MidCap Funding IV Trust, as Agent, MidCap Financial Trust, as Term Loan Servicer, and the financial institutions or other entities from time to time parties thereto, each as a Lender (as such agreement may have been amended, restated, supplemented or otherwise modified from time to time, the “</w:t>
      </w:r>
      <w:r>
        <w:rPr>
          <w:rFonts w:ascii="Times New Roman" w:cs="Times New Roman" w:eastAsia="Times New Roman" w:hAnsi="Times New Roman"/>
          <w:sz w:val="17"/>
          <w:szCs w:val="17"/>
          <w:b w:val="1"/>
          <w:bCs w:val="1"/>
          <w:color w:val="auto"/>
        </w:rPr>
        <w:t>Credit Agreement</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set forth in the Credit Agreement.</w:t>
      </w:r>
    </w:p>
    <w:p>
      <w:pPr>
        <w:spacing w:after="0" w:line="202" w:lineRule="exact"/>
        <w:rPr>
          <w:sz w:val="20"/>
          <w:szCs w:val="20"/>
          <w:color w:val="auto"/>
        </w:rPr>
      </w:pPr>
    </w:p>
    <w:p>
      <w:pPr>
        <w:ind w:right="60" w:firstLine="982"/>
        <w:spacing w:after="0" w:line="267" w:lineRule="auto"/>
        <w:rPr>
          <w:sz w:val="20"/>
          <w:szCs w:val="20"/>
          <w:color w:val="auto"/>
        </w:rPr>
      </w:pPr>
      <w:r>
        <w:rPr>
          <w:rFonts w:ascii="Times New Roman" w:cs="Times New Roman" w:eastAsia="Times New Roman" w:hAnsi="Times New Roman"/>
          <w:sz w:val="17"/>
          <w:szCs w:val="17"/>
          <w:color w:val="auto"/>
        </w:rPr>
        <w:t>Pursuant to the provisions of Section 2.8(c)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Financing Document, neither the undersigned nor any of its direct or indirect partners/members is a bank extending credit pursuant to a loan agreement entered into in the ordinary course of its trade or business within the meaning of Section 881(c)(3)</w:t>
      </w:r>
    </w:p>
    <w:p>
      <w:pPr>
        <w:spacing w:after="0" w:line="1" w:lineRule="exact"/>
        <w:rPr>
          <w:sz w:val="20"/>
          <w:szCs w:val="20"/>
          <w:color w:val="auto"/>
        </w:rPr>
      </w:pPr>
    </w:p>
    <w:p>
      <w:pPr>
        <w:ind w:left="300" w:hanging="293"/>
        <w:spacing w:after="0"/>
        <w:tabs>
          <w:tab w:leader="none" w:pos="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(iv) none of its direct or indirect partners/members is a ten percent shareholder of any Borrower within the meaning of Section 871(h)</w:t>
      </w:r>
    </w:p>
    <w:p>
      <w:pPr>
        <w:spacing w:after="0" w:line="6" w:lineRule="exact"/>
        <w:rPr>
          <w:rFonts w:ascii="Times New Roman" w:cs="Times New Roman" w:eastAsia="Times New Roman" w:hAnsi="Times New Roman"/>
          <w:sz w:val="18"/>
          <w:szCs w:val="18"/>
          <w:color w:val="auto"/>
        </w:rPr>
      </w:pPr>
    </w:p>
    <w:p>
      <w:pPr>
        <w:ind w:righ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(3)(B) of the Code and (v) none of its direct or indirect partners/members is a controlled foreign corporation related to any Borrower as described in Section 881(c)(3)(C) of the Code.</w:t>
      </w:r>
    </w:p>
    <w:p>
      <w:pPr>
        <w:spacing w:after="0" w:line="182"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The undersigned has furnished Agent, Term Loan Servicer and the Borrower Representative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Term Loan Servicer and Agent, and (2) the undersigned shall have at all times furnished the Borrower Representative, Term Loan Servicer and Agent with a properly completed and currently effective certificate in either the calendar year in which each payment is to be made to the undersigned, or in either of the two calendar years preceding such payments.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w:t>
      </w:r>
    </w:p>
    <w:p>
      <w:pPr>
        <w:spacing w:after="0" w:line="26" w:lineRule="exact"/>
        <w:rPr>
          <w:sz w:val="20"/>
          <w:szCs w:val="20"/>
          <w:color w:val="auto"/>
        </w:rPr>
      </w:pPr>
    </w:p>
    <w:p>
      <w:pPr>
        <w:ind w:left="180" w:hanging="173"/>
        <w:spacing w:after="0"/>
        <w:tabs>
          <w:tab w:leader="none" w:pos="180"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Name: __________________________</w:t>
      </w:r>
    </w:p>
    <w:p>
      <w:pPr>
        <w:spacing w:after="0" w:line="18"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Title: ___________________________</w:t>
      </w:r>
    </w:p>
    <w:p>
      <w:pPr>
        <w:spacing w:after="0" w:line="2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574" w:name="page575"/>
    <w:bookmarkEnd w:id="574"/>
    <w:p>
      <w:pPr>
        <w:ind w:left="35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F to Credit Agreement (Closing Checklist)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75" w:name="page576"/>
    <w:bookmarkEnd w:id="5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G to Credit Agreement (Form of Assignment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Assignment Agreement (this “</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is entered into as of __________ by and between the Assignor named on</w:t>
      </w:r>
    </w:p>
    <w:p>
      <w:pPr>
        <w:spacing w:after="0" w:line="3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signature page hereto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the Assignee named on the signature page hereto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Reference is made to the Credit, Security and Guaranty Agreement dated as of June 2, 2023 (as amended, restated, amended and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the Borrowers from time to time party to the Credit Agreement (each individually as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collectively and any entities that become party thereto as Borrower and each of their successors and permitted assigns,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the Guarantors party thereto from time to time, the financial institutions from time to time party thereto, as Lenders, </w:t>
      </w:r>
      <w:r>
        <w:rPr>
          <w:rFonts w:ascii="Times New Roman" w:cs="Times New Roman" w:eastAsia="Times New Roman" w:hAnsi="Times New Roman"/>
          <w:sz w:val="18"/>
          <w:szCs w:val="18"/>
          <w:b w:val="1"/>
          <w:bCs w:val="1"/>
          <w:color w:val="auto"/>
        </w:rPr>
        <w:t>MIDCAP FUNDING IV TRUST</w:t>
      </w:r>
      <w:r>
        <w:rPr>
          <w:rFonts w:ascii="Times New Roman" w:cs="Times New Roman" w:eastAsia="Times New Roman" w:hAnsi="Times New Roman"/>
          <w:sz w:val="18"/>
          <w:szCs w:val="18"/>
          <w:color w:val="auto"/>
        </w:rPr>
        <w:t xml:space="preserve">, as Agent, and </w:t>
      </w:r>
      <w:r>
        <w:rPr>
          <w:rFonts w:ascii="Times New Roman" w:cs="Times New Roman" w:eastAsia="Times New Roman" w:hAnsi="Times New Roman"/>
          <w:sz w:val="18"/>
          <w:szCs w:val="18"/>
          <w:b w:val="1"/>
          <w:bCs w:val="1"/>
          <w:color w:val="auto"/>
        </w:rPr>
        <w:t>MIDCAP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TRUST</w:t>
      </w:r>
      <w:r>
        <w:rPr>
          <w:rFonts w:ascii="Times New Roman" w:cs="Times New Roman" w:eastAsia="Times New Roman" w:hAnsi="Times New Roman"/>
          <w:sz w:val="18"/>
          <w:szCs w:val="18"/>
          <w:color w:val="auto"/>
        </w:rPr>
        <w:t>, as Term Loan Servicer. Capitalized terms used herein and not otherwise defined shall have the meanings assigned to them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Assignor and Assignee hereby agree as follows:</w:t>
      </w:r>
    </w:p>
    <w:p>
      <w:pPr>
        <w:spacing w:after="0" w:line="221" w:lineRule="exact"/>
        <w:rPr>
          <w:sz w:val="20"/>
          <w:szCs w:val="20"/>
          <w:color w:val="auto"/>
        </w:rPr>
      </w:pPr>
    </w:p>
    <w:p>
      <w:pPr>
        <w:ind w:right="100" w:firstLine="990"/>
        <w:spacing w:after="0" w:line="258" w:lineRule="auto"/>
        <w:tabs>
          <w:tab w:leader="none" w:pos="11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hereby sells and assigns to Assignee, and Assignee hereby purchases and assumes from Assignor the interests set forth on the schedule attached hereto (the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in and to Assignor’s rights and obligations under the Credit Agreement as of the effective date set forth on the Schedule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Such purchase and sale is made without recourse, representation or warranty except as expressly set forth herein. On the Effective Date, Assignee shall pay to Assignor an amount equal to the aggregate amounts assigned pursuant to the Schedule.</w:t>
      </w:r>
    </w:p>
    <w:p>
      <w:pPr>
        <w:spacing w:after="0" w:line="179" w:lineRule="exact"/>
        <w:rPr>
          <w:rFonts w:ascii="Times New Roman" w:cs="Times New Roman" w:eastAsia="Times New Roman" w:hAnsi="Times New Roman"/>
          <w:sz w:val="18"/>
          <w:szCs w:val="18"/>
          <w:color w:val="auto"/>
        </w:rPr>
      </w:pPr>
    </w:p>
    <w:p>
      <w:pPr>
        <w:ind w:firstLine="990"/>
        <w:spacing w:after="0" w:line="253" w:lineRule="auto"/>
        <w:tabs>
          <w:tab w:leader="none" w:pos="11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(i) represents that as of the Effective Date, it is the legal and beneficial owner of the interests assigned hereunder free and clear of any adverse claim; (ii) makes no other representation or warranty and assumes no responsibility with respect to any statement, warranties or representations made in or in connection with the Credit Agreement or the execution, legality, validity, enforceability, genuineness, sufficiency or value of the Credit Agreement, any other Financing Documents or any other instrument or document furnished pursuant thereto; and (iii) makes no representation or warranty and assumes no responsibility with respect to the financial condition of any other Credit Party or any other Person or the performance or observance by any Credit Party of its Obligations under the Credit Agreement or any other Financing Documents or any other instrument or document furnished pursuant thereto.</w:t>
      </w:r>
    </w:p>
    <w:p>
      <w:pPr>
        <w:spacing w:after="0" w:line="184" w:lineRule="exact"/>
        <w:rPr>
          <w:rFonts w:ascii="Times New Roman" w:cs="Times New Roman" w:eastAsia="Times New Roman" w:hAnsi="Times New Roman"/>
          <w:sz w:val="18"/>
          <w:szCs w:val="18"/>
          <w:color w:val="auto"/>
        </w:rPr>
      </w:pPr>
    </w:p>
    <w:p>
      <w:pPr>
        <w:ind w:firstLine="990"/>
        <w:spacing w:after="0" w:line="251" w:lineRule="auto"/>
        <w:tabs>
          <w:tab w:leader="none" w:pos="11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 (i) confirms that it has received a copy of the Credit Agreement and the other Financing Documents, together with copies of the most recent financial statements delivered pursuant thereto and such other documents and information as it has deemed appropriate to make its own credit analysis and decision to enter into this Assignment Agreement; (ii) agrees that it will, independently and without reliance upon Agent, Assignor or any other Lender and based on such documents and information as it shall deem appropriate at the time, continue to make its own credit decisions in taking or not taking action under the Credit Agreement; (iii) appoints and authorizes Agent to take such action as Agent on its behalf and to exercise such powers under the Credit Agreement and the other Financing Documents as are delegated to Agent by the terms thereof, together with such powers as are reasonably incidental thereto; (iv) appoints and authorizes Term Loan Servicer to take such action as Term Loan Servicer on its behalf and to exercise such powers under the Credit Agreement and the other Financing Documents as are delegated to Term Loan Servicer by the terms thereof, together with such powers as are reasonably incidental thereto; (v) agrees that it will perform in accordance with their terms all obligations which by the terms of the Credit Agreement are required to be performed by it as a Lender; (vi) represents that on the date of this Assignment Agreement it is not presently aware of any facts that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4" w:right="519" w:bottom="1440" w:gutter="0" w:footer="0" w:header="0"/>
        </w:sectPr>
      </w:pPr>
    </w:p>
    <w:bookmarkStart w:id="576" w:name="page577"/>
    <w:bookmarkEnd w:id="576"/>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would cause it to make a claim under the Credit Agreement; (vii) represents and warrants that Assignee is not a Foreign Lender or, if it is a Foreign Lender, that it has delivered to Agent the documentation required to be delivered to Agent by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below; (viii) represents and warrants that Assignee is (or, upon receipt of any required consents hereto by Agent and Borrower, will be) an Eligible Assignee and (ix) represents and warrants that it has experience and expertise in the making or the purchasing of loans such as the Loans, and that it has acquired the interests described herein for its own account and without any present intention of selling all or any portion of such interests.</w:t>
      </w:r>
    </w:p>
    <w:p>
      <w:pPr>
        <w:spacing w:after="0" w:line="184" w:lineRule="exact"/>
        <w:rPr>
          <w:sz w:val="20"/>
          <w:szCs w:val="20"/>
          <w:color w:val="auto"/>
        </w:rPr>
      </w:pPr>
    </w:p>
    <w:p>
      <w:pPr>
        <w:ind w:right="300" w:firstLine="990"/>
        <w:spacing w:after="0" w:line="255" w:lineRule="auto"/>
        <w:tabs>
          <w:tab w:leader="none" w:pos="11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Assignor and Assignee represents and warrants to the other party hereto that it has full power and authority to enter into this Assignment Agreement and to perform its obligations hereunder in accordance with the provisions hereof, that this Assignment Agreement has been duly authorized, executed and delivered by such party and that this Assignment Agreement constitutes a legal, valid and binding obligation of such party, enforceable against such party in accordance with its terms, except as enforceability may be limited by applicable bankruptcy, insolvency, reorganization, moratorium or other similar Laws affecting creditors’ rights generally and by general principles of equity.</w:t>
      </w:r>
    </w:p>
    <w:p>
      <w:pPr>
        <w:spacing w:after="0" w:line="184" w:lineRule="exact"/>
        <w:rPr>
          <w:rFonts w:ascii="Times New Roman" w:cs="Times New Roman" w:eastAsia="Times New Roman" w:hAnsi="Times New Roman"/>
          <w:sz w:val="18"/>
          <w:szCs w:val="18"/>
          <w:color w:val="auto"/>
        </w:rPr>
      </w:pPr>
    </w:p>
    <w:p>
      <w:pPr>
        <w:ind w:right="80" w:firstLine="990"/>
        <w:spacing w:after="0" w:line="253" w:lineRule="auto"/>
        <w:tabs>
          <w:tab w:leader="none" w:pos="11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effectiveness of this Assignment Agreement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below, (i) Agent shall register Assignee as a Lender, pursuant to the terms of the Credit Agreement, (ii) Assignee shall be a party to the Credit Agreement and, to the extent provided in this Assignment Agreement, have the rights and obligations of a Lender thereunder, (iii) Assignor shall, to the extent provided in this Assignment Agreement, relinquish its rights and be released from its obligations under the Credit Agreement and (iv) Agent or Term Loan Servicer, as applicable, shall thereafter make all payments in respect of the interest assigned hereby (including payments of principal, interest, fees and other amounts) to Assignee. Assignor and Assignee shall make all appropriate adjustments in payments for periods prior to the Effective Date by Agent or Term Loan Servicer or with respect to the making of this assignment directly between themselves.</w:t>
      </w:r>
    </w:p>
    <w:p>
      <w:pPr>
        <w:spacing w:after="0" w:line="184" w:lineRule="exact"/>
        <w:rPr>
          <w:rFonts w:ascii="Times New Roman" w:cs="Times New Roman" w:eastAsia="Times New Roman" w:hAnsi="Times New Roman"/>
          <w:sz w:val="18"/>
          <w:szCs w:val="18"/>
          <w:color w:val="auto"/>
        </w:rPr>
      </w:pPr>
    </w:p>
    <w:p>
      <w:pPr>
        <w:ind w:right="320" w:firstLine="990"/>
        <w:spacing w:after="0" w:line="263" w:lineRule="auto"/>
        <w:tabs>
          <w:tab w:leader="none" w:pos="11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Assignor and Assignee hereby agrees from time to time, upon request of the other such party hereto, to take such additional actions and to execute and deliver such additional documents and instruments as such other party may reasonably request to effect the transactions contemplated by, and to carry out the intent of, this Assignment Agreement.</w:t>
      </w:r>
    </w:p>
    <w:p>
      <w:pPr>
        <w:spacing w:after="0" w:line="175" w:lineRule="exact"/>
        <w:rPr>
          <w:rFonts w:ascii="Times New Roman" w:cs="Times New Roman" w:eastAsia="Times New Roman" w:hAnsi="Times New Roman"/>
          <w:sz w:val="18"/>
          <w:szCs w:val="18"/>
          <w:color w:val="auto"/>
        </w:rPr>
      </w:pPr>
    </w:p>
    <w:p>
      <w:pPr>
        <w:jc w:val="both"/>
        <w:ind w:right="60" w:firstLine="990"/>
        <w:spacing w:after="0" w:line="263" w:lineRule="auto"/>
        <w:tabs>
          <w:tab w:leader="none" w:pos="11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Assignment Agreement nor any term hereof may be changed, waived, discharged or terminated, except by an instrument in writing signed by the party (including, if applicable, any party required to evidence its consent to or acceptance of this Assignment Agreement) against whom enforcement of such change, waiver, discharge or termination is sought.</w:t>
      </w:r>
    </w:p>
    <w:p>
      <w:pPr>
        <w:spacing w:after="0" w:line="175" w:lineRule="exact"/>
        <w:rPr>
          <w:rFonts w:ascii="Times New Roman" w:cs="Times New Roman" w:eastAsia="Times New Roman" w:hAnsi="Times New Roman"/>
          <w:sz w:val="18"/>
          <w:szCs w:val="18"/>
          <w:color w:val="auto"/>
        </w:rPr>
      </w:pPr>
    </w:p>
    <w:p>
      <w:pPr>
        <w:ind w:firstLine="990"/>
        <w:spacing w:after="0" w:line="263" w:lineRule="auto"/>
        <w:tabs>
          <w:tab w:leader="none" w:pos="11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hereof and for purposes of the Credit Agreement, the notice address of Assignee shall be as set forth on the Schedule. Any notice or other communication herein required or permitted to be given shall be in writing and delivered in accordance with the notice provisions of the Credit Agreement.</w:t>
      </w:r>
    </w:p>
    <w:p>
      <w:pPr>
        <w:spacing w:after="0" w:line="175" w:lineRule="exact"/>
        <w:rPr>
          <w:rFonts w:ascii="Times New Roman" w:cs="Times New Roman" w:eastAsia="Times New Roman" w:hAnsi="Times New Roman"/>
          <w:sz w:val="18"/>
          <w:szCs w:val="18"/>
          <w:color w:val="auto"/>
        </w:rPr>
      </w:pPr>
    </w:p>
    <w:p>
      <w:pPr>
        <w:ind w:right="20" w:firstLine="990"/>
        <w:spacing w:after="0" w:line="263" w:lineRule="auto"/>
        <w:tabs>
          <w:tab w:leader="none" w:pos="11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provision in or obligation under this Assignment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5" w:lineRule="exact"/>
        <w:rPr>
          <w:rFonts w:ascii="Times New Roman" w:cs="Times New Roman" w:eastAsia="Times New Roman" w:hAnsi="Times New Roman"/>
          <w:sz w:val="18"/>
          <w:szCs w:val="18"/>
          <w:color w:val="auto"/>
        </w:rPr>
      </w:pPr>
    </w:p>
    <w:p>
      <w:pPr>
        <w:ind w:right="60" w:firstLine="990"/>
        <w:spacing w:after="0" w:line="258" w:lineRule="auto"/>
        <w:tabs>
          <w:tab w:leader="none" w:pos="125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ASSIGNMENT AGREEMENT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900"/>
          </w:cols>
          <w:pgMar w:left="480" w:top="268" w:right="519" w:bottom="1440" w:gutter="0" w:footer="0" w:header="0"/>
        </w:sectPr>
      </w:pPr>
    </w:p>
    <w:bookmarkStart w:id="577" w:name="page578"/>
    <w:bookmarkEnd w:id="57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 This Assignment Agreement shall be binding upon, and shall inure to the benefit of, the parties hereto and their respective successors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assigns.</w:t>
      </w:r>
    </w:p>
    <w:p>
      <w:pPr>
        <w:spacing w:after="0" w:line="202" w:lineRule="exact"/>
        <w:rPr>
          <w:sz w:val="20"/>
          <w:szCs w:val="20"/>
          <w:color w:val="auto"/>
        </w:rPr>
      </w:pPr>
    </w:p>
    <w:p>
      <w:pPr>
        <w:ind w:right="100" w:firstLine="990"/>
        <w:spacing w:after="0" w:line="278" w:lineRule="auto"/>
        <w:tabs>
          <w:tab w:leader="none" w:pos="125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Assignment Agreement may be signed in any number of counterparts, each of which shall be an original, with the same effect as if the signatures hereto were upon the same agreement.</w:t>
      </w:r>
    </w:p>
    <w:p>
      <w:pPr>
        <w:spacing w:after="0" w:line="162"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Assignment Agreement shall become effective as of the Effective Date upon the satisfaction of each of the following conditions:</w:t>
      </w:r>
    </w:p>
    <w:p>
      <w:pPr>
        <w:spacing w:after="0" w:line="37" w:lineRule="exact"/>
        <w:rPr>
          <w:rFonts w:ascii="Times New Roman" w:cs="Times New Roman" w:eastAsia="Times New Roman" w:hAnsi="Times New Roman"/>
          <w:sz w:val="17"/>
          <w:szCs w:val="17"/>
          <w:color w:val="auto"/>
        </w:rPr>
      </w:pPr>
    </w:p>
    <w:p>
      <w:pPr>
        <w:ind w:firstLine="7"/>
        <w:spacing w:after="0" w:line="267" w:lineRule="auto"/>
        <w:tabs>
          <w:tab w:leader="none" w:pos="213"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of a counterpart hereof by each of Assignor and Assignee, (ii) the execution of a counterpart hereof by Agent as evidence of its consent hereto, (iii) the receipt by Agent of the administrative fee referred to in </w:t>
      </w:r>
      <w:r>
        <w:rPr>
          <w:rFonts w:ascii="Times New Roman" w:cs="Times New Roman" w:eastAsia="Times New Roman" w:hAnsi="Times New Roman"/>
          <w:sz w:val="17"/>
          <w:szCs w:val="17"/>
          <w:u w:val="single" w:color="auto"/>
          <w:color w:val="auto"/>
        </w:rPr>
        <w:t>Section 11.17(a)</w:t>
      </w:r>
      <w:r>
        <w:rPr>
          <w:rFonts w:ascii="Times New Roman" w:cs="Times New Roman" w:eastAsia="Times New Roman" w:hAnsi="Times New Roman"/>
          <w:sz w:val="17"/>
          <w:szCs w:val="17"/>
          <w:color w:val="auto"/>
        </w:rPr>
        <w:t xml:space="preserve"> of the Credit Agreement, (iv) in the event Assignee is a Foreign Lender, the receipt by Agent of a U.S. Tax Compliance Certificate and United States Internal Revenue Service Forms W-8ECI, W-8BEN, W-8BEN-E or W-8IMY (as applicable), or such other forms, certificates or documents prescribed by the United States Internal Revenue Service, properly completed and executed by Assignee, certifying as to Assignee’s entitlement to exemption from withholding or deduction of Taxes in accordance with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2.8(c)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of the Credit Agreement, and (v) the receipt by Agent of originals or telecopies of the counterparts described above.</w:t>
      </w:r>
    </w:p>
    <w:p>
      <w:pPr>
        <w:spacing w:after="0" w:line="174" w:lineRule="exact"/>
        <w:rPr>
          <w:sz w:val="20"/>
          <w:szCs w:val="20"/>
          <w:color w:val="auto"/>
        </w:rPr>
      </w:pPr>
    </w:p>
    <w:p>
      <w:pPr>
        <w:ind w:right="3140" w:firstLine="3189"/>
        <w:spacing w:after="0" w:line="448" w:lineRule="auto"/>
        <w:rPr>
          <w:sz w:val="20"/>
          <w:szCs w:val="20"/>
          <w:color w:val="auto"/>
        </w:rPr>
      </w:pPr>
      <w:r>
        <w:rPr>
          <w:rFonts w:ascii="Times New Roman" w:cs="Times New Roman" w:eastAsia="Times New Roman" w:hAnsi="Times New Roman"/>
          <w:sz w:val="18"/>
          <w:szCs w:val="18"/>
          <w:color w:val="auto"/>
        </w:rPr>
        <w:t>[REMAINDER OF PAGE INTENTIONALLY LEFT BLANK] MidCap / Omada Health / Credit, Security and Guaranty Agreement</w:t>
      </w:r>
    </w:p>
    <w:p>
      <w:pPr>
        <w:sectPr>
          <w:pgSz w:w="11900" w:h="16838" w:orient="portrait"/>
          <w:cols w:equalWidth="0" w:num="1">
            <w:col w:w="10880"/>
          </w:cols>
          <w:pgMar w:left="480" w:top="269" w:right="539" w:bottom="1440" w:gutter="0" w:footer="0" w:header="0"/>
        </w:sectPr>
      </w:pPr>
    </w:p>
    <w:bookmarkStart w:id="578" w:name="page579"/>
    <w:bookmarkEnd w:id="578"/>
    <w:p>
      <w:pPr>
        <w:jc w:val="right"/>
        <w:ind w:right="2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parties hereto have caused this Assignment Agreement to be executed and delivered as of the date first written above.</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ASSIGNOR:</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3810</wp:posOffset>
            </wp:positionV>
            <wp:extent cx="276860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9" w:lineRule="exact"/>
        <w:rPr>
          <w:sz w:val="20"/>
          <w:szCs w:val="20"/>
          <w:color w:val="auto"/>
        </w:rPr>
      </w:pPr>
    </w:p>
    <w:p>
      <w:pPr>
        <w:ind w:left="656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15875</wp:posOffset>
            </wp:positionV>
            <wp:extent cx="246253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15875</wp:posOffset>
            </wp:positionV>
            <wp:extent cx="246253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ASSIGNEE:</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3810</wp:posOffset>
            </wp:positionV>
            <wp:extent cx="276860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15875</wp:posOffset>
            </wp:positionV>
            <wp:extent cx="246253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15875</wp:posOffset>
            </wp:positionV>
            <wp:extent cx="246253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8" w:right="1440" w:bottom="1440" w:gutter="0" w:footer="0" w:header="0"/>
        </w:sectPr>
      </w:pPr>
    </w:p>
    <w:bookmarkStart w:id="579" w:name="page580"/>
    <w:bookmarkEnd w:id="579"/>
    <w:p>
      <w:pPr>
        <w:ind w:left="6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Consented to:</w:t>
      </w:r>
    </w:p>
    <w:p>
      <w:pPr>
        <w:spacing w:after="0" w:line="21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b w:val="1"/>
          <w:bCs w:val="1"/>
          <w:color w:val="auto"/>
        </w:rPr>
        <w:t xml:space="preserve">[MIDCAP FUNDING IV TRUST], </w:t>
      </w:r>
      <w:r>
        <w:rPr>
          <w:rFonts w:ascii="Times New Roman" w:cs="Times New Roman" w:eastAsia="Times New Roman" w:hAnsi="Times New Roman"/>
          <w:sz w:val="17"/>
          <w:szCs w:val="17"/>
          <w:color w:val="auto"/>
        </w:rPr>
        <w:t>as Agent</w:t>
      </w:r>
    </w:p>
    <w:p>
      <w:pPr>
        <w:spacing w:after="0" w:line="2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Apollo Capital Management, L.P.,</w:t>
      </w:r>
    </w:p>
    <w:p>
      <w:pPr>
        <w:spacing w:after="0" w:line="2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Apollo Capital Management GP,</w:t>
      </w:r>
    </w:p>
    <w:p>
      <w:pPr>
        <w:spacing w:after="0" w:line="2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Name:______________________________</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 ______________________________</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8" w:right="1440" w:bottom="1440" w:gutter="0" w:footer="0" w:header="0"/>
        </w:sectPr>
      </w:pPr>
    </w:p>
    <w:bookmarkStart w:id="580" w:name="page581"/>
    <w:bookmarkEnd w:id="580"/>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H to Credit Agreement (Form of Pledge Agreement)</w:t>
      </w:r>
    </w:p>
    <w:p>
      <w:pPr>
        <w:spacing w:after="0" w:line="2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u w:val="single" w:color="auto"/>
          <w:color w:val="auto"/>
        </w:rPr>
        <w:t>[see attached]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81" w:name="page582"/>
    <w:bookmarkEnd w:id="581"/>
    <w:p>
      <w:pPr>
        <w:ind w:left="4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2.1 - Amortization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82" w:name="page583"/>
    <w:bookmarkEnd w:id="582"/>
    <w:p>
      <w:pPr>
        <w:ind w:right="1079" w:firstLine="2027"/>
        <w:spacing w:after="0" w:line="4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Schedule 3.1 – Existence, Organizational ID Numbers, Foreign Qualification, Prior Names </w:t>
      </w: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83" w:name="page584"/>
    <w:bookmarkEnd w:id="583"/>
    <w:p>
      <w:pPr>
        <w:ind w:left="4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3.4 – Capitalization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84" w:name="page585"/>
    <w:bookmarkEnd w:id="584"/>
    <w:p>
      <w:pPr>
        <w:ind w:left="45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3.6 – Litigation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85" w:name="page586"/>
    <w:bookmarkEnd w:id="585"/>
    <w:p>
      <w:pPr>
        <w:ind w:left="4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3.17 – Material Contracts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3" w:right="1440" w:bottom="1440" w:gutter="0" w:footer="0" w:header="0"/>
        </w:sectPr>
      </w:pPr>
    </w:p>
    <w:bookmarkStart w:id="586" w:name="page587"/>
    <w:bookmarkEnd w:id="586"/>
    <w:p>
      <w:pPr>
        <w:ind w:left="3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3.18 – Environmental Compliance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3" w:right="1440" w:bottom="1440" w:gutter="0" w:footer="0" w:header="0"/>
        </w:sectPr>
      </w:pPr>
    </w:p>
    <w:bookmarkStart w:id="587" w:name="page588"/>
    <w:bookmarkEnd w:id="587"/>
    <w:p>
      <w:pPr>
        <w:ind w:left="4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3.19 – Intellectual Property</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SCHEDULE</w:t>
      </w:r>
    </w:p>
    <w:p>
      <w:pPr>
        <w:spacing w:after="0" w:line="2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u w:val="single" w:color="auto"/>
          <w:color w:val="auto"/>
        </w:rPr>
        <w:t>LICENSE AND SIMILAR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88" w:name="page589"/>
    <w:bookmarkEnd w:id="588"/>
    <w:p>
      <w:pPr>
        <w:ind w:right="1539" w:firstLine="2480"/>
        <w:spacing w:after="0" w:line="4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Schedule 4.9 – Litigation, Governmental Proceedings and Other Notice Events </w:t>
      </w: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89" w:name="page590"/>
    <w:bookmarkEnd w:id="589"/>
    <w:p>
      <w:pPr>
        <w:ind w:left="37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5.1 – Debt; Contingent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3" w:right="1440" w:bottom="1440" w:gutter="0" w:footer="0" w:header="0"/>
        </w:sectPr>
      </w:pPr>
    </w:p>
    <w:bookmarkStart w:id="590" w:name="page591"/>
    <w:bookmarkEnd w:id="590"/>
    <w:p>
      <w:pPr>
        <w:ind w:left="47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5.2 – Liens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3" w:right="1440" w:bottom="1440" w:gutter="0" w:footer="0" w:header="0"/>
        </w:sectPr>
      </w:pPr>
    </w:p>
    <w:bookmarkStart w:id="591" w:name="page592"/>
    <w:bookmarkEnd w:id="591"/>
    <w:p>
      <w:pPr>
        <w:ind w:left="40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5.7 – Permitted Investments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3" w:right="1440" w:bottom="1440" w:gutter="0" w:footer="0" w:header="0"/>
        </w:sectPr>
      </w:pPr>
    </w:p>
    <w:bookmarkStart w:id="592" w:name="page593"/>
    <w:bookmarkEnd w:id="592"/>
    <w:p>
      <w:pPr>
        <w:ind w:left="40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5.8 – Affiliate Transactions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93" w:name="page594"/>
    <w:bookmarkEnd w:id="593"/>
    <w:p>
      <w:pPr>
        <w:ind w:left="4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5.11 –Business Description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94" w:name="page595"/>
    <w:bookmarkEnd w:id="594"/>
    <w:p>
      <w:pPr>
        <w:ind w:right="2319" w:firstLine="3253"/>
        <w:spacing w:after="0" w:line="4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Schedule 5.14 – Deposit Accounts and Securities Accounts </w:t>
      </w: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95" w:name="page596"/>
    <w:bookmarkEnd w:id="595"/>
    <w:p>
      <w:pPr>
        <w:ind w:left="40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6.1– Minimum Net Revenue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96" w:name="page597"/>
    <w:bookmarkEnd w:id="596"/>
    <w:p>
      <w:pPr>
        <w:ind w:left="38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7.4 – Post-Closing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97" w:name="page598"/>
    <w:bookmarkEnd w:id="597"/>
    <w:p>
      <w:pPr>
        <w:ind w:left="45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9.1 – Collateral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98" w:name="page599"/>
    <w:bookmarkEnd w:id="598"/>
    <w:p>
      <w:pPr>
        <w:ind w:left="3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9.2(b) – Collateral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9979"/>
          </w:cols>
          <w:pgMar w:left="480" w:top="264" w:right="1440" w:bottom="1440" w:gutter="0" w:footer="0" w:header="0"/>
        </w:sectPr>
      </w:pPr>
    </w:p>
    <w:bookmarkStart w:id="599" w:name="page600"/>
    <w:bookmarkEnd w:id="599"/>
    <w:p>
      <w:pPr>
        <w:ind w:firstLine="540"/>
        <w:spacing w:after="0" w:line="4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Schedule 9.2(d) – Chattel Paper, Letter of Credit Rights, Commercial Tort Claims, Instruments, Documents, Investment Property </w:t>
      </w:r>
      <w:r>
        <w:rPr>
          <w:rFonts w:ascii="Times New Roman" w:cs="Times New Roman" w:eastAsia="Times New Roman" w:hAnsi="Times New Roman"/>
          <w:sz w:val="18"/>
          <w:szCs w:val="18"/>
          <w:color w:val="auto"/>
        </w:rPr>
        <w:t>MidCap / Omada Health / Credit, Security and Guaranty Agreement</w:t>
      </w:r>
    </w:p>
    <w:p>
      <w:pPr>
        <w:sectPr>
          <w:pgSz w:w="11900" w:h="16838" w:orient="portrait"/>
          <w:cols w:equalWidth="0" w:num="1">
            <w:col w:w="10380"/>
          </w:cols>
          <w:pgMar w:left="480" w:top="264" w:right="1039" w:bottom="1440" w:gutter="0" w:footer="0" w:header="0"/>
        </w:sectPr>
      </w:pPr>
    </w:p>
    <w:bookmarkStart w:id="600" w:name="page601"/>
    <w:bookmarkEnd w:id="600"/>
    <w:p>
      <w:pPr>
        <w:jc w:val="right"/>
        <w:spacing w:after="0"/>
        <w:rPr>
          <w:sz w:val="20"/>
          <w:szCs w:val="20"/>
          <w:color w:val="auto"/>
        </w:rPr>
      </w:pPr>
      <w:r>
        <w:rPr>
          <w:rFonts w:ascii="Times New Roman" w:cs="Times New Roman" w:eastAsia="Times New Roman" w:hAnsi="Times New Roman"/>
          <w:sz w:val="18"/>
          <w:szCs w:val="18"/>
          <w:b w:val="1"/>
          <w:bCs w:val="1"/>
          <w:color w:val="auto"/>
        </w:rPr>
        <w:t>Exhibit 10.2(a)</w:t>
      </w:r>
    </w:p>
    <w:p>
      <w:pPr>
        <w:spacing w:after="0" w:line="22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500 SANSOME LEASE</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500 SANSOME STREET INVESTORS, LLC,</w:t>
      </w:r>
    </w:p>
    <w:p>
      <w:pPr>
        <w:spacing w:after="0" w:line="23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AS LANDLORD,</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OMADA HEALTH, INC.,</w:t>
      </w:r>
    </w:p>
    <w:p>
      <w:pPr>
        <w:spacing w:after="0" w:line="2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AS TENANT</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April 30, 2014</w:t>
      </w:r>
    </w:p>
    <w:p>
      <w:pPr>
        <w:sectPr>
          <w:pgSz w:w="11900" w:h="16838" w:orient="portrait"/>
          <w:cols w:equalWidth="0" w:num="1">
            <w:col w:w="9960"/>
          </w:cols>
          <w:pgMar w:left="1440" w:top="117" w:right="499" w:bottom="1440" w:gutter="0" w:footer="0" w:header="0"/>
        </w:sectPr>
      </w:pPr>
    </w:p>
    <w:bookmarkStart w:id="601" w:name="page602"/>
    <w:bookmarkEnd w:id="601"/>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500 SANSOME LEASE</w:t>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BASIC LEASE INFORMATION</w:t>
      </w:r>
    </w:p>
    <w:p>
      <w:pPr>
        <w:spacing w:after="0" w:line="2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Date: April 30, 2014</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Landlord: 500 Sansome Street Investors, LLC, California limited liability company</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Tenant: Omada Health, Inc., a Delaware corporation</w:t>
      </w:r>
    </w:p>
    <w:p>
      <w:pPr>
        <w:spacing w:after="0" w:line="1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Project: The land, together with the Building and other improvements constructed or being constructed thereon</w:t>
      </w:r>
    </w:p>
    <w:p>
      <w:pPr>
        <w:spacing w:after="0" w:line="114" w:lineRule="exact"/>
        <w:rPr>
          <w:sz w:val="20"/>
          <w:szCs w:val="20"/>
          <w:color w:val="auto"/>
        </w:rPr>
      </w:pPr>
    </w:p>
    <w:p>
      <w:pPr>
        <w:ind w:left="2200" w:right="140" w:hanging="759"/>
        <w:spacing w:after="0" w:line="278" w:lineRule="auto"/>
        <w:tabs>
          <w:tab w:leader="none" w:pos="2180" w:val="left"/>
        </w:tabs>
        <w:rPr>
          <w:sz w:val="20"/>
          <w:szCs w:val="20"/>
          <w:color w:val="auto"/>
        </w:rPr>
      </w:pPr>
      <w:r>
        <w:rPr>
          <w:rFonts w:ascii="Times New Roman" w:cs="Times New Roman" w:eastAsia="Times New Roman" w:hAnsi="Times New Roman"/>
          <w:sz w:val="18"/>
          <w:szCs w:val="18"/>
          <w:color w:val="auto"/>
        </w:rPr>
        <w:t>Building:</w:t>
        <w:tab/>
        <w:t>The office building on the Project known as 500 Sansome Street and having an address of 500 Sansome Street, San Francisco, California</w:t>
      </w:r>
    </w:p>
    <w:p>
      <w:pPr>
        <w:spacing w:after="0" w:line="55" w:lineRule="exact"/>
        <w:rPr>
          <w:sz w:val="20"/>
          <w:szCs w:val="20"/>
          <w:color w:val="auto"/>
        </w:rPr>
      </w:pPr>
    </w:p>
    <w:p>
      <w:pPr>
        <w:ind w:left="2200" w:hanging="779"/>
        <w:spacing w:after="0" w:line="278" w:lineRule="auto"/>
        <w:tabs>
          <w:tab w:leader="none" w:pos="2180" w:val="left"/>
        </w:tabs>
        <w:rPr>
          <w:sz w:val="20"/>
          <w:szCs w:val="20"/>
          <w:color w:val="auto"/>
        </w:rPr>
      </w:pPr>
      <w:r>
        <w:rPr>
          <w:rFonts w:ascii="Times New Roman" w:cs="Times New Roman" w:eastAsia="Times New Roman" w:hAnsi="Times New Roman"/>
          <w:sz w:val="18"/>
          <w:szCs w:val="18"/>
          <w:color w:val="auto"/>
        </w:rPr>
        <w:t>Premises:</w:t>
        <w:tab/>
        <w:t xml:space="preserve">Approximately Thirteen Thousand Six Hundred Six (13,606) square feet of Rentable Area known as Suite 200 on the Second (2nd) Floor of the Building, as more particularly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55" w:lineRule="exact"/>
        <w:rPr>
          <w:sz w:val="20"/>
          <w:szCs w:val="20"/>
          <w:color w:val="auto"/>
        </w:rPr>
      </w:pPr>
    </w:p>
    <w:p>
      <w:pPr>
        <w:ind w:left="2200" w:right="140" w:hanging="499"/>
        <w:spacing w:after="0" w:line="278" w:lineRule="auto"/>
        <w:tabs>
          <w:tab w:leader="none" w:pos="2180" w:val="left"/>
        </w:tabs>
        <w:rPr>
          <w:sz w:val="20"/>
          <w:szCs w:val="20"/>
          <w:color w:val="auto"/>
        </w:rPr>
      </w:pPr>
      <w:r>
        <w:rPr>
          <w:rFonts w:ascii="Times New Roman" w:cs="Times New Roman" w:eastAsia="Times New Roman" w:hAnsi="Times New Roman"/>
          <w:sz w:val="18"/>
          <w:szCs w:val="18"/>
          <w:color w:val="auto"/>
        </w:rPr>
        <w:t>Term:</w:t>
        <w:tab/>
        <w:t>A period of Forty Eight (48) Lease Months, commencing as of the Commencement Date and ending as of the Term Expiration Date, unless sooner terminated in accordance with the terms of this Lease</w:t>
      </w:r>
    </w:p>
    <w:p>
      <w:pPr>
        <w:spacing w:after="0" w:line="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Basic Rent: See Section 4(a)</w:t>
      </w:r>
    </w:p>
    <w:p>
      <w:pPr>
        <w:spacing w:after="0" w:line="114" w:lineRule="exact"/>
        <w:rPr>
          <w:sz w:val="20"/>
          <w:szCs w:val="20"/>
          <w:color w:val="auto"/>
        </w:rPr>
      </w:pPr>
    </w:p>
    <w:p>
      <w:pPr>
        <w:ind w:left="2200" w:right="240" w:hanging="1691"/>
        <w:spacing w:after="0" w:line="278" w:lineRule="auto"/>
        <w:rPr>
          <w:sz w:val="20"/>
          <w:szCs w:val="20"/>
          <w:color w:val="auto"/>
        </w:rPr>
      </w:pPr>
      <w:r>
        <w:rPr>
          <w:rFonts w:ascii="Times New Roman" w:cs="Times New Roman" w:eastAsia="Times New Roman" w:hAnsi="Times New Roman"/>
          <w:sz w:val="18"/>
          <w:szCs w:val="18"/>
          <w:color w:val="auto"/>
        </w:rPr>
        <w:t xml:space="preserve">Commencement Date: The date the Premises are Substantially Complete (as defined in Paragraph 7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may be adjusted pursuant to Paragraph 7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Term Expiration Date: The final day of the Forty Eighth (48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Lease Month</w:t>
      </w:r>
    </w:p>
    <w:p>
      <w:pPr>
        <w:spacing w:after="0" w:line="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Security Deposit: Cash in the sum of Ninety Nine Thousand Seven Hundred Seventy Seven and 33/100ths Dollars ($99,777.33)</w:t>
      </w:r>
    </w:p>
    <w:p>
      <w:pPr>
        <w:spacing w:after="0" w:line="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Base Year: The calendar year of 2014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Proportionate Share: The ratio which the Rentable Area of the Premises bears to the Rentable Area of the Project.</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Tenant Improvements: See Section 7 and </w:t>
      </w:r>
      <w:r>
        <w:rPr>
          <w:rFonts w:ascii="Times New Roman" w:cs="Times New Roman" w:eastAsia="Times New Roman" w:hAnsi="Times New Roman"/>
          <w:sz w:val="18"/>
          <w:szCs w:val="18"/>
          <w:u w:val="single" w:color="auto"/>
          <w:color w:val="auto"/>
        </w:rPr>
        <w:t>Exhibits B and C</w:t>
      </w:r>
    </w:p>
    <w:p>
      <w:pPr>
        <w:spacing w:after="0" w:line="1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Tenant’s Broker: Comish &amp; Carey Commercial Newmark Knight Frank</w:t>
      </w:r>
    </w:p>
    <w:p>
      <w:pPr>
        <w:sectPr>
          <w:pgSz w:w="11900" w:h="16838" w:orient="portrait"/>
          <w:cols w:equalWidth="0" w:num="1">
            <w:col w:w="10580"/>
          </w:cols>
          <w:pgMar w:left="500" w:top="264" w:right="819" w:bottom="1440" w:gutter="0" w:footer="0" w:header="0"/>
        </w:sectPr>
      </w:pPr>
    </w:p>
    <w:bookmarkStart w:id="602" w:name="page603"/>
    <w:bookmarkEnd w:id="6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500 SANSOME LEASE</w:t>
      </w:r>
    </w:p>
    <w:p>
      <w:pPr>
        <w:spacing w:after="0" w:line="221"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THIS 500 SANSOME LEASE (this “</w:t>
      </w:r>
      <w:r>
        <w:rPr>
          <w:rFonts w:ascii="Times New Roman" w:cs="Times New Roman" w:eastAsia="Times New Roman" w:hAnsi="Times New Roman"/>
          <w:sz w:val="18"/>
          <w:szCs w:val="18"/>
          <w:b w:val="1"/>
          <w:bCs w:val="1"/>
          <w:i w:val="1"/>
          <w:iCs w:val="1"/>
          <w:color w:val="auto"/>
        </w:rPr>
        <w:t>Lease</w:t>
      </w:r>
      <w:r>
        <w:rPr>
          <w:rFonts w:ascii="Times New Roman" w:cs="Times New Roman" w:eastAsia="Times New Roman" w:hAnsi="Times New Roman"/>
          <w:sz w:val="18"/>
          <w:szCs w:val="18"/>
          <w:color w:val="auto"/>
        </w:rPr>
        <w:t>”) is entered into by and between Landlord and Tenant, as specified in the Basic Lease Information, which is incorporated herein by reference, as of the date shown in the Basic Lease Information.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PREMISES; RENTABLE AREA.</w:t>
      </w:r>
    </w:p>
    <w:p>
      <w:pPr>
        <w:spacing w:after="0" w:line="221" w:lineRule="exact"/>
        <w:rPr>
          <w:sz w:val="20"/>
          <w:szCs w:val="20"/>
          <w:color w:val="auto"/>
        </w:rPr>
      </w:pPr>
    </w:p>
    <w:p>
      <w:pPr>
        <w:ind w:right="120" w:firstLine="990"/>
        <w:spacing w:after="0" w:line="258" w:lineRule="auto"/>
        <w:tabs>
          <w:tab w:leader="none" w:pos="122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Landlord hereby leases to Tenant and Tenant hereby leases from Landlord the Premises described in the Basic Lease Information (“</w:t>
      </w:r>
      <w:r>
        <w:rPr>
          <w:rFonts w:ascii="Times New Roman" w:cs="Times New Roman" w:eastAsia="Times New Roman" w:hAnsi="Times New Roman"/>
          <w:sz w:val="18"/>
          <w:szCs w:val="18"/>
          <w:b w:val="1"/>
          <w:bCs w:val="1"/>
          <w:i w:val="1"/>
          <w:iCs w:val="1"/>
          <w:color w:val="auto"/>
        </w:rPr>
        <w:t>Premises</w:t>
      </w:r>
      <w:r>
        <w:rPr>
          <w:rFonts w:ascii="Times New Roman" w:cs="Times New Roman" w:eastAsia="Times New Roman" w:hAnsi="Times New Roman"/>
          <w:sz w:val="18"/>
          <w:szCs w:val="18"/>
          <w:color w:val="auto"/>
        </w:rPr>
        <w:t>”) upon and subject to the terms, covenants and conditions herein set forth. Tenant covenants, as a material part of the consideration for this Lease, to keep and perform each and all of said terms, covenants and conditions for which Tenant is responsible and this Lease is entered into upon the condition of such performance.</w:t>
      </w:r>
    </w:p>
    <w:p>
      <w:pPr>
        <w:spacing w:after="0" w:line="7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Rentable Area of Premises, Building and Project.</w:t>
      </w:r>
    </w:p>
    <w:p>
      <w:pPr>
        <w:spacing w:after="0" w:line="114" w:lineRule="exact"/>
        <w:rPr>
          <w:sz w:val="20"/>
          <w:szCs w:val="20"/>
          <w:color w:val="auto"/>
        </w:rPr>
      </w:pPr>
    </w:p>
    <w:p>
      <w:pPr>
        <w:ind w:left="1200" w:hanging="210"/>
        <w:spacing w:after="0"/>
        <w:tabs>
          <w:tab w:leader="none" w:pos="12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Lease:</w:t>
      </w:r>
    </w:p>
    <w:p>
      <w:pPr>
        <w:spacing w:after="0" w:line="109" w:lineRule="exact"/>
        <w:rPr>
          <w:rFonts w:ascii="Times New Roman" w:cs="Times New Roman" w:eastAsia="Times New Roman" w:hAnsi="Times New Roman"/>
          <w:sz w:val="18"/>
          <w:szCs w:val="18"/>
          <w:color w:val="auto"/>
        </w:rPr>
      </w:pPr>
    </w:p>
    <w:p>
      <w:pPr>
        <w:ind w:left="440" w:firstLine="947"/>
        <w:spacing w:after="0" w:line="282" w:lineRule="auto"/>
        <w:tabs>
          <w:tab w:leader="none" w:pos="167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Rentable Area</w:t>
      </w:r>
      <w:r>
        <w:rPr>
          <w:rFonts w:ascii="Times New Roman" w:cs="Times New Roman" w:eastAsia="Times New Roman" w:hAnsi="Times New Roman"/>
          <w:sz w:val="18"/>
          <w:szCs w:val="18"/>
          <w:color w:val="auto"/>
        </w:rPr>
        <w:t>” means the aggregate “rentable area” of the Premises, Building and Project, as applicable, as calculated pursuant to the Standard Method for Measuring Floor Area in Office Buildings [ANSI 265.1 - 1996] (“</w:t>
      </w:r>
      <w:r>
        <w:rPr>
          <w:rFonts w:ascii="Times New Roman" w:cs="Times New Roman" w:eastAsia="Times New Roman" w:hAnsi="Times New Roman"/>
          <w:sz w:val="18"/>
          <w:szCs w:val="18"/>
          <w:b w:val="1"/>
          <w:bCs w:val="1"/>
          <w:i w:val="1"/>
          <w:iCs w:val="1"/>
          <w:color w:val="auto"/>
        </w:rPr>
        <w:t>BOMA Standard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48" w:lineRule="exact"/>
        <w:rPr>
          <w:rFonts w:ascii="Times New Roman" w:cs="Times New Roman" w:eastAsia="Times New Roman" w:hAnsi="Times New Roman"/>
          <w:sz w:val="18"/>
          <w:szCs w:val="18"/>
          <w:color w:val="auto"/>
        </w:rPr>
      </w:pPr>
    </w:p>
    <w:p>
      <w:pPr>
        <w:ind w:left="440" w:right="40" w:firstLine="947"/>
        <w:spacing w:after="0" w:line="282" w:lineRule="auto"/>
        <w:tabs>
          <w:tab w:leader="none" w:pos="166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Building</w:t>
      </w:r>
      <w:r>
        <w:rPr>
          <w:rFonts w:ascii="Times New Roman" w:cs="Times New Roman" w:eastAsia="Times New Roman" w:hAnsi="Times New Roman"/>
          <w:sz w:val="18"/>
          <w:szCs w:val="18"/>
          <w:color w:val="auto"/>
        </w:rPr>
        <w:t>” means the office building on the Project known as 500 Sansome Street and having an address of 500 Sansome Street, San Francisco, California</w:t>
      </w:r>
    </w:p>
    <w:p>
      <w:pPr>
        <w:spacing w:after="0" w:line="48" w:lineRule="exact"/>
        <w:rPr>
          <w:rFonts w:ascii="Times New Roman" w:cs="Times New Roman" w:eastAsia="Times New Roman" w:hAnsi="Times New Roman"/>
          <w:sz w:val="18"/>
          <w:szCs w:val="18"/>
          <w:color w:val="auto"/>
        </w:rPr>
      </w:pPr>
    </w:p>
    <w:p>
      <w:pPr>
        <w:ind w:left="1660" w:hanging="273"/>
        <w:spacing w:after="0"/>
        <w:tabs>
          <w:tab w:leader="none" w:pos="166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w:t>
      </w:r>
      <w:r>
        <w:rPr>
          <w:rFonts w:ascii="Times New Roman" w:cs="Times New Roman" w:eastAsia="Times New Roman" w:hAnsi="Times New Roman"/>
          <w:sz w:val="18"/>
          <w:szCs w:val="18"/>
          <w:color w:val="auto"/>
        </w:rPr>
        <w:t>” means the land, together with the Building and other improvements constructed or being constructed thereon</w:t>
      </w:r>
    </w:p>
    <w:p>
      <w:pPr>
        <w:spacing w:after="0" w:line="117" w:lineRule="exact"/>
        <w:rPr>
          <w:rFonts w:ascii="Times New Roman" w:cs="Times New Roman" w:eastAsia="Times New Roman" w:hAnsi="Times New Roman"/>
          <w:sz w:val="18"/>
          <w:szCs w:val="18"/>
          <w:color w:val="auto"/>
        </w:rPr>
      </w:pPr>
    </w:p>
    <w:p>
      <w:pPr>
        <w:ind w:right="120" w:firstLine="990"/>
        <w:spacing w:after="0" w:line="263" w:lineRule="auto"/>
        <w:tabs>
          <w:tab w:leader="none" w:pos="124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Rentable Area of the Premises is hereby stipulated by Landlord and Tenant for all purposes under this Lease to be Thirteen Thousand Six Hundred Six (13,606) square feet of Rentable Area. The Rentable Area of the Project is hereby stipulated by Landlord and Tenant for all purposes under this Lease to be One Hundred Fifty-Four Thousand Two Hundred Twenty-Seven (154,227) square feet of Rentable Area.</w:t>
      </w:r>
    </w:p>
    <w:p>
      <w:pPr>
        <w:spacing w:after="0" w:line="175" w:lineRule="exact"/>
        <w:rPr>
          <w:sz w:val="20"/>
          <w:szCs w:val="20"/>
          <w:color w:val="auto"/>
        </w:rPr>
      </w:pPr>
    </w:p>
    <w:p>
      <w:pPr>
        <w:ind w:left="1240" w:hanging="250"/>
        <w:spacing w:after="0"/>
        <w:tabs>
          <w:tab w:leader="none" w:pos="12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Temporary Space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990"/>
        <w:spacing w:after="0" w:line="252" w:lineRule="auto"/>
        <w:tabs>
          <w:tab w:leader="none" w:pos="119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avoid delay in providing space which Tenant can use before the Premises are available for use by Tenant, Landlord shall make available to Tenant the space (the “</w:t>
      </w:r>
      <w:r>
        <w:rPr>
          <w:rFonts w:ascii="Times New Roman" w:cs="Times New Roman" w:eastAsia="Times New Roman" w:hAnsi="Times New Roman"/>
          <w:sz w:val="18"/>
          <w:szCs w:val="18"/>
          <w:b w:val="1"/>
          <w:bCs w:val="1"/>
          <w:i w:val="1"/>
          <w:iCs w:val="1"/>
          <w:color w:val="auto"/>
        </w:rPr>
        <w:t>Temporary Space</w:t>
      </w:r>
      <w:r>
        <w:rPr>
          <w:rFonts w:ascii="Times New Roman" w:cs="Times New Roman" w:eastAsia="Times New Roman" w:hAnsi="Times New Roman"/>
          <w:sz w:val="18"/>
          <w:szCs w:val="18"/>
          <w:color w:val="auto"/>
        </w:rPr>
        <w:t>”) located on the third (3rd) floor of the Building known as Suite 300 consisting of 5,359 square feet of rentable feet. Commencing on May 3, 2014, and expiring on the day immediately prior to the Commencement Date, Tenant shall have the right to use and occupy the Temporary Space in its “as is” condition. Landlord’s entire obligation with respect to the condition of the Temporary Space, its suitability for Tenant’s uses and the improvement requirements with respect thereto shall be to deliver the Temporary Space in that condition. Landlord shall have no other obligation of any kind or character, express or implied, with respect to the design or condition of the Temporary Space or the suitability thereof for Tenant’s purposes, and Tenant acknowledges that it has neither received nor relied upon any representation or warranty made by or on behalf of Landlord with respect to such matters.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480" w:top="265" w:right="519" w:bottom="1440" w:gutter="0" w:footer="0" w:header="0"/>
        </w:sectPr>
      </w:pPr>
    </w:p>
    <w:bookmarkStart w:id="603" w:name="page604"/>
    <w:bookmarkEnd w:id="603"/>
    <w:p>
      <w:pPr>
        <w:jc w:val="both"/>
        <w:ind w:firstLine="990"/>
        <w:spacing w:after="0" w:line="263" w:lineRule="auto"/>
        <w:tabs>
          <w:tab w:leader="none" w:pos="1245"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shall have the same obligations with respect to the Temporary Space that Tenant has (or will have) with respect to the Premises, and Tenant shall be obligated to pay Basic Rent with respect to the Temporary Space in the amount of Sixteen Thousand Nine Hundred Seventy and 17/l 00 Dollars ($16,970.17), prorated for any partial months.</w:t>
      </w:r>
    </w:p>
    <w:p>
      <w:pPr>
        <w:spacing w:after="0" w:line="175" w:lineRule="exact"/>
        <w:rPr>
          <w:rFonts w:ascii="Times New Roman" w:cs="Times New Roman" w:eastAsia="Times New Roman" w:hAnsi="Times New Roman"/>
          <w:sz w:val="18"/>
          <w:szCs w:val="18"/>
          <w:color w:val="auto"/>
        </w:rPr>
      </w:pPr>
    </w:p>
    <w:p>
      <w:pPr>
        <w:ind w:firstLine="990"/>
        <w:spacing w:after="0" w:line="285" w:lineRule="auto"/>
        <w:tabs>
          <w:tab w:leader="none" w:pos="1294"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(5) days following the Commencement Date (as defined below), Tenant shall vacate the Temporary Space and surrender possession thereof to Landlord, free of the claims of third parties claiming under Tenant, and in the same condition as it was delivered to Tenant, with all of Tenant’s personal property removed therefrom, with Tenant being solely responsible for the repair of any damage resulting from any such removal.</w:t>
      </w:r>
    </w:p>
    <w:p>
      <w:pPr>
        <w:spacing w:after="0" w:line="159" w:lineRule="exact"/>
        <w:rPr>
          <w:rFonts w:ascii="Times New Roman" w:cs="Times New Roman" w:eastAsia="Times New Roman" w:hAnsi="Times New Roman"/>
          <w:sz w:val="17"/>
          <w:szCs w:val="17"/>
          <w:color w:val="auto"/>
        </w:rPr>
      </w:pPr>
    </w:p>
    <w:p>
      <w:pPr>
        <w:ind w:left="620" w:hanging="176"/>
        <w:spacing w:after="0"/>
        <w:tabs>
          <w:tab w:leader="none" w:pos="6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this Lease shall be the Term as set forth in the Basic Lease Information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w:t>
      </w:r>
      <w:r>
        <w:rPr>
          <w:rFonts w:ascii="Times New Roman" w:cs="Times New Roman" w:eastAsia="Times New Roman" w:hAnsi="Times New Roman"/>
          <w:sz w:val="17"/>
          <w:szCs w:val="17"/>
          <w:color w:val="auto"/>
        </w:rPr>
        <w:t>”), commencing on the Commencement Date as set forth in the Basic Lease Information (the “</w:t>
      </w:r>
      <w:r>
        <w:rPr>
          <w:rFonts w:ascii="Times New Roman" w:cs="Times New Roman" w:eastAsia="Times New Roman" w:hAnsi="Times New Roman"/>
          <w:sz w:val="17"/>
          <w:szCs w:val="17"/>
          <w:b w:val="1"/>
          <w:bCs w:val="1"/>
          <w:i w:val="1"/>
          <w:iCs w:val="1"/>
          <w:color w:val="auto"/>
        </w:rPr>
        <w:t>Commencement Date</w:t>
      </w:r>
      <w:r>
        <w:rPr>
          <w:rFonts w:ascii="Times New Roman" w:cs="Times New Roman" w:eastAsia="Times New Roman" w:hAnsi="Times New Roman"/>
          <w:sz w:val="17"/>
          <w:szCs w:val="17"/>
          <w:color w:val="auto"/>
        </w:rPr>
        <w:t>”) and ending as of the Term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Expiration Date as set forth in the Basic Lease Information (the “</w:t>
      </w:r>
      <w:r>
        <w:rPr>
          <w:rFonts w:ascii="Times New Roman" w:cs="Times New Roman" w:eastAsia="Times New Roman" w:hAnsi="Times New Roman"/>
          <w:sz w:val="17"/>
          <w:szCs w:val="17"/>
          <w:b w:val="1"/>
          <w:bCs w:val="1"/>
          <w:i w:val="1"/>
          <w:iCs w:val="1"/>
          <w:color w:val="auto"/>
        </w:rPr>
        <w:t>Term Expiration Date</w:t>
      </w:r>
      <w:r>
        <w:rPr>
          <w:rFonts w:ascii="Times New Roman" w:cs="Times New Roman" w:eastAsia="Times New Roman" w:hAnsi="Times New Roman"/>
          <w:sz w:val="17"/>
          <w:szCs w:val="17"/>
          <w:color w:val="auto"/>
        </w:rPr>
        <w:t>”), unless sooner terminated in accordance with the terms of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If, for any reason, Landlord is delayed in Substantial Completion of the Premises, Landlord shall not be liable to Tenant for any claims, damages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liabilities by reason thereof, but the Commencement Date shall be the date the Premises are Substantially Complete (as defined in Paragraph 7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as may be adjusted pursuant to Paragraph 7 of </w:t>
      </w:r>
      <w:r>
        <w:rPr>
          <w:rFonts w:ascii="Times New Roman" w:cs="Times New Roman" w:eastAsia="Times New Roman" w:hAnsi="Times New Roman"/>
          <w:sz w:val="18"/>
          <w:szCs w:val="18"/>
          <w:u w:val="single" w:color="auto"/>
          <w:color w:val="auto"/>
        </w:rPr>
        <w:t>Exhibit B).</w:t>
      </w:r>
    </w:p>
    <w:p>
      <w:pPr>
        <w:spacing w:after="0" w:line="202" w:lineRule="exact"/>
        <w:rPr>
          <w:sz w:val="20"/>
          <w:szCs w:val="20"/>
          <w:color w:val="auto"/>
        </w:rPr>
      </w:pPr>
    </w:p>
    <w:p>
      <w:pPr>
        <w:ind w:right="100" w:firstLine="990"/>
        <w:spacing w:after="0" w:line="263" w:lineRule="auto"/>
        <w:tabs>
          <w:tab w:leader="none" w:pos="123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Lease Term</w:t>
      </w:r>
      <w:r>
        <w:rPr>
          <w:rFonts w:ascii="Times New Roman" w:cs="Times New Roman" w:eastAsia="Times New Roman" w:hAnsi="Times New Roman"/>
          <w:sz w:val="18"/>
          <w:szCs w:val="18"/>
          <w:color w:val="auto"/>
        </w:rPr>
        <w:t xml:space="preserve">. When the Commencement Date and the Term Expiration Date have been ascertained, the parties shall promptly complete and execute an acknowledgement of the Commencement Date and the Term Expiration Date using a Notice of Lease Term Dates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175" w:lineRule="exact"/>
        <w:rPr>
          <w:rFonts w:ascii="Times New Roman" w:cs="Times New Roman" w:eastAsia="Times New Roman" w:hAnsi="Times New Roman"/>
          <w:sz w:val="18"/>
          <w:szCs w:val="18"/>
          <w:color w:val="auto"/>
        </w:rPr>
      </w:pPr>
    </w:p>
    <w:p>
      <w:pPr>
        <w:ind w:right="20" w:firstLine="990"/>
        <w:spacing w:after="0" w:line="251" w:lineRule="auto"/>
        <w:tabs>
          <w:tab w:leader="none" w:pos="122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Access.</w:t>
      </w:r>
      <w:r>
        <w:rPr>
          <w:rFonts w:ascii="Times New Roman" w:cs="Times New Roman" w:eastAsia="Times New Roman" w:hAnsi="Times New Roman"/>
          <w:sz w:val="18"/>
          <w:szCs w:val="18"/>
          <w:color w:val="auto"/>
        </w:rPr>
        <w:t xml:space="preserve"> Provided that such access does not interfere with or delay the construction or completion of the Tenant Improvements and does not result in additional costs to Landlord, Landlord shall provide Tenant access to the Premises upon the full execution of this Lease. Such early access shall be utilized by Tenant for the sole purpose of installing its cabling, furniture, fixtures and equipment in the Premises in connection with the commencement of its business operations therein. During the period of such early access, Tenant shall not be charged a fee for the reasonable use of the Building’s freight elevator, the restrooms located in the Premises, the Building’s loading docks and temporarily visitor parking areas (if any), or for standard electricity and water servicing the Premises, provided that the use of such areas and services is solely in connection with installing Tenant’s cabling, furniture, fixtures and equipment in the Premises. Upon and following any entry into the Premises or Project by Tenant prior to the commencement of the Term, Tenant shall perform all of the obligations of Tenant applicable under this Lease during the Term (except the obligation to pay Basic Rent), including, without limitation, obligations pertaining to insurance, indemnity, compliance with laws and Hazardous Materials. Furthermore, Tenant shall adhere to Landlord’s construction schedule for the timely completion of the Tenant Improvements.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604" w:name="page605"/>
    <w:bookmarkEnd w:id="604"/>
    <w:p>
      <w:pPr>
        <w:ind w:left="620" w:hanging="176"/>
        <w:spacing w:after="0"/>
        <w:tabs>
          <w:tab w:leader="none" w:pos="62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OPTION TO EXTEND THE TERM.</w:t>
      </w:r>
    </w:p>
    <w:p>
      <w:pPr>
        <w:spacing w:after="0" w:line="216" w:lineRule="exact"/>
        <w:rPr>
          <w:rFonts w:ascii="Times New Roman" w:cs="Times New Roman" w:eastAsia="Times New Roman" w:hAnsi="Times New Roman"/>
          <w:sz w:val="18"/>
          <w:szCs w:val="18"/>
          <w:color w:val="auto"/>
        </w:rPr>
      </w:pPr>
    </w:p>
    <w:p>
      <w:pPr>
        <w:jc w:val="both"/>
        <w:ind w:right="160" w:firstLine="990"/>
        <w:spacing w:after="0" w:line="272" w:lineRule="auto"/>
        <w:tabs>
          <w:tab w:leader="none" w:pos="1224" w:val="left"/>
        </w:tabs>
        <w:numPr>
          <w:ilvl w:val="2"/>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Extension Term</w:t>
      </w:r>
      <w:r>
        <w:rPr>
          <w:rFonts w:ascii="Times New Roman" w:cs="Times New Roman" w:eastAsia="Times New Roman" w:hAnsi="Times New Roman"/>
          <w:sz w:val="17"/>
          <w:szCs w:val="17"/>
          <w:color w:val="auto"/>
        </w:rPr>
        <w:t>. Landlord grants to Tenant the option to extend the Term (the “</w:t>
      </w:r>
      <w:r>
        <w:rPr>
          <w:rFonts w:ascii="Times New Roman" w:cs="Times New Roman" w:eastAsia="Times New Roman" w:hAnsi="Times New Roman"/>
          <w:sz w:val="17"/>
          <w:szCs w:val="17"/>
          <w:b w:val="1"/>
          <w:bCs w:val="1"/>
          <w:i w:val="1"/>
          <w:iCs w:val="1"/>
          <w:color w:val="auto"/>
        </w:rPr>
        <w:t>Extension Option</w:t>
      </w:r>
      <w:r>
        <w:rPr>
          <w:rFonts w:ascii="Times New Roman" w:cs="Times New Roman" w:eastAsia="Times New Roman" w:hAnsi="Times New Roman"/>
          <w:sz w:val="17"/>
          <w:szCs w:val="17"/>
          <w:color w:val="auto"/>
        </w:rPr>
        <w:t>”) for one (1) additional consecutive term of two (2) years (the “</w:t>
      </w:r>
      <w:r>
        <w:rPr>
          <w:rFonts w:ascii="Times New Roman" w:cs="Times New Roman" w:eastAsia="Times New Roman" w:hAnsi="Times New Roman"/>
          <w:sz w:val="17"/>
          <w:szCs w:val="17"/>
          <w:b w:val="1"/>
          <w:bCs w:val="1"/>
          <w:i w:val="1"/>
          <w:iCs w:val="1"/>
          <w:color w:val="auto"/>
        </w:rPr>
        <w:t>Extension Term</w:t>
      </w:r>
      <w:r>
        <w:rPr>
          <w:rFonts w:ascii="Times New Roman" w:cs="Times New Roman" w:eastAsia="Times New Roman" w:hAnsi="Times New Roman"/>
          <w:sz w:val="17"/>
          <w:szCs w:val="17"/>
          <w:color w:val="auto"/>
        </w:rPr>
        <w:t>”). Tenant may elect, at the time that it exercises its option to extend the Term, to extend with respect to all the Premises then leased by Tenant. The Extension Term, if any, shall commence immediately following the Term Expiration Date of the Initial Term.</w:t>
      </w:r>
    </w:p>
    <w:p>
      <w:pPr>
        <w:ind w:right="40"/>
        <w:spacing w:after="0" w:line="23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Extension Option shall be exercised, if at all, by written notice to Landlord at any time during the Initial Term on or before the date that is no earlier than twelve (12) months and no later than six (6) months prior to the Term Expiration Date, which notice shall be irrevocable by Tenant. Notwithstanding the foregoing, if an Event of Default (as defined in Section 28(a)) exists under this Lease either at the time Tenant exercises the Extension Option or at any time thereafter prior to or upon the commencement of the Extension Term, Landlord shall have, in addition to all of Landlord’s other rights and remedies under this Lease, the right to terminate the Extension Option and to cancel unilaterally Tenant’s exercise of the Extension Option, in which event the Term Expiration Date of this Lease shall be and remain the day immediately preceding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Commencement Date, and Tenant shall have no further rights under this Lease to renew or extend the Term. Except as expressly set forth in this Section 3(a), Tenant shall not have any option to extend the Term of this Lease.</w:t>
      </w:r>
    </w:p>
    <w:p>
      <w:pPr>
        <w:spacing w:after="0" w:line="195" w:lineRule="exact"/>
        <w:rPr>
          <w:rFonts w:ascii="Times New Roman" w:cs="Times New Roman" w:eastAsia="Times New Roman" w:hAnsi="Times New Roman"/>
          <w:sz w:val="17"/>
          <w:szCs w:val="17"/>
          <w:color w:val="auto"/>
        </w:rPr>
      </w:pPr>
    </w:p>
    <w:p>
      <w:pPr>
        <w:ind w:firstLine="990"/>
        <w:spacing w:after="0" w:line="255" w:lineRule="auto"/>
        <w:tabs>
          <w:tab w:leader="none" w:pos="1234" w:val="left"/>
        </w:tabs>
        <w:numPr>
          <w:ilvl w:val="2"/>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Extension Term Rent.</w:t>
      </w:r>
      <w:r>
        <w:rPr>
          <w:rFonts w:ascii="Times New Roman" w:cs="Times New Roman" w:eastAsia="Times New Roman" w:hAnsi="Times New Roman"/>
          <w:sz w:val="17"/>
          <w:szCs w:val="17"/>
          <w:color w:val="auto"/>
        </w:rPr>
        <w:t xml:space="preserve"> The Extension Term shall be upon and subject to all of the terms, covenants and conditions of this Lease; provided, however, that: (i) the Basic Rent for the Extension Term shall be equal to ninety-five percent (95%) of the Fair Market Rental Value for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Lease Month (as defined in Section 4(b)) of the Extension Term, increased each calendar year during the Extension Term by three percent (3%) from the Basic Rent applicable during the previous calendar (not taking into account any abatements or reductions in Basic Rent which may have been applicable during such calendar year pursuant to the provisions of this Lease); and (ii) the Base Year for the Extension Term shall be the first full calendar year during the Extension Term. Such Basic Rent shall be determined by Landlord not later than four (4) months prior to the commencement of the Extension Term. Tenant shall send to Landlord a written notice, within twenty (20) days after the date of Landlord’s notice setting forth the Fair Market Rental Value for the Extension Term, which notice shall state that Tenant either (x) agrees with Landlord’s determination of Fair Market Rental Value for the Extension Term or (y) disagrees with Landlord’s determination of Fair Market Rental Value for the Extension Term and elects to resolve the disagreement as provided in Section 3(c)(i) below. If Tenant does not send to Landlord a notice as provided in the previous sentence within the said twenty (20) day period, Tenant shall be deemed to have disagreed with Landlord’s determination of the Fair Market Rental Value for the Extension Term and elects to resolve the disagreement as provided in Section 3(c)(i) below. Until the disagreement is resolved as provided in Section 3(c)(i) below, Tenant’s monthly payments of Basic Rent shall be in an amount not less than the greater of (x) Landlord’s determination of the Fair Market Rental Value and (y) the Basic Rent payable for the twelve (12) month period immediately preceding the commencement of the Extension Term. Within ten</w:t>
      </w:r>
    </w:p>
    <w:p>
      <w:pPr>
        <w:spacing w:after="0" w:line="9" w:lineRule="exact"/>
        <w:rPr>
          <w:rFonts w:ascii="Times New Roman" w:cs="Times New Roman" w:eastAsia="Times New Roman" w:hAnsi="Times New Roman"/>
          <w:sz w:val="17"/>
          <w:szCs w:val="17"/>
          <w:color w:val="auto"/>
        </w:rPr>
      </w:pPr>
    </w:p>
    <w:p>
      <w:pPr>
        <w:ind w:left="340" w:hanging="333"/>
        <w:spacing w:after="0"/>
        <w:tabs>
          <w:tab w:leader="none" w:pos="340"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following the resolution of such dispute by the parties or the decision of the brokers or appraisers, as applicable, one party shall make</w:t>
      </w:r>
    </w:p>
    <w:p>
      <w:pPr>
        <w:spacing w:after="0" w:line="1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605" w:name="page606"/>
    <w:bookmarkEnd w:id="605"/>
    <w:p>
      <w:pPr>
        <w:ind w:right="4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necessary payment to the other party in order to adjust the amount previously paid by Tenant during the Extension Term to the Fair Market Rental Value as determined. Tenant shall in any event pay all applicable additional charges with respect to the Premises, in the manner and at the times provided in this Lease, effective upon the commencement of the Extension Term, and notwithstanding any dispute regarding the Basic Rent for the Extension Term.</w:t>
      </w:r>
    </w:p>
    <w:p>
      <w:pPr>
        <w:spacing w:after="0" w:line="156" w:lineRule="exact"/>
        <w:rPr>
          <w:sz w:val="20"/>
          <w:szCs w:val="20"/>
          <w:color w:val="auto"/>
        </w:rPr>
      </w:pPr>
    </w:p>
    <w:p>
      <w:pPr>
        <w:ind w:left="1240" w:hanging="250"/>
        <w:spacing w:after="0"/>
        <w:tabs>
          <w:tab w:leader="none" w:pos="1240" w:val="left"/>
        </w:tabs>
        <w:numPr>
          <w:ilvl w:val="2"/>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Fair Market Rental Value.</w:t>
      </w:r>
      <w:r>
        <w:rPr>
          <w:rFonts w:ascii="Times New Roman" w:cs="Times New Roman" w:eastAsia="Times New Roman" w:hAnsi="Times New Roman"/>
          <w:sz w:val="18"/>
          <w:szCs w:val="18"/>
          <w:color w:val="auto"/>
        </w:rPr>
        <w:t xml:space="preserve"> As used in this Lease, the term “</w:t>
      </w:r>
      <w:r>
        <w:rPr>
          <w:rFonts w:ascii="Times New Roman" w:cs="Times New Roman" w:eastAsia="Times New Roman" w:hAnsi="Times New Roman"/>
          <w:sz w:val="18"/>
          <w:szCs w:val="18"/>
          <w:b w:val="1"/>
          <w:bCs w:val="1"/>
          <w:i w:val="1"/>
          <w:iCs w:val="1"/>
          <w:color w:val="auto"/>
        </w:rPr>
        <w:t>Fair Market Rental Value</w:t>
      </w:r>
      <w:r>
        <w:rPr>
          <w:rFonts w:ascii="Times New Roman" w:cs="Times New Roman" w:eastAsia="Times New Roman" w:hAnsi="Times New Roman"/>
          <w:sz w:val="18"/>
          <w:szCs w:val="18"/>
          <w:color w:val="auto"/>
        </w:rPr>
        <w:t>” shall mean the product of:</w:t>
      </w:r>
    </w:p>
    <w:p>
      <w:pPr>
        <w:spacing w:after="0" w:line="29" w:lineRule="exact"/>
        <w:rPr>
          <w:rFonts w:ascii="Times New Roman" w:cs="Times New Roman" w:eastAsia="Times New Roman" w:hAnsi="Times New Roman"/>
          <w:sz w:val="18"/>
          <w:szCs w:val="18"/>
          <w:color w:val="auto"/>
        </w:rPr>
      </w:pPr>
    </w:p>
    <w:p>
      <w:pPr>
        <w:ind w:right="20" w:firstLine="7"/>
        <w:spacing w:after="0" w:line="266" w:lineRule="auto"/>
        <w:tabs>
          <w:tab w:leader="none" w:pos="213"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Rentable Area of the Premises; multiplied by (ii) the average rental rate per rentable square foot per month (taking into account additional rent and all other monetary payments and considering any base year or expense stop applicable thereto), including all escalations, for all leases for comparable, unencumbered space for approximately the same lease term, executed at the Project and/or any other comparable Class A building in terms of size, quality, level of services, amenities, views, age and appearance located within San Francisco, during the twelve (12) month period immediately preceding the date upon which the determination of Fair Market Rental Value is made, and having a commencement date within six (6) months of the date that the Fair Market Rental Value will commence under this Lease, and taking into account any tenant improvements and other concessions granted to Tenant and tenants under leases of such comparable space or then existing in the Premises or the premises in the comparable transaction.</w:t>
      </w:r>
    </w:p>
    <w:p>
      <w:pPr>
        <w:spacing w:after="0" w:line="176" w:lineRule="exact"/>
        <w:rPr>
          <w:rFonts w:ascii="Times New Roman" w:cs="Times New Roman" w:eastAsia="Times New Roman" w:hAnsi="Times New Roman"/>
          <w:sz w:val="17"/>
          <w:szCs w:val="17"/>
          <w:color w:val="auto"/>
        </w:rPr>
      </w:pPr>
    </w:p>
    <w:p>
      <w:pPr>
        <w:ind w:left="1200" w:hanging="210"/>
        <w:spacing w:after="0"/>
        <w:tabs>
          <w:tab w:leader="none" w:pos="1200" w:val="left"/>
        </w:tabs>
        <w:numPr>
          <w:ilvl w:val="2"/>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disagreement regarding the Fair Market Rental Value for the purposes of this Section 3 shall be resolved as follows:</w:t>
      </w:r>
    </w:p>
    <w:p>
      <w:pPr>
        <w:spacing w:after="0" w:line="113" w:lineRule="exact"/>
        <w:rPr>
          <w:rFonts w:ascii="Times New Roman" w:cs="Times New Roman" w:eastAsia="Times New Roman" w:hAnsi="Times New Roman"/>
          <w:sz w:val="18"/>
          <w:szCs w:val="18"/>
          <w:color w:val="auto"/>
        </w:rPr>
      </w:pPr>
    </w:p>
    <w:p>
      <w:pPr>
        <w:ind w:left="440" w:firstLine="947"/>
        <w:spacing w:after="0" w:line="263" w:lineRule="auto"/>
        <w:tabs>
          <w:tab w:leader="none" w:pos="1675" w:val="left"/>
        </w:tabs>
        <w:numPr>
          <w:ilvl w:val="3"/>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Tenant’s response to Landlord’s notice of Landlord’s initial determination of the Fair Market Rental Value or Tenant’s deemed disagreement, Landlord and Tenant shall meet no less than two (2) times, at a mutually agreeable time and place, to attempt to resolve any such disagreement.</w:t>
      </w:r>
    </w:p>
    <w:p>
      <w:pPr>
        <w:spacing w:after="0" w:line="68" w:lineRule="exact"/>
        <w:rPr>
          <w:rFonts w:ascii="Times New Roman" w:cs="Times New Roman" w:eastAsia="Times New Roman" w:hAnsi="Times New Roman"/>
          <w:sz w:val="18"/>
          <w:szCs w:val="18"/>
          <w:color w:val="auto"/>
        </w:rPr>
      </w:pPr>
    </w:p>
    <w:p>
      <w:pPr>
        <w:ind w:left="440" w:right="60" w:firstLine="947"/>
        <w:spacing w:after="0" w:line="259" w:lineRule="auto"/>
        <w:tabs>
          <w:tab w:leader="none" w:pos="1665" w:val="left"/>
        </w:tabs>
        <w:numPr>
          <w:ilvl w:val="3"/>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the twenty (20) day consultation period described in subsection 3(c)(i)(A) above, Landlord and Tenant cannot reach an agreement as to the Fair Market Rental Value, they shall each make a separate determination of the Fair Market Rental Value within five</w:t>
      </w:r>
    </w:p>
    <w:p>
      <w:pPr>
        <w:ind w:left="440" w:firstLine="4"/>
        <w:spacing w:after="0" w:line="262" w:lineRule="auto"/>
        <w:tabs>
          <w:tab w:leader="none" w:pos="692"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expiration of the said twenty (20) day period, and such determinations shall be submitted to arbitration in accordance with subsection 3(d) below; provided that, if only one (1) determination of Fair Market Rental Value is submitted to arbitration within the said five</w:t>
      </w:r>
    </w:p>
    <w:p>
      <w:pPr>
        <w:spacing w:after="0" w:line="1" w:lineRule="exact"/>
        <w:rPr>
          <w:rFonts w:ascii="Times New Roman" w:cs="Times New Roman" w:eastAsia="Times New Roman" w:hAnsi="Times New Roman"/>
          <w:sz w:val="17"/>
          <w:szCs w:val="17"/>
          <w:color w:val="auto"/>
        </w:rPr>
      </w:pPr>
    </w:p>
    <w:p>
      <w:pPr>
        <w:ind w:left="700" w:hanging="256"/>
        <w:spacing w:after="0"/>
        <w:tabs>
          <w:tab w:leader="none" w:pos="700" w:val="left"/>
        </w:tabs>
        <w:numPr>
          <w:ilvl w:val="1"/>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 period, then such determination shall be the Basic Rent for the Extension Term and the parties shall not proceed with arbitration.</w:t>
      </w:r>
    </w:p>
    <w:p>
      <w:pPr>
        <w:spacing w:after="0" w:line="213" w:lineRule="exact"/>
        <w:rPr>
          <w:rFonts w:ascii="Times New Roman" w:cs="Times New Roman" w:eastAsia="Times New Roman" w:hAnsi="Times New Roman"/>
          <w:sz w:val="17"/>
          <w:szCs w:val="17"/>
          <w:color w:val="auto"/>
        </w:rPr>
      </w:pPr>
    </w:p>
    <w:p>
      <w:pPr>
        <w:ind w:right="120" w:firstLine="990"/>
        <w:spacing w:after="0" w:line="253" w:lineRule="auto"/>
        <w:tabs>
          <w:tab w:leader="none" w:pos="1235" w:val="left"/>
        </w:tabs>
        <w:numPr>
          <w:ilvl w:val="2"/>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Basic Rent has not been determined pursuant to the procedures outlined above, Landlord and Tenant shall each appoint one arbitrator who shall be either a real estate broker or MAI appraiser and shall have been active over the five (5) year period ending on the date of such appointment in the leasing of commercial mid-rise and/or high-rise properties in the greater San Francisco metropolitan area. Each such arbitrator shall be appointed within five (5) business days after the expiration of the twenty (20) day period described in subsection 3(c)(i)(B) above. The two</w:t>
      </w:r>
    </w:p>
    <w:p>
      <w:pPr>
        <w:spacing w:after="0" w:line="2" w:lineRule="exact"/>
        <w:rPr>
          <w:rFonts w:ascii="Times New Roman" w:cs="Times New Roman" w:eastAsia="Times New Roman" w:hAnsi="Times New Roman"/>
          <w:sz w:val="18"/>
          <w:szCs w:val="18"/>
          <w:color w:val="auto"/>
        </w:rPr>
      </w:pPr>
    </w:p>
    <w:p>
      <w:pPr>
        <w:ind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arbitrators so appointed shall within ten (10) days of the date of appointment of the last appointed arbitrator agree upon and appoint a third arbitrator who shall be qualified under the same criteria set forth hereinabove for qualification of the first two (2)</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606" w:name="page607"/>
    <w:bookmarkEnd w:id="606"/>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arbitrators. The determination of the arbitrators shall be limited solely to the issue of whether the Landlord’s or the Tenant’s submitted Fair Market Rental Value is the closest to the actual Fair Market Rental Value of the Premises, as determined by the arbitrators. The three (3) arbitrators shall within thirty (30) days of the appointment of the third arbitrator reach a decision as to whether the parties shall use the Landlord’s or the Tenant’s submitted Fair Market Rental Value as the Basic Rent for the Extension Term, and shall notify Landlord and Tenant thereof. The decision of the majority of the three (3) arbitrators shall be binding upon Landlord and Tenant. If either Landlord or Tenant fails to appoint an arbitrator within the five (5) business day period provided above, then the arbitrator appointed by one of them shall reach a decision, notify Landlord and Tenant thereof, and such arbitrator’s decision shall be binding upon Landlord and Tenant. If the two (2) arbitrators fail to agree upon and appoint a third arbitrator within the ten (10) day period provided above, or both parties fail to appoint an arbitrator within the five (5) business day period provided above, then Landlord shall prepare and submit to Tenant a list of three (3) proposed arbitrators that possess the required qualifications as set forth above; provided that none of such proposed arbitrators nor the firm for which any of them works shall be a current or past affiliate of either Landlord or Tenant or currently retained or employed by Landlord or Tenant. Within five (5) business days after receipt of such list, Tenant shall select an arbitrator therefrom and such person shall be the third or single, as the case may be, arbitrator hereunder. If Tenant fails to make such selection with such five (5) business day period, then Landlord shall select the third or single, as the case may be, arbitrator from such list. Each party shall pay the cost of the arbitrator which it first selects and the parties shall share equally the cost of the third arbitrator.</w:t>
      </w:r>
    </w:p>
    <w:p>
      <w:pPr>
        <w:spacing w:after="0" w:line="191" w:lineRule="exact"/>
        <w:rPr>
          <w:sz w:val="20"/>
          <w:szCs w:val="20"/>
          <w:color w:val="auto"/>
        </w:rPr>
      </w:pPr>
    </w:p>
    <w:p>
      <w:pPr>
        <w:ind w:left="620" w:hanging="176"/>
        <w:spacing w:after="0"/>
        <w:tabs>
          <w:tab w:leader="none" w:pos="6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RENT.</w:t>
      </w:r>
    </w:p>
    <w:p>
      <w:pPr>
        <w:spacing w:after="0" w:line="220" w:lineRule="exact"/>
        <w:rPr>
          <w:rFonts w:ascii="Times New Roman" w:cs="Times New Roman" w:eastAsia="Times New Roman" w:hAnsi="Times New Roman"/>
          <w:sz w:val="18"/>
          <w:szCs w:val="18"/>
          <w:color w:val="auto"/>
        </w:rPr>
      </w:pPr>
    </w:p>
    <w:p>
      <w:pPr>
        <w:ind w:right="380" w:firstLine="990"/>
        <w:spacing w:after="0" w:line="278" w:lineRule="auto"/>
        <w:tabs>
          <w:tab w:leader="none" w:pos="1224"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Rent Payments.</w:t>
      </w:r>
      <w:r>
        <w:rPr>
          <w:rFonts w:ascii="Times New Roman" w:cs="Times New Roman" w:eastAsia="Times New Roman" w:hAnsi="Times New Roman"/>
          <w:sz w:val="18"/>
          <w:szCs w:val="18"/>
          <w:color w:val="auto"/>
        </w:rPr>
        <w:t xml:space="preserve"> Tenant agrees to pay Landlord, with respect to each Lease Month of the Term commencing as of the second (2nd) Lease Month, Basic Rent (“</w:t>
      </w:r>
      <w:r>
        <w:rPr>
          <w:rFonts w:ascii="Times New Roman" w:cs="Times New Roman" w:eastAsia="Times New Roman" w:hAnsi="Times New Roman"/>
          <w:sz w:val="18"/>
          <w:szCs w:val="18"/>
          <w:b w:val="1"/>
          <w:bCs w:val="1"/>
          <w:i w:val="1"/>
          <w:iCs w:val="1"/>
          <w:color w:val="auto"/>
        </w:rPr>
        <w:t>Basic Rent</w:t>
      </w:r>
      <w:r>
        <w:rPr>
          <w:rFonts w:ascii="Times New Roman" w:cs="Times New Roman" w:eastAsia="Times New Roman" w:hAnsi="Times New Roman"/>
          <w:sz w:val="18"/>
          <w:szCs w:val="18"/>
          <w:color w:val="auto"/>
        </w:rPr>
        <w:t>”) at the following rates per square foot of Rentable Area in the Premises:</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Annual Rate per</w:t>
            </w: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Square Foot of</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Monthly Basic</w:t>
            </w:r>
          </w:p>
        </w:tc>
        <w:tc>
          <w:tcPr>
            <w:tcW w:w="460" w:type="dxa"/>
            <w:vAlign w:val="bottom"/>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Annual Basic</w:t>
            </w:r>
          </w:p>
        </w:tc>
        <w:tc>
          <w:tcPr>
            <w:tcW w:w="0" w:type="dxa"/>
            <w:vAlign w:val="bottom"/>
          </w:tcPr>
          <w:p>
            <w:pPr>
              <w:spacing w:after="0"/>
              <w:rPr>
                <w:sz w:val="1"/>
                <w:szCs w:val="1"/>
                <w:color w:val="auto"/>
              </w:rPr>
            </w:pPr>
          </w:p>
        </w:tc>
      </w:tr>
      <w:tr>
        <w:trPr>
          <w:trHeight w:val="147"/>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Lease Months</w:t>
            </w:r>
          </w:p>
        </w:tc>
        <w:tc>
          <w:tcPr>
            <w:tcW w:w="3180" w:type="dxa"/>
            <w:vAlign w:val="bottom"/>
            <w:gridSpan w:val="3"/>
          </w:tcPr>
          <w:p>
            <w:pPr>
              <w:ind w:left="2220"/>
              <w:spacing w:after="0" w:line="147" w:lineRule="exact"/>
              <w:rPr>
                <w:sz w:val="20"/>
                <w:szCs w:val="20"/>
                <w:color w:val="auto"/>
              </w:rPr>
            </w:pPr>
            <w:r>
              <w:rPr>
                <w:rFonts w:ascii="Times New Roman" w:cs="Times New Roman" w:eastAsia="Times New Roman" w:hAnsi="Times New Roman"/>
                <w:sz w:val="14"/>
                <w:szCs w:val="14"/>
                <w:color w:val="auto"/>
                <w:w w:val="99"/>
              </w:rPr>
              <w:t>Rentable Area in</w:t>
            </w:r>
          </w:p>
        </w:tc>
        <w:tc>
          <w:tcPr>
            <w:tcW w:w="13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gridSpan w:val="3"/>
            <w:vMerge w:val="continue"/>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4"/>
              <w:spacing w:after="0" w:line="157" w:lineRule="exact"/>
              <w:rPr>
                <w:sz w:val="20"/>
                <w:szCs w:val="20"/>
                <w:color w:val="auto"/>
              </w:rPr>
            </w:pPr>
            <w:r>
              <w:rPr>
                <w:rFonts w:ascii="Times New Roman" w:cs="Times New Roman" w:eastAsia="Times New Roman" w:hAnsi="Times New Roman"/>
                <w:sz w:val="14"/>
                <w:szCs w:val="14"/>
                <w:color w:val="auto"/>
              </w:rPr>
              <w:t>the Premises</w:t>
            </w:r>
          </w:p>
        </w:tc>
        <w:tc>
          <w:tcPr>
            <w:tcW w:w="480" w:type="dxa"/>
            <w:vAlign w:val="bottom"/>
          </w:tcPr>
          <w:p>
            <w:pPr>
              <w:spacing w:after="0"/>
              <w:rPr>
                <w:sz w:val="13"/>
                <w:szCs w:val="13"/>
                <w:color w:val="auto"/>
              </w:rPr>
            </w:pPr>
          </w:p>
        </w:tc>
        <w:tc>
          <w:tcPr>
            <w:tcW w:w="860" w:type="dxa"/>
            <w:vAlign w:val="bottom"/>
          </w:tcPr>
          <w:p>
            <w:pPr>
              <w:jc w:val="right"/>
              <w:ind w:right="220"/>
              <w:spacing w:after="0" w:line="157" w:lineRule="exact"/>
              <w:rPr>
                <w:sz w:val="20"/>
                <w:szCs w:val="20"/>
                <w:color w:val="auto"/>
              </w:rPr>
            </w:pPr>
            <w:r>
              <w:rPr>
                <w:rFonts w:ascii="Times New Roman" w:cs="Times New Roman" w:eastAsia="Times New Roman" w:hAnsi="Times New Roman"/>
                <w:sz w:val="14"/>
                <w:szCs w:val="14"/>
                <w:color w:val="auto"/>
              </w:rPr>
              <w:t>Rent</w:t>
            </w:r>
          </w:p>
        </w:tc>
        <w:tc>
          <w:tcPr>
            <w:tcW w:w="4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color w:val="auto"/>
              </w:rPr>
              <w:t>Rent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 through 12*</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44.00</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5"/>
              </w:rPr>
              <w:t>$ 49,888.67</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$598,664.00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through 24</w:t>
            </w:r>
          </w:p>
        </w:tc>
        <w:tc>
          <w:tcPr>
            <w:tcW w:w="23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$ 51,022.50</w:t>
            </w:r>
          </w:p>
        </w:tc>
        <w:tc>
          <w:tcPr>
            <w:tcW w:w="136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9"/>
              </w:rPr>
              <w:t>$612,270.00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 through 36</w:t>
            </w:r>
          </w:p>
        </w:tc>
        <w:tc>
          <w:tcPr>
            <w:tcW w:w="232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$ 52,156.33</w:t>
            </w:r>
          </w:p>
        </w:tc>
        <w:tc>
          <w:tcPr>
            <w:tcW w:w="136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$625,876.00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 through 48</w:t>
            </w:r>
          </w:p>
        </w:tc>
        <w:tc>
          <w:tcPr>
            <w:tcW w:w="23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$ 53,290.17</w:t>
            </w:r>
          </w:p>
        </w:tc>
        <w:tc>
          <w:tcPr>
            <w:tcW w:w="136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9"/>
              </w:rPr>
              <w:t>$639,482.00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40" w:right="60" w:hanging="433"/>
        <w:spacing w:after="0" w:line="265" w:lineRule="auto"/>
        <w:tabs>
          <w:tab w:leader="none" w:pos="4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agrees to abate the obligation of Tenant to pay Basic Rent for the first (1) Lease Month of the Term (the “</w:t>
      </w:r>
      <w:r>
        <w:rPr>
          <w:rFonts w:ascii="Times New Roman" w:cs="Times New Roman" w:eastAsia="Times New Roman" w:hAnsi="Times New Roman"/>
          <w:sz w:val="18"/>
          <w:szCs w:val="18"/>
          <w:b w:val="1"/>
          <w:bCs w:val="1"/>
          <w:i w:val="1"/>
          <w:iCs w:val="1"/>
          <w:color w:val="auto"/>
        </w:rPr>
        <w:t>Abated Basic Rent</w:t>
      </w:r>
      <w:r>
        <w:rPr>
          <w:rFonts w:ascii="Times New Roman" w:cs="Times New Roman" w:eastAsia="Times New Roman" w:hAnsi="Times New Roman"/>
          <w:sz w:val="18"/>
          <w:szCs w:val="18"/>
          <w:color w:val="auto"/>
        </w:rPr>
        <w:t>”). Notwithstanding the foregoing, however, during such months, Tenant shall still be responsible for the payment of all other amounts payable under the Lease.</w:t>
      </w:r>
    </w:p>
    <w:p>
      <w:pPr>
        <w:spacing w:after="0" w:line="170" w:lineRule="exact"/>
        <w:rPr>
          <w:rFonts w:ascii="Times New Roman" w:cs="Times New Roman" w:eastAsia="Times New Roman" w:hAnsi="Times New Roman"/>
          <w:sz w:val="18"/>
          <w:szCs w:val="18"/>
          <w:color w:val="auto"/>
        </w:rPr>
      </w:pPr>
    </w:p>
    <w:p>
      <w:pPr>
        <w:ind w:right="260" w:firstLine="990"/>
        <w:spacing w:after="0" w:line="229" w:lineRule="auto"/>
        <w:tabs>
          <w:tab w:leader="none" w:pos="1234"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Month.</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b w:val="1"/>
          <w:bCs w:val="1"/>
          <w:i w:val="1"/>
          <w:iCs w:val="1"/>
          <w:color w:val="auto"/>
        </w:rPr>
        <w:t>Lease Month</w:t>
      </w:r>
      <w:r>
        <w:rPr>
          <w:rFonts w:ascii="Times New Roman" w:cs="Times New Roman" w:eastAsia="Times New Roman" w:hAnsi="Times New Roman"/>
          <w:sz w:val="18"/>
          <w:szCs w:val="18"/>
          <w:color w:val="auto"/>
        </w:rPr>
        <w:t>” shall mean a period commencing as of a particular date and continuing to and including the day immediately preceding the same day of the next calendar month (or, if the next calendar month does not contain such a same day due to being shorter in duration, then continuing to and including the last day of such next calendar month).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Lease Month shall commence as of the Commencement Date, and successive Lease Months shall be consecutively numbered.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7" w:right="519" w:bottom="1440" w:gutter="0" w:footer="0" w:header="0"/>
        </w:sectPr>
      </w:pPr>
    </w:p>
    <w:bookmarkStart w:id="607" w:name="page608"/>
    <w:bookmarkEnd w:id="607"/>
    <w:p>
      <w:pPr>
        <w:ind w:left="-60" w:firstLine="990"/>
        <w:spacing w:after="0" w:line="233" w:lineRule="auto"/>
        <w:tabs>
          <w:tab w:leader="none" w:pos="1164"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Method of Payment.</w:t>
      </w:r>
      <w:r>
        <w:rPr>
          <w:rFonts w:ascii="Times New Roman" w:cs="Times New Roman" w:eastAsia="Times New Roman" w:hAnsi="Times New Roman"/>
          <w:sz w:val="18"/>
          <w:szCs w:val="18"/>
          <w:color w:val="auto"/>
        </w:rPr>
        <w:t xml:space="preserve"> Basic Rent shall commence on and as of the Commencement Date and shall be payable monthly during the Term. Each monthly installment of Basic Rent shall be payable in advance on the first day of each calendar month during the Term, except that Basic Rent for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Lease Month shall be paid upon the execution by Tenant of this Lease. Without limiting the foregoing, Basic Rent for the portion (if any) of the first full calendar month of the Term contained between the last day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Lease Month and the first day of the second full calendar month of the Term shall be prorated on a daily basis and the prorated installment shall be paid on the first day of such first full calendar month of the Term. If the rate at which Basic Rent is payable under this Lease changes on a day other than the first day of a calendar month, then the Basic Rent for such calendar month shall be prorated on a daily basis to take such change into account, and any additional amount due as a result of such proration shall be paid on the first day of the calendar month for which the proration occurs. In addition to the Basic Rent, Tenant agrees to pay as additional rent the amount of additional rent and rent adjustments and other charges required by this Lease. All rent shall be paid to Landlord, without prior demand and without any deduction or offset (except as expressly provided herein), in lawful money of the United States of America, at the address of Landlord designated in Section 34 below or to such other person or at such other place as Landlord may from time to time designate in writing. Except as otherwise provided in this Lease, in the event of a remeasurement or adjustment of the area of the Premises, the Basic Rent shall be recalculated using the Basic Rent rates set forth in Section 4(a) above.</w:t>
      </w:r>
    </w:p>
    <w:p>
      <w:pPr>
        <w:spacing w:after="0" w:line="204" w:lineRule="exact"/>
        <w:rPr>
          <w:rFonts w:ascii="Times New Roman" w:cs="Times New Roman" w:eastAsia="Times New Roman" w:hAnsi="Times New Roman"/>
          <w:sz w:val="18"/>
          <w:szCs w:val="18"/>
          <w:color w:val="auto"/>
        </w:rPr>
      </w:pPr>
    </w:p>
    <w:p>
      <w:pPr>
        <w:ind w:left="-60" w:right="60" w:firstLine="444"/>
        <w:spacing w:after="0" w:line="255" w:lineRule="auto"/>
        <w:tabs>
          <w:tab w:leader="none" w:pos="55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RENT. In addition to the Basic Rent provided in Section 2(b) of this Lease, Tenant shall pay Tenant’s Proportionate Share as specified in the Basic Lease Information (“</w:t>
      </w:r>
      <w:r>
        <w:rPr>
          <w:rFonts w:ascii="Times New Roman" w:cs="Times New Roman" w:eastAsia="Times New Roman" w:hAnsi="Times New Roman"/>
          <w:sz w:val="18"/>
          <w:szCs w:val="18"/>
          <w:b w:val="1"/>
          <w:bCs w:val="1"/>
          <w:i w:val="1"/>
          <w:iCs w:val="1"/>
          <w:color w:val="auto"/>
        </w:rPr>
        <w:t>Tenant’s Proportionate Share</w:t>
      </w:r>
      <w:r>
        <w:rPr>
          <w:rFonts w:ascii="Times New Roman" w:cs="Times New Roman" w:eastAsia="Times New Roman" w:hAnsi="Times New Roman"/>
          <w:sz w:val="18"/>
          <w:szCs w:val="18"/>
          <w:color w:val="auto"/>
        </w:rPr>
        <w:t>”), of the increase in Actual Operating Expenses for each Operating Year over the Base Amount (as such terms are defined below). Tenant’s Proportionate Share may change based on remeasurement or adjustment of the area of the Project, Building or the Premises. In addition, whenever additional space is added to or removed from the Premises, Tenant’s Proportionate Share shall be adjusted accordingly.</w:t>
      </w:r>
    </w:p>
    <w:p>
      <w:pPr>
        <w:spacing w:after="0" w:line="184" w:lineRule="exact"/>
        <w:rPr>
          <w:rFonts w:ascii="Times New Roman" w:cs="Times New Roman" w:eastAsia="Times New Roman" w:hAnsi="Times New Roman"/>
          <w:sz w:val="18"/>
          <w:szCs w:val="18"/>
          <w:color w:val="auto"/>
        </w:rPr>
      </w:pPr>
    </w:p>
    <w:p>
      <w:pPr>
        <w:ind w:left="-60" w:right="80" w:firstLine="990"/>
        <w:spacing w:after="0" w:line="255" w:lineRule="auto"/>
        <w:tabs>
          <w:tab w:leader="none" w:pos="116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Estimated Operating Expenses.</w:t>
      </w:r>
      <w:r>
        <w:rPr>
          <w:rFonts w:ascii="Times New Roman" w:cs="Times New Roman" w:eastAsia="Times New Roman" w:hAnsi="Times New Roman"/>
          <w:sz w:val="18"/>
          <w:szCs w:val="18"/>
          <w:color w:val="auto"/>
        </w:rPr>
        <w:t xml:space="preserve"> Within ninety (90) days after the close of each Operating Year during the Term, Landlord shall furnish Tenant a written statement of the “</w:t>
      </w:r>
      <w:r>
        <w:rPr>
          <w:rFonts w:ascii="Times New Roman" w:cs="Times New Roman" w:eastAsia="Times New Roman" w:hAnsi="Times New Roman"/>
          <w:sz w:val="18"/>
          <w:szCs w:val="18"/>
          <w:b w:val="1"/>
          <w:bCs w:val="1"/>
          <w:i w:val="1"/>
          <w:iCs w:val="1"/>
          <w:color w:val="auto"/>
        </w:rPr>
        <w:t>Estimated Operating Expenses</w:t>
      </w:r>
      <w:r>
        <w:rPr>
          <w:rFonts w:ascii="Times New Roman" w:cs="Times New Roman" w:eastAsia="Times New Roman" w:hAnsi="Times New Roman"/>
          <w:sz w:val="18"/>
          <w:szCs w:val="18"/>
          <w:color w:val="auto"/>
        </w:rPr>
        <w:t>” for the then current Operating Year, and a corresponding calculation of additional rent, which shall be one-twelfth (1/12) of Tenant’s Proportionate Share of the amount, if any, by which the Estimated Operating Expenses exceed the Base Amount. Such additional amount shall be added to the monthly installment of Basic Rent payable by Tenant under this Lease for each month during such Operating Year.</w:t>
      </w:r>
    </w:p>
    <w:p>
      <w:pPr>
        <w:spacing w:after="0" w:line="184" w:lineRule="exact"/>
        <w:rPr>
          <w:rFonts w:ascii="Times New Roman" w:cs="Times New Roman" w:eastAsia="Times New Roman" w:hAnsi="Times New Roman"/>
          <w:sz w:val="18"/>
          <w:szCs w:val="18"/>
          <w:color w:val="auto"/>
        </w:rPr>
      </w:pPr>
    </w:p>
    <w:p>
      <w:pPr>
        <w:ind w:left="-60" w:right="120" w:firstLine="990"/>
        <w:spacing w:after="0" w:line="255" w:lineRule="auto"/>
        <w:tabs>
          <w:tab w:leader="none" w:pos="117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Actual Operating Expenses.</w:t>
      </w:r>
      <w:r>
        <w:rPr>
          <w:rFonts w:ascii="Times New Roman" w:cs="Times New Roman" w:eastAsia="Times New Roman" w:hAnsi="Times New Roman"/>
          <w:sz w:val="18"/>
          <w:szCs w:val="18"/>
          <w:color w:val="auto"/>
        </w:rPr>
        <w:t xml:space="preserve"> Within one hundred twenty (120) days after the close of each Operating Year (except the Base Year) during the Term, Landlord shall deliver to Tenant a written statement setting forth the Actual Operating Expenses during the preceding Operating Year (“</w:t>
      </w:r>
      <w:r>
        <w:rPr>
          <w:rFonts w:ascii="Times New Roman" w:cs="Times New Roman" w:eastAsia="Times New Roman" w:hAnsi="Times New Roman"/>
          <w:sz w:val="18"/>
          <w:szCs w:val="18"/>
          <w:b w:val="1"/>
          <w:bCs w:val="1"/>
          <w:i w:val="1"/>
          <w:iCs w:val="1"/>
          <w:color w:val="auto"/>
        </w:rPr>
        <w:t>Reconciliation Statement</w:t>
      </w:r>
      <w:r>
        <w:rPr>
          <w:rFonts w:ascii="Times New Roman" w:cs="Times New Roman" w:eastAsia="Times New Roman" w:hAnsi="Times New Roman"/>
          <w:sz w:val="18"/>
          <w:szCs w:val="18"/>
          <w:color w:val="auto"/>
        </w:rPr>
        <w:t>”). If such expenses for any Operating Year exceed the Estimated Operating Expenses paid by Tenant to Landlord pursuant to Section 5(a), Tenant shall pay Tenant’s Proportionate Share of the amount of such excess to Landlord as additional rent within thirty (30) days after receipt by Tenant of such statement. If such statement shows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540" w:top="268" w:right="539" w:bottom="1440" w:gutter="0" w:footer="0" w:header="0"/>
        </w:sectPr>
      </w:pPr>
    </w:p>
    <w:bookmarkStart w:id="608" w:name="page609"/>
    <w:bookmarkEnd w:id="60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Tenant’s Proportionate Share of such expenses to be less than the amount paid by Tenant to Landlord pursuant to Section 5(a), then the amount of such overpayment shall be paid by Landlord to Tenant within thirty (30) days following the date of such statement or, at Landlord’s option, credited by Landlord to the payment of rent next due (which amount, if credited, shall be communicated to Tenant in writing). Landlord’s failure to give such notice and statement within one hundred twenty (120) days after the close of any Operating Year shall not release either party from the obligation to make the adjustment provided for in this Section 5(b). The determination of Actual Operating Expenses and Estimated Operating Expenses shall be made by Landlord.</w:t>
      </w:r>
    </w:p>
    <w:p>
      <w:pPr>
        <w:spacing w:after="0" w:line="184" w:lineRule="exact"/>
        <w:rPr>
          <w:sz w:val="20"/>
          <w:szCs w:val="20"/>
          <w:color w:val="auto"/>
        </w:rPr>
      </w:pPr>
    </w:p>
    <w:p>
      <w:pPr>
        <w:ind w:right="60" w:firstLine="990"/>
        <w:spacing w:after="0" w:line="263" w:lineRule="auto"/>
        <w:tabs>
          <w:tab w:leader="none" w:pos="1224"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xml:space="preserve"> Any payments pursuant to this Section 5 shall be additional rent payable by Tenant hereunder, and in the event of nonpayment thereof, Landlord shall have the same rights with respect to such nonpayment as it has with respect to any other nonpayment of rent hereunder.</w:t>
      </w:r>
    </w:p>
    <w:p>
      <w:pPr>
        <w:spacing w:after="0" w:line="175" w:lineRule="exact"/>
        <w:rPr>
          <w:rFonts w:ascii="Times New Roman" w:cs="Times New Roman" w:eastAsia="Times New Roman" w:hAnsi="Times New Roman"/>
          <w:sz w:val="18"/>
          <w:szCs w:val="18"/>
          <w:color w:val="auto"/>
        </w:rPr>
      </w:pPr>
    </w:p>
    <w:p>
      <w:pPr>
        <w:jc w:val="both"/>
        <w:ind w:right="20" w:firstLine="990"/>
        <w:spacing w:after="0" w:line="268" w:lineRule="auto"/>
        <w:tabs>
          <w:tab w:leader="none" w:pos="1234"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End of Term</w:t>
      </w:r>
      <w:r>
        <w:rPr>
          <w:rFonts w:ascii="Times New Roman" w:cs="Times New Roman" w:eastAsia="Times New Roman" w:hAnsi="Times New Roman"/>
          <w:sz w:val="17"/>
          <w:szCs w:val="17"/>
          <w:color w:val="auto"/>
        </w:rPr>
        <w:t>. If this Lease shall terminate on a day other than the last day of an Operating Year, the amount of any adjustment between Estimated Operating Expenses and Actual Operating Expenses with respect to the Operating Year in which such termination occurs shall be prorated on the basis which the number of days from the commencement of such Operating Year, to and including such termination date, bears to three hundred sixty-five (365); and any amount payable by Landlord to Tenant or Tenant to Landlord with respect to such adjustment shall be payable within thirty</w:t>
      </w:r>
    </w:p>
    <w:p>
      <w:pPr>
        <w:spacing w:after="0" w:line="1" w:lineRule="exact"/>
        <w:rPr>
          <w:rFonts w:ascii="Times New Roman" w:cs="Times New Roman" w:eastAsia="Times New Roman" w:hAnsi="Times New Roman"/>
          <w:sz w:val="17"/>
          <w:szCs w:val="17"/>
          <w:color w:val="auto"/>
        </w:rPr>
      </w:pPr>
    </w:p>
    <w:p>
      <w:pPr>
        <w:ind w:right="140" w:firstLine="7"/>
        <w:spacing w:after="0" w:line="256" w:lineRule="auto"/>
        <w:tabs>
          <w:tab w:leader="none" w:pos="34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delivery of the statement of Actual Operating Expenses with respect to such Operating Year. The obligations of Tenant and Landlord to make adjusting payments pursuant to this Section </w:t>
      </w:r>
      <w:r>
        <w:rPr>
          <w:rFonts w:ascii="Times New Roman" w:cs="Times New Roman" w:eastAsia="Times New Roman" w:hAnsi="Times New Roman"/>
          <w:sz w:val="18"/>
          <w:szCs w:val="18"/>
          <w:i w:val="1"/>
          <w:iCs w:val="1"/>
          <w:color w:val="auto"/>
        </w:rPr>
        <w:t>5</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81"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shall have the respective meanings hereinafter specified:</w:t>
      </w:r>
    </w:p>
    <w:p>
      <w:pPr>
        <w:spacing w:after="0" w:line="217" w:lineRule="exact"/>
        <w:rPr>
          <w:sz w:val="20"/>
          <w:szCs w:val="20"/>
          <w:color w:val="auto"/>
        </w:rPr>
      </w:pPr>
    </w:p>
    <w:p>
      <w:pPr>
        <w:ind w:right="20" w:firstLine="990"/>
        <w:spacing w:after="0" w:line="253" w:lineRule="auto"/>
        <w:tabs>
          <w:tab w:leader="none" w:pos="119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Amount</w:t>
      </w:r>
      <w:r>
        <w:rPr>
          <w:rFonts w:ascii="Times New Roman" w:cs="Times New Roman" w:eastAsia="Times New Roman" w:hAnsi="Times New Roman"/>
          <w:sz w:val="18"/>
          <w:szCs w:val="18"/>
          <w:color w:val="auto"/>
        </w:rPr>
        <w:t>” shall mean an amount equal to the Actual Operating Expenses for the Base Year (as defined in the Basic Lease Information); provided that if less than ninety-five percent (95%) of the total Rentable Area of the Project is occupied during the Base Year, then the Actual Operating Expenses actually incurred for the Base Year shall be adjusted by Landlord to the amount which would have been incurred if ninety-five percent (95%) of the total Rentable Area of the Project had been completed with tenant improvements and occupied for the entire Base Year. In addition, If Landlord includes any Operating Expenses in any year following the Base Year for services or items that were not included in the Base Year (as opposed to increases in existing services or items), then, for the purposes of this Lease, the additional expense shall be included in the Actual Operating Expenses for the Base Year for a period of 12 months following the date the additional charge or cost first occurs and Landlord has included in Operating Expenses as if such expense occurred during the Base Year.</w:t>
      </w:r>
    </w:p>
    <w:p>
      <w:pPr>
        <w:spacing w:after="0" w:line="180" w:lineRule="exact"/>
        <w:rPr>
          <w:rFonts w:ascii="Times New Roman" w:cs="Times New Roman" w:eastAsia="Times New Roman" w:hAnsi="Times New Roman"/>
          <w:sz w:val="18"/>
          <w:szCs w:val="18"/>
          <w:color w:val="auto"/>
        </w:rPr>
      </w:pPr>
    </w:p>
    <w:p>
      <w:pPr>
        <w:ind w:right="220" w:firstLine="990"/>
        <w:spacing w:after="0" w:line="259" w:lineRule="auto"/>
        <w:tabs>
          <w:tab w:leader="none" w:pos="124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Areas</w:t>
      </w:r>
      <w:r>
        <w:rPr>
          <w:rFonts w:ascii="Times New Roman" w:cs="Times New Roman" w:eastAsia="Times New Roman" w:hAnsi="Times New Roman"/>
          <w:sz w:val="18"/>
          <w:szCs w:val="18"/>
          <w:color w:val="auto"/>
        </w:rPr>
        <w:t>” shall, subject to Section 42, mean the areas of the Building and the Project devoted by Landlord to non-exclusive uses such as lobbies, fire vestibules, rest rooms, mechanical areas, tenant and ground floor corridors, elevator foyers, electrical and janitorial closets, ground floor lobbies, telephone and equipment rooms, parking areas (if any), landscaping and other similar facilities maintained for the benefit of Building tenants and invitees.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8" w:right="539" w:bottom="1440" w:gutter="0" w:footer="0" w:header="0"/>
        </w:sectPr>
      </w:pPr>
    </w:p>
    <w:bookmarkStart w:id="609" w:name="page610"/>
    <w:bookmarkEnd w:id="609"/>
    <w:p>
      <w:pPr>
        <w:ind w:left="1293" w:hanging="310"/>
        <w:spacing w:after="0"/>
        <w:tabs>
          <w:tab w:leader="none" w:pos="1293"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Operating Year</w:t>
      </w:r>
      <w:r>
        <w:rPr>
          <w:rFonts w:ascii="Times New Roman" w:cs="Times New Roman" w:eastAsia="Times New Roman" w:hAnsi="Times New Roman"/>
          <w:sz w:val="18"/>
          <w:szCs w:val="18"/>
          <w:color w:val="auto"/>
        </w:rPr>
        <w:t>” shall mean a calendar year commencing January 1 and ending December 31.</w:t>
      </w:r>
    </w:p>
    <w:p>
      <w:pPr>
        <w:spacing w:after="0" w:line="220" w:lineRule="exact"/>
        <w:rPr>
          <w:rFonts w:ascii="Times New Roman" w:cs="Times New Roman" w:eastAsia="Times New Roman" w:hAnsi="Times New Roman"/>
          <w:sz w:val="18"/>
          <w:szCs w:val="18"/>
          <w:color w:val="auto"/>
        </w:rPr>
      </w:pPr>
    </w:p>
    <w:p>
      <w:pPr>
        <w:ind w:left="-7" w:right="200" w:firstLine="990"/>
        <w:spacing w:after="0" w:line="267" w:lineRule="auto"/>
        <w:tabs>
          <w:tab w:leader="none" w:pos="1277" w:val="left"/>
        </w:tabs>
        <w:numPr>
          <w:ilvl w:val="1"/>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Operating Expenses</w:t>
      </w:r>
      <w:r>
        <w:rPr>
          <w:rFonts w:ascii="Times New Roman" w:cs="Times New Roman" w:eastAsia="Times New Roman" w:hAnsi="Times New Roman"/>
          <w:sz w:val="17"/>
          <w:szCs w:val="17"/>
          <w:color w:val="auto"/>
        </w:rPr>
        <w:t>” shall mean all expenses Landlord has paid or incurred, or become obligated to pay or incur, for maintaining, owning, operating and repairing the Project, including, without limitation, the Building, and the personal property used in conjunction therewith, including, but not limited to expenses incurred or paid for: (i) Property Taxes (as hereinafter defined); (ii) utilities for the Project, including but not limited to electricity, power, gas, steam, oil or other fuel, water, sewer, lighting, heating, air conditioning and ventilating; (iii) permits, licenses and certificates necessary to operate, manage and lease the Project; (iv) insurance Landlord deems appropriate to carry; (v) supplies, tools, equipment and materials used in the operation, repair and maintenance of the Project; (vi) accounting, legal, inspection, consulting, concierge and other services;</w:t>
      </w:r>
    </w:p>
    <w:p>
      <w:pPr>
        <w:spacing w:after="0" w:line="1" w:lineRule="exact"/>
        <w:rPr>
          <w:rFonts w:ascii="Times New Roman" w:cs="Times New Roman" w:eastAsia="Times New Roman" w:hAnsi="Times New Roman"/>
          <w:sz w:val="17"/>
          <w:szCs w:val="17"/>
          <w:color w:val="auto"/>
        </w:rPr>
      </w:pPr>
    </w:p>
    <w:p>
      <w:pPr>
        <w:ind w:left="-7" w:firstLine="7"/>
        <w:spacing w:after="0" w:line="262" w:lineRule="auto"/>
        <w:tabs>
          <w:tab w:leader="none" w:pos="344"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rental (or installment equipment purchase or equipment financing agreements); (viii) management agreements (including the cost of any management fee actually paid thereunder and the fair rental value of any office space provided thereunder, up to customary and reasonable amounts);</w:t>
      </w:r>
    </w:p>
    <w:p>
      <w:pPr>
        <w:spacing w:after="0" w:line="1" w:lineRule="exact"/>
        <w:rPr>
          <w:rFonts w:ascii="Times New Roman" w:cs="Times New Roman" w:eastAsia="Times New Roman" w:hAnsi="Times New Roman"/>
          <w:sz w:val="17"/>
          <w:szCs w:val="17"/>
          <w:color w:val="auto"/>
        </w:rPr>
      </w:pPr>
    </w:p>
    <w:p>
      <w:pPr>
        <w:ind w:left="-7" w:firstLine="7"/>
        <w:spacing w:after="0" w:line="248" w:lineRule="auto"/>
        <w:tabs>
          <w:tab w:leader="none" w:pos="29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salaries and other compensation and benefits (including the fair value of any parking privileges provided) for all persons engaged in the operation, maintenance or security of the Project at or below the level of Director of Operations, and employer’s Social Security taxes, unemployment taxes or insurance, and any other taxes which may be levied on such wages, salaries, compensation and benefits; (x) payments under any easement, operating agreement, declaration, restrictive covenant, or instrument pertaining to the sharing of costs in any planned development or similar arrangement; (xi) operation, repair and maintenance of all systems and equipment and components thereof (including replacement of components, subject to the limitations on capital expenditures set forth below); (xii) janitorial service, alarm and security service, window cleaning, trash removal, elevator maintenance, and cleaning of walks, parking facilities (if any) and building walls; (xiii) replacement of wall and floor coverings, ceiling tiles and fixtures in lobbies, corridors, restrooms and other common or public areas or facilities; (xiv) maintenance and replacement of shrubs, trees, grass, sod and other landscape items, irrigation systems, drainage facilities, fences, curbs, and walkways; (xv) re-paving and re-striping parking facilities (if any); (xvi) roof repairs and replacement; and (xvii) capital expenditures made primarily to reduce Operating Expenses, or to comply with any laws or other governmental requirements which were not applicable as of the date of the Commencement Date, or for repairs or replacements (as opposed to additions or new improvements) of non-structural items located in the Common Areas of the Project required to keep such areas in good condition, which capital expenditures shall be amortized for purposes of this Lease over the useful lives as reasonable determined by Landlord; provided however, for any such capital expenditure which is intended to reduce Operating Expenses, in no event shall the amortized costs of such expenditure exceed the amount of actual savings on a monthly basis. Notwithstanding the foregoing, Operating Expenses shall not include (a) depreciation, interest and amortization on mortgages or other debt costs or ground lease payments, if any; (b) legal fees in connection with leasing, tenant disputes or enforcement of leases; (c) real estate brokers’ leasing commissions and advertising costs; (d) improvements or alterations to tenant spaces; (e) the cost of providing any service (including after hours HVAC) directly to and paid directly by, any other tenant of the Project (other than</w:t>
      </w:r>
    </w:p>
    <w:p>
      <w:pPr>
        <w:spacing w:after="0" w:line="130"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73"/>
          </w:cols>
          <w:pgMar w:left="487" w:top="264" w:right="539" w:bottom="1440" w:gutter="0" w:footer="0" w:header="0"/>
        </w:sectPr>
      </w:pPr>
    </w:p>
    <w:bookmarkStart w:id="610" w:name="page611"/>
    <w:bookmarkEnd w:id="610"/>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through payment of a proportionate share of Actual Operating Expenses or other similar general operating expense reimbursement procedure); (f) costs of any items to the extent Landlord receives reimbursement from insurance proceeds or from a third party (such proceeds to be deducted from Operating Expenses in the year in which received); (g) capital expenditures except those capital expenditures made primarily to reduce Operating Expenses, or to comply with any laws or other governmental requirements, or for repairs or replacements (as opposed to additions or new improvements) of non-structural items located in the Common Areas of the Project required to keep such areas in good condition and which are amortized as set forth above, (h) costs incurred by Landlord which are associated with the operation of the business of the legal entity which constitutes Landlord as the same is separate and apart from the cost of the maintenance, operation and repair of the Project, including legal entity formation and legal entity accounting (including the incremental accounting fees relating to the operation of the Building to the extent incurred separately in reporting operating results to the Building’s owners or lenders); (i) costs incurred by Landlord due to the violation by Landlord or any other specific tenant of the terms and condition of any lease of space in the Building or Project, which would not have otherwise been incurred in the absence of such violation, (j) any amount paid to Landlord or to subsidiaries or affiliates of Landlord for goods and/or services to the extent the same exceeds the costs of such provided by unaffiliated third parties on a competitive basis, (k) costs (including legal expenses and all costs related to remediation) incurred by Landlord in connection with the investigation or remediation of Hazardous Materials, to the extent (and only to the extent) that such Hazardous Materials were present on the Project as of the Commencement Date, and were not brought onto the Project by Tenant or its agents, employees or contractors; (l) any structure repairs or repairs to correct any defects in design or construction of the Project; and (m) any management fee, administrative fee and mark-ups, which, in the aggregate, exceed three percent (3%) of the gross rents for the Project.</w:t>
      </w:r>
    </w:p>
    <w:p>
      <w:pPr>
        <w:spacing w:after="0" w:line="184" w:lineRule="exact"/>
        <w:rPr>
          <w:sz w:val="20"/>
          <w:szCs w:val="20"/>
          <w:color w:val="auto"/>
        </w:rPr>
      </w:pPr>
    </w:p>
    <w:p>
      <w:pPr>
        <w:ind w:right="60" w:firstLine="990"/>
        <w:spacing w:after="0" w:line="265" w:lineRule="auto"/>
        <w:tabs>
          <w:tab w:leader="none" w:pos="123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Operating Expenses</w:t>
      </w:r>
      <w:r>
        <w:rPr>
          <w:rFonts w:ascii="Times New Roman" w:cs="Times New Roman" w:eastAsia="Times New Roman" w:hAnsi="Times New Roman"/>
          <w:sz w:val="18"/>
          <w:szCs w:val="18"/>
          <w:color w:val="auto"/>
        </w:rPr>
        <w:t>” shall mean Landlord’s estimate of Operating Expenses for the following Operating Year, adjusted, if (at any time during the entire Operating Year) less than ninety-five percent (95%) of the total Rentable Area of the Project had been occupied, as if ninety-five percent (95%) of the total Rentable Area of the Project had been occupied for the entire Operating Year.</w:t>
      </w:r>
    </w:p>
    <w:p>
      <w:pPr>
        <w:spacing w:after="0" w:line="170" w:lineRule="exact"/>
        <w:rPr>
          <w:rFonts w:ascii="Times New Roman" w:cs="Times New Roman" w:eastAsia="Times New Roman" w:hAnsi="Times New Roman"/>
          <w:sz w:val="18"/>
          <w:szCs w:val="18"/>
          <w:color w:val="auto"/>
        </w:rPr>
      </w:pPr>
    </w:p>
    <w:p>
      <w:pPr>
        <w:ind w:right="20" w:firstLine="990"/>
        <w:spacing w:after="0" w:line="265" w:lineRule="auto"/>
        <w:tabs>
          <w:tab w:leader="none" w:pos="128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Actual Operating Expenses</w:t>
      </w:r>
      <w:r>
        <w:rPr>
          <w:rFonts w:ascii="Times New Roman" w:cs="Times New Roman" w:eastAsia="Times New Roman" w:hAnsi="Times New Roman"/>
          <w:sz w:val="18"/>
          <w:szCs w:val="18"/>
          <w:color w:val="auto"/>
        </w:rPr>
        <w:t>” shall mean the actual Operating Expenses for any Operating Year, adjusted, if (at any time during the entire Operating Year) less than ninety-five percent (95%) of the total Rentable Area of the Project had been occupied, as if ninety-five percent (95%) of the total Rentable Area of the Project had been occupied for the entire Operating Year.</w:t>
      </w:r>
    </w:p>
    <w:p>
      <w:pPr>
        <w:spacing w:after="0" w:line="170" w:lineRule="exact"/>
        <w:rPr>
          <w:rFonts w:ascii="Times New Roman" w:cs="Times New Roman" w:eastAsia="Times New Roman" w:hAnsi="Times New Roman"/>
          <w:sz w:val="18"/>
          <w:szCs w:val="18"/>
          <w:color w:val="auto"/>
        </w:rPr>
      </w:pPr>
    </w:p>
    <w:p>
      <w:pPr>
        <w:ind w:right="80" w:firstLine="990"/>
        <w:spacing w:after="0" w:line="253" w:lineRule="auto"/>
        <w:tabs>
          <w:tab w:leader="none" w:pos="133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 Taxes</w:t>
      </w:r>
      <w:r>
        <w:rPr>
          <w:rFonts w:ascii="Times New Roman" w:cs="Times New Roman" w:eastAsia="Times New Roman" w:hAnsi="Times New Roman"/>
          <w:sz w:val="18"/>
          <w:szCs w:val="18"/>
          <w:color w:val="auto"/>
        </w:rPr>
        <w:t>” shall mean all real and personal property taxes and assessments and charges imposed by any governmental authority or agency on the Project; any assessments levied in lieu of such taxes; any tax on or measured by gross rents received from the rental of space in the Project; and any other costs levied or assessed by, or at the direction of, any federal, state, or local government authority in connection with the use or occupancy of the Project or the Premises or the parking facilities (if any) serving the Project; any tax on this transaction or any document to which Tenant is a party creating or transferring an interest in the Premises, and any expenses, including the reasonable cost of attorneys or experts, incurred by Landlord in seeking reduction by the taxing authority of the above-referenced taxes (but in no event more than the actual reduction received), less any tax refunds obtained as a result of an application for review thereof; but shall not include any net income, franchise, estate, inheritance taxes or documentary transfer taxes (other than with respect to this Lease).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7" w:right="519" w:bottom="1440" w:gutter="0" w:footer="0" w:header="0"/>
        </w:sectPr>
      </w:pPr>
    </w:p>
    <w:bookmarkStart w:id="611" w:name="page612"/>
    <w:bookmarkEnd w:id="611"/>
    <w:p>
      <w:pPr>
        <w:jc w:val="both"/>
        <w:ind w:left="-7" w:right="80" w:firstLine="444"/>
        <w:spacing w:after="0" w:line="270" w:lineRule="auto"/>
        <w:tabs>
          <w:tab w:leader="none" w:pos="607" w:val="left"/>
        </w:tabs>
        <w:numPr>
          <w:ilvl w:val="1"/>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USE OF THE PREMISES. Tenant agrees that it will use the Premises for general office and administrative purposes, and for no other business or purpose. The foregoing notwithstanding, Tenant shall not permit the Premises or any part thereof to be used for (i) offices of any agency or bureau of the United States or any state or political subdivision thereof; (ii) offices or agencies of any foreign government or political subdivision thereof;</w:t>
      </w:r>
    </w:p>
    <w:p>
      <w:pPr>
        <w:spacing w:after="0" w:line="1" w:lineRule="exact"/>
        <w:rPr>
          <w:rFonts w:ascii="Times New Roman" w:cs="Times New Roman" w:eastAsia="Times New Roman" w:hAnsi="Times New Roman"/>
          <w:sz w:val="17"/>
          <w:szCs w:val="17"/>
          <w:color w:val="auto"/>
        </w:rPr>
      </w:pPr>
    </w:p>
    <w:p>
      <w:pPr>
        <w:ind w:left="-7" w:firstLine="7"/>
        <w:spacing w:after="0" w:line="262" w:lineRule="auto"/>
        <w:tabs>
          <w:tab w:leader="none" w:pos="305"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offices of any health care professionals or service organization, except for administrative offices where no diagnostic, treatment or laboratory services are performed; (iv) schools or other training facilities (other than employee or customer training) that are not ancillary to executive, professional or corporate administrative office use; (v) retail or restaurant uses; (vi) broadcast studios or other broadcast production facilities, such as radio and/or television stations; (vii) product display or demonstration facilities; (viii) offices at which deposits or bills are regularly paid in person by customers;</w:t>
      </w:r>
    </w:p>
    <w:p>
      <w:pPr>
        <w:spacing w:after="0" w:line="2" w:lineRule="exact"/>
        <w:rPr>
          <w:rFonts w:ascii="Times New Roman" w:cs="Times New Roman" w:eastAsia="Times New Roman" w:hAnsi="Times New Roman"/>
          <w:sz w:val="17"/>
          <w:szCs w:val="17"/>
          <w:color w:val="auto"/>
        </w:rPr>
      </w:pPr>
    </w:p>
    <w:p>
      <w:pPr>
        <w:ind w:left="-7" w:right="20" w:firstLine="7"/>
        <w:spacing w:after="0" w:line="249" w:lineRule="auto"/>
        <w:tabs>
          <w:tab w:leader="none" w:pos="29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agencies, except offices of executive search firms; (x) biological research or testing laboratories; or (xi) the licensing or subleasing of space within the Premises to others as a primary business, including executive suite operations. Tenant shall not during the Term commit or allow to be committed any waste upon the Premises, or any public or private nuisance in or around the Project, allow any sale by auction upon the Premises, place any loads upon the floor, walls, or ceiling of the Premises which will or may endanger the Building, use any apparatus, machinery or device in or about the Premises which will cause any substantial noise or vibration or in any manner damage the Building, place any harmful liquids in the drainage system or in the soils surrounding the Project, or disturb or unreasonably interfere with other tenants of the Project. If any of Tenant’s office machines or equipment disturbs the quiet enjoyment of any other tenant in the Building, then Tenant shall provide adequate insulation, or take such other action as may be necessary to eliminate the disturbance, all at Tenant’s sole cost and expense.</w:t>
      </w:r>
    </w:p>
    <w:p>
      <w:pPr>
        <w:spacing w:after="0" w:line="189" w:lineRule="exact"/>
        <w:rPr>
          <w:rFonts w:ascii="Times New Roman" w:cs="Times New Roman" w:eastAsia="Times New Roman" w:hAnsi="Times New Roman"/>
          <w:sz w:val="18"/>
          <w:szCs w:val="18"/>
          <w:color w:val="auto"/>
        </w:rPr>
      </w:pPr>
    </w:p>
    <w:p>
      <w:pPr>
        <w:ind w:left="613" w:hanging="176"/>
        <w:spacing w:after="0"/>
        <w:tabs>
          <w:tab w:leader="none" w:pos="613"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AND ACCEPTANCE OF PREMISES.</w:t>
      </w:r>
    </w:p>
    <w:p>
      <w:pPr>
        <w:spacing w:after="0" w:line="220" w:lineRule="exact"/>
        <w:rPr>
          <w:rFonts w:ascii="Times New Roman" w:cs="Times New Roman" w:eastAsia="Times New Roman" w:hAnsi="Times New Roman"/>
          <w:sz w:val="18"/>
          <w:szCs w:val="18"/>
          <w:color w:val="auto"/>
        </w:rPr>
      </w:pPr>
    </w:p>
    <w:p>
      <w:pPr>
        <w:ind w:left="-7" w:right="480" w:firstLine="990"/>
        <w:spacing w:after="0" w:line="308" w:lineRule="auto"/>
        <w:tabs>
          <w:tab w:leader="none" w:pos="1217" w:val="left"/>
        </w:tabs>
        <w:numPr>
          <w:ilvl w:val="2"/>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of Tenant Improvements.</w:t>
      </w:r>
      <w:r>
        <w:rPr>
          <w:rFonts w:ascii="Times New Roman" w:cs="Times New Roman" w:eastAsia="Times New Roman" w:hAnsi="Times New Roman"/>
          <w:sz w:val="17"/>
          <w:szCs w:val="17"/>
          <w:color w:val="auto"/>
        </w:rPr>
        <w:t xml:space="preserve"> Landlord, at its sole cost and expense, shall construct those improvements in the Premises described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pursuant to the provisions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Such improvements are referred to in this Lease as the “</w:t>
      </w:r>
      <w:r>
        <w:rPr>
          <w:rFonts w:ascii="Times New Roman" w:cs="Times New Roman" w:eastAsia="Times New Roman" w:hAnsi="Times New Roman"/>
          <w:sz w:val="17"/>
          <w:szCs w:val="17"/>
          <w:b w:val="1"/>
          <w:bCs w:val="1"/>
          <w:i w:val="1"/>
          <w:iCs w:val="1"/>
          <w:color w:val="auto"/>
        </w:rPr>
        <w:t>Tenant Improvements</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ind w:left="-7" w:firstLine="990"/>
        <w:spacing w:after="0" w:line="274" w:lineRule="auto"/>
        <w:tabs>
          <w:tab w:leader="none" w:pos="1227" w:val="left"/>
        </w:tabs>
        <w:numPr>
          <w:ilvl w:val="2"/>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 of Premises by Tenant</w:t>
      </w:r>
      <w:r>
        <w:rPr>
          <w:rFonts w:ascii="Times New Roman" w:cs="Times New Roman" w:eastAsia="Times New Roman" w:hAnsi="Times New Roman"/>
          <w:sz w:val="17"/>
          <w:szCs w:val="17"/>
          <w:color w:val="auto"/>
        </w:rPr>
        <w:t xml:space="preserve">. Subject to Substantial Completion of the Tenant Improvements as further provided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the taking of possession of the Premises by Tenant shall be conclusive evidence that Tenant accepts the same and the Tenant Improvements “as is” and that the Premises, the Project and the Building are suited for the use intended by Tenant and were in satisfactory condition at the time such possession was taken, except for the completion of punchlist items. Landlord and Tenant shall inspect the Premises after the improvements to be constructed in the Premises by Landlord are Substantially Complete, as that term is defined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and shall together prepare a punchlist, as provided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13"/>
          </w:cols>
          <w:pgMar w:left="487" w:top="268" w:right="499" w:bottom="1440" w:gutter="0" w:footer="0" w:header="0"/>
        </w:sectPr>
      </w:pPr>
    </w:p>
    <w:bookmarkStart w:id="612" w:name="page613"/>
    <w:bookmarkEnd w:id="612"/>
    <w:p>
      <w:pPr>
        <w:ind w:left="-20" w:right="100" w:firstLine="990"/>
        <w:spacing w:after="0" w:line="253" w:lineRule="auto"/>
        <w:tabs>
          <w:tab w:leader="none" w:pos="120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Suitability of Premises.</w:t>
      </w:r>
      <w:r>
        <w:rPr>
          <w:rFonts w:ascii="Times New Roman" w:cs="Times New Roman" w:eastAsia="Times New Roman" w:hAnsi="Times New Roman"/>
          <w:sz w:val="18"/>
          <w:szCs w:val="18"/>
          <w:color w:val="auto"/>
        </w:rPr>
        <w:t xml:space="preserve"> Landlord shall have no obligation whatsoever to construct leasehold improvements for Tenant or to repair or refurbish the Premises, except as specifically set forth in Sections 8(a), 9(a), 19 and 20 or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Landlord or Landlord’s agents have made no representations or promises with respect to the Project, the Building, the Premises or this Lease except as expressly set forth herein. Tenant represents and warrants to Landlord that its sole intended use of the Premises is for office use which has no special requirements, including but not limited to, special security requirements, that it does not intend to use the Premises for any other purpose, and that prior to executing this Lease it has made such investigations as it deems appropriate with respect to the suitability of the Premises for its intended use and has determined that the Premises is suitable for such intended use.</w:t>
      </w:r>
    </w:p>
    <w:p>
      <w:pPr>
        <w:spacing w:after="0" w:line="184" w:lineRule="exact"/>
        <w:rPr>
          <w:rFonts w:ascii="Times New Roman" w:cs="Times New Roman" w:eastAsia="Times New Roman" w:hAnsi="Times New Roman"/>
          <w:sz w:val="18"/>
          <w:szCs w:val="18"/>
          <w:color w:val="auto"/>
        </w:rPr>
      </w:pPr>
    </w:p>
    <w:p>
      <w:pPr>
        <w:ind w:left="-20" w:right="80" w:firstLine="990"/>
        <w:spacing w:after="0" w:line="258" w:lineRule="auto"/>
        <w:tabs>
          <w:tab w:leader="none" w:pos="1214"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 by a CASp in Accordance with Civil Code § 1938</w:t>
      </w:r>
      <w:r>
        <w:rPr>
          <w:rFonts w:ascii="Times New Roman" w:cs="Times New Roman" w:eastAsia="Times New Roman" w:hAnsi="Times New Roman"/>
          <w:sz w:val="18"/>
          <w:szCs w:val="18"/>
          <w:color w:val="auto"/>
        </w:rPr>
        <w:t>. To Landlord’s actual knowledge, the property being leased or rented pursuant to this Lease has not undergone inspection by a Certified Access Specialist (CASp). The foregoing verification is included in this Lease solely for the purpose of complying with California Civil Code Section 1938 and shall not in any manner affect Landlord’s and Tenant’s respective responsibilities for compliance with construction-related accessibility standards as provided under this Lease.</w:t>
      </w:r>
    </w:p>
    <w:p>
      <w:pPr>
        <w:spacing w:after="0" w:line="179"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w:t>
      </w:r>
    </w:p>
    <w:p>
      <w:pPr>
        <w:spacing w:after="0" w:line="220" w:lineRule="exact"/>
        <w:rPr>
          <w:rFonts w:ascii="Times New Roman" w:cs="Times New Roman" w:eastAsia="Times New Roman" w:hAnsi="Times New Roman"/>
          <w:sz w:val="18"/>
          <w:szCs w:val="18"/>
          <w:color w:val="auto"/>
        </w:rPr>
      </w:pPr>
    </w:p>
    <w:p>
      <w:pPr>
        <w:ind w:left="-20" w:firstLine="990"/>
        <w:spacing w:after="0" w:line="250" w:lineRule="auto"/>
        <w:tabs>
          <w:tab w:leader="none" w:pos="1204"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Services</w:t>
      </w:r>
      <w:r>
        <w:rPr>
          <w:rFonts w:ascii="Times New Roman" w:cs="Times New Roman" w:eastAsia="Times New Roman" w:hAnsi="Times New Roman"/>
          <w:sz w:val="18"/>
          <w:szCs w:val="18"/>
          <w:color w:val="auto"/>
        </w:rPr>
        <w:t>. Landlord shall, as a standard service, maintain the public and Common Areas of the Project and the Building, such as lobbies, stairs, corridors and restrooms, in good order and condition and shall perform those maintenance and repair obligations specified in Section 9(a) below, except for damage or repair occasioned by the acts or omissions of Tenant Parties (as defined in Section 23(c)), which shall be repaired at Tenant’s sole cost and expense. Landlord shall provide five (5) days per week standard janitorial services to the Premises, including to the restrooms (if any) located within the Premises. Landlord shall furnish the Premises with electricity for lighting and operation of low power usage office machines and elevator service at all times during the Term. Landlord shall furnish the Premises with Building standard heating or Building standard office air conditioning between the hours of 8:00 a.m. and 6:00 p.m., Monday through Friday, except for legal holidays. Air conditioning units and electricity therefor or special air conditioning requirements, such as for any computer centers, and after-hours heating and air conditioning shall be at Tenant’s expense at an hourly rate established by Landlord in its reasonable discretion from time to time. Tenant shall be solely responsible for the repair and maintenance of any separate heating, ventilating, air conditioning or other equipment installed in the Premises by Tenant (with Landlord’s consent) or by Landlord as part of the Tenant Improvements. Landlord shall also provide lighting replacement for Landlord-furnished lighting, toilet room supplies, window washing with reasonable frequency and customary janitorial service. Landlord shall not be liable to Tenant for any loss or damage caused by or resulting from any variation, interruption or failure of said services due to any cause whatsoever; and no temporary interruption or failure of such services shall be deemed an eviction of Tenant or relieve Tenant from any of Tenant’s obligations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500" w:top="269" w:right="519" w:bottom="1440" w:gutter="0" w:footer="0" w:header="0"/>
        </w:sectPr>
      </w:pPr>
    </w:p>
    <w:bookmarkStart w:id="613" w:name="page614"/>
    <w:bookmarkEnd w:id="613"/>
    <w:p>
      <w:pPr>
        <w:ind w:left="-20" w:firstLine="990"/>
        <w:spacing w:after="0" w:line="251" w:lineRule="auto"/>
        <w:tabs>
          <w:tab w:leader="none" w:pos="1214"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Overstandard Use</w:t>
      </w:r>
      <w:r>
        <w:rPr>
          <w:rFonts w:ascii="Times New Roman" w:cs="Times New Roman" w:eastAsia="Times New Roman" w:hAnsi="Times New Roman"/>
          <w:sz w:val="18"/>
          <w:szCs w:val="18"/>
          <w:color w:val="auto"/>
        </w:rPr>
        <w:t>. Tenant shall not, without Landlord’s prior written consent, use heat-generating machines, machines other than normal office machines, or equipment or lighting other than the Building standard lights located in the Premises, which may affect the temperature otherwise maintained by the air conditioning system or increase the water normally furnished for the Premises by Landlord. If such consent is given, Landlord shall have the right to install supplementary air conditioning units or other facilities in the Premises, including supplementary or additional metering devices, and the cost thereof, including the cost of installation, operation and maintenance, increased wear and tear on existing equipment and other similar charges, together with an administrative fee in the amount set forth in Section 10(c), shall be paid by Tenant to Landlord upon billing by Landlord. If Tenant uses water or electricity in excess of that supplied by Landlord pursuant to Section 8(a) above, Tenant shall pay to Landlord, upon billing, the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on demand, including the cost of such additional metering devices (including installment costs).</w:t>
      </w:r>
    </w:p>
    <w:p>
      <w:pPr>
        <w:spacing w:after="0" w:line="186" w:lineRule="exact"/>
        <w:rPr>
          <w:rFonts w:ascii="Times New Roman" w:cs="Times New Roman" w:eastAsia="Times New Roman" w:hAnsi="Times New Roman"/>
          <w:sz w:val="18"/>
          <w:szCs w:val="18"/>
          <w:color w:val="auto"/>
        </w:rPr>
      </w:pPr>
    </w:p>
    <w:p>
      <w:pPr>
        <w:ind w:left="-20" w:right="40" w:firstLine="990"/>
        <w:spacing w:after="0" w:line="263" w:lineRule="auto"/>
        <w:tabs>
          <w:tab w:leader="none" w:pos="1204"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Service</w:t>
      </w:r>
      <w:r>
        <w:rPr>
          <w:rFonts w:ascii="Times New Roman" w:cs="Times New Roman" w:eastAsia="Times New Roman" w:hAnsi="Times New Roman"/>
          <w:sz w:val="18"/>
          <w:szCs w:val="18"/>
          <w:color w:val="auto"/>
        </w:rPr>
        <w:t>. Any other provision of this Lease to the contrary notwithstanding, Landlord shall not be obligated to provide security services for the Project or the Premises, and Tenant shall provide at its expense such security as may reasonably be required in connection with the safety of the Premises and Tenant’s employees, contractors and other invitees.</w:t>
      </w:r>
    </w:p>
    <w:p>
      <w:pPr>
        <w:spacing w:after="0" w:line="175"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REPAIRS.</w:t>
      </w:r>
    </w:p>
    <w:p>
      <w:pPr>
        <w:spacing w:after="0" w:line="220" w:lineRule="exact"/>
        <w:rPr>
          <w:rFonts w:ascii="Times New Roman" w:cs="Times New Roman" w:eastAsia="Times New Roman" w:hAnsi="Times New Roman"/>
          <w:sz w:val="18"/>
          <w:szCs w:val="18"/>
          <w:color w:val="auto"/>
        </w:rPr>
      </w:pPr>
    </w:p>
    <w:p>
      <w:pPr>
        <w:ind w:left="-20" w:firstLine="990"/>
        <w:spacing w:after="0" w:line="251" w:lineRule="auto"/>
        <w:tabs>
          <w:tab w:leader="none" w:pos="1204"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Obligations.</w:t>
      </w:r>
      <w:r>
        <w:rPr>
          <w:rFonts w:ascii="Times New Roman" w:cs="Times New Roman" w:eastAsia="Times New Roman" w:hAnsi="Times New Roman"/>
          <w:sz w:val="18"/>
          <w:szCs w:val="18"/>
          <w:color w:val="auto"/>
        </w:rPr>
        <w:t xml:space="preserve"> Landlord shall maintain and keep in good repair the foundations, exterior walls, structural portions of the roof and other structural portions of the Building, and shall maintain the electrical, plumbing, heating and ventilating equipment in the Building, except such portions thereof as may be specially installed for Tenant or otherwise altered by Tenant in connection with Tenant’s work or otherwise; and except that all damage or injury to the Premises, the Building or the equipment and improvements therein caused by any act, neglect, misuse or omission of any duty by Tenant or by any persons who may be in or upon the Premises, the Building or the Project with the express or implied consent of Tenant shall be paid by Tenant. Landlord shall not be liable for any failure to make any such repairs or to perform any maintenance unless such failure shall persist for an unreasonable time after written notice of the need of such repairs or maintenance is given by Tenant to Landlord. Tenant hereby waives and releases its right to make repairs at Landlord’s expense under Sections 1941 and 1942 of the California Civil Code or under any similar law, statute or ordinance now or hereafter in effect. Landlord makes no warranty as to the quality, continuity or availability of the telecommunications services in the Building, and Tenant hereby waives any claim against Landlord for any actual or consequential damages (including damages for loss of business) if Tenant’s telecommunications services in any way are interrupted, damaged or rendered less effective.</w:t>
      </w:r>
    </w:p>
    <w:p>
      <w:pPr>
        <w:spacing w:after="0" w:line="186" w:lineRule="exact"/>
        <w:rPr>
          <w:rFonts w:ascii="Times New Roman" w:cs="Times New Roman" w:eastAsia="Times New Roman" w:hAnsi="Times New Roman"/>
          <w:sz w:val="18"/>
          <w:szCs w:val="18"/>
          <w:color w:val="auto"/>
        </w:rPr>
      </w:pPr>
    </w:p>
    <w:p>
      <w:pPr>
        <w:ind w:left="-20" w:right="60" w:firstLine="990"/>
        <w:spacing w:after="0" w:line="258" w:lineRule="auto"/>
        <w:tabs>
          <w:tab w:leader="none" w:pos="1214"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Obligations.</w:t>
      </w:r>
      <w:r>
        <w:rPr>
          <w:rFonts w:ascii="Times New Roman" w:cs="Times New Roman" w:eastAsia="Times New Roman" w:hAnsi="Times New Roman"/>
          <w:sz w:val="18"/>
          <w:szCs w:val="18"/>
          <w:color w:val="auto"/>
        </w:rPr>
        <w:t xml:space="preserve"> Tenant shall at its expense maintain, repair and replace all portions of the Premises and the equipment or fixtures incorporated therein, except to the extent specified in Sections 8(a), 9(a), 19 or 20, at all times in as good condition, appearance and repair as received, all in accordance with the laws of the State of California and all health, fire, police and other ordinances, regulations and directives of governmental agencies having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8" w:right="519" w:bottom="1440" w:gutter="0" w:footer="0" w:header="0"/>
        </w:sectPr>
      </w:pPr>
    </w:p>
    <w:bookmarkStart w:id="614" w:name="page615"/>
    <w:bookmarkEnd w:id="614"/>
    <w:p>
      <w:pPr>
        <w:ind w:right="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jurisdiction over such matters. Tenant shall replace at Tenant’s sole expense any glass that may be broken in the Premises, and elsewhere in the Building or the Project if done through any fault or negligence of any of the Tenant Parties, with glass of the same size, specifications and quality, with signs thereon, if required.</w:t>
      </w:r>
    </w:p>
    <w:p>
      <w:pPr>
        <w:spacing w:after="0" w:line="175" w:lineRule="exact"/>
        <w:rPr>
          <w:sz w:val="20"/>
          <w:szCs w:val="20"/>
          <w:color w:val="auto"/>
        </w:rPr>
      </w:pPr>
    </w:p>
    <w:p>
      <w:pPr>
        <w:ind w:left="720" w:hanging="276"/>
        <w:spacing w:after="0"/>
        <w:tabs>
          <w:tab w:leader="none" w:pos="7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ALTERATIONS.</w:t>
      </w:r>
    </w:p>
    <w:p>
      <w:pPr>
        <w:spacing w:after="0" w:line="216" w:lineRule="exact"/>
        <w:rPr>
          <w:rFonts w:ascii="Times New Roman" w:cs="Times New Roman" w:eastAsia="Times New Roman" w:hAnsi="Times New Roman"/>
          <w:sz w:val="18"/>
          <w:szCs w:val="18"/>
          <w:color w:val="auto"/>
        </w:rPr>
      </w:pPr>
    </w:p>
    <w:p>
      <w:pPr>
        <w:ind w:right="20" w:firstLine="990"/>
        <w:spacing w:after="0" w:line="252" w:lineRule="auto"/>
        <w:tabs>
          <w:tab w:leader="none" w:pos="1224"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Consent</w:t>
      </w:r>
      <w:r>
        <w:rPr>
          <w:rFonts w:ascii="Times New Roman" w:cs="Times New Roman" w:eastAsia="Times New Roman" w:hAnsi="Times New Roman"/>
          <w:sz w:val="18"/>
          <w:szCs w:val="18"/>
          <w:color w:val="auto"/>
        </w:rPr>
        <w:t>. Tenant shall not make any alterations, additions or improvements (collectively, “</w:t>
      </w:r>
      <w:r>
        <w:rPr>
          <w:rFonts w:ascii="Times New Roman" w:cs="Times New Roman" w:eastAsia="Times New Roman" w:hAnsi="Times New Roman"/>
          <w:sz w:val="18"/>
          <w:szCs w:val="18"/>
          <w:b w:val="1"/>
          <w:bCs w:val="1"/>
          <w:i w:val="1"/>
          <w:iCs w:val="1"/>
          <w:color w:val="auto"/>
        </w:rPr>
        <w:t>Alterations</w:t>
      </w:r>
      <w:r>
        <w:rPr>
          <w:rFonts w:ascii="Times New Roman" w:cs="Times New Roman" w:eastAsia="Times New Roman" w:hAnsi="Times New Roman"/>
          <w:sz w:val="18"/>
          <w:szCs w:val="18"/>
          <w:color w:val="auto"/>
        </w:rPr>
        <w:t>”) in or to the Premises or make changes to locks on doors or add, disturb or in any way change any plumbing or wiring without obtaining the prior written consent of Landlord, which consent shall not be unreasonably withheld provided that the Alterations: (i) comply with all applicable laws, ordinances, rules and regulations; (ii) will not interfere with the use and occupancy of any other portion of the Building by any other tenant or their invitees; (iii) do not affect the structural portions of the Building or the electrical, mechanical or life safety systems of the Building; (iv) do not affect the appearance of the Building from the exterior thereof; (v) will not cause or involve the release of any Hazardous Material; and (vi) do not and will not, whether alone or taken together with other improvements, require the construction of any other improvements or alterations within the Building (unless Tenant agrees in writing to pay the entire cost of the design and construction of such other improvements or alterations and unless such other improvements or alterations would themselves satisfy the foregoing criteria (i) through (vi), inclusive).</w:t>
      </w:r>
    </w:p>
    <w:p>
      <w:pPr>
        <w:spacing w:after="0" w:line="187" w:lineRule="exact"/>
        <w:rPr>
          <w:rFonts w:ascii="Times New Roman" w:cs="Times New Roman" w:eastAsia="Times New Roman" w:hAnsi="Times New Roman"/>
          <w:sz w:val="18"/>
          <w:szCs w:val="18"/>
          <w:color w:val="auto"/>
        </w:rPr>
      </w:pPr>
    </w:p>
    <w:p>
      <w:pPr>
        <w:ind w:firstLine="990"/>
        <w:spacing w:after="0" w:line="250" w:lineRule="auto"/>
        <w:tabs>
          <w:tab w:leader="none" w:pos="1234"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Work</w:t>
      </w:r>
      <w:r>
        <w:rPr>
          <w:rFonts w:ascii="Times New Roman" w:cs="Times New Roman" w:eastAsia="Times New Roman" w:hAnsi="Times New Roman"/>
          <w:sz w:val="18"/>
          <w:szCs w:val="18"/>
          <w:color w:val="auto"/>
        </w:rPr>
        <w:t>. All Alterations shall be made at Tenant’s sole expense and by contractors or mechanics approved by Landlord, which approval shall not be unreasonably withheld. All Alterations shall be made at such times and in such manner as Landlord may from time to time reasonably designate, and, subject to the removal provisions below and the provisions of Section 15(a), shall become the property of Landlord without any obligation to pay therefor at the expiration or earlier termination of this Lease. All work with respect to any Alterations shall be performed in a good and workmanlike manner, shall be of a quality equal to or exceeding the then existing construction standards for the Project and must be of a type, and the floors and ceilings must be finished in a manner, customary for general office use and other uses common to comparable office buildings in the vicinity. Alterations shall be diligently prosecuted to completion to the end that the Premises shall be at all times a complete unit except during the period necessarily required for such work. If any Alteration requires that any improvement or modification be made to the Project which would not otherwise be required to be made at that time (even if such improvement or modification would have been required to be made at some later time), then Tenant shall reimburse Landlord for the cost of such improvement or modification. All Alterations shall be made strictly in accordance with all laws, regulations and ordinances relating thereto, and no interior improvements installed in the Premises may be removed unless the same are promptly replaced with interior improvements of the same or better quality. Landlord hereby reserves the right to require any contractor or mechanic working in the Premises to provide lien waivers and liability insurance covering the Alterations to the Premises and to require Tenant to secure, at Tenant’s sole cost and expense, completion and lien indemnity bonds reasonably satisfactory to Landlord, and/or to require such other instruments as may be reasonably requested by Landlord. fu addition to the foregoing, Tenant shall provide Landlord with evidence that Tenant carries “Builder’s All Risk” insurance in an amount reasonably approved by Landlord covering the construction of such Alterations,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9" w:right="519" w:bottom="1440" w:gutter="0" w:footer="0" w:header="0"/>
        </w:sectPr>
      </w:pPr>
    </w:p>
    <w:bookmarkStart w:id="615" w:name="page616"/>
    <w:bookmarkEnd w:id="615"/>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and such other insurance as Landlord may require, it being understood and agreed that all of such Alterations shall be insured by Tenant pursuant to Section 17(a) of this Lease immediately upon completion thereof. Prior to the performance of any Alterations, Tenant shall allow Landlord to enter the Premises and post appropriate notices to avoid liability to contractors or material suppliers for payment for any Alterations. All Alterations (other than trade fixtures and Tenant’s removable equipment) shall remain in and be surrendered with the Premises as a part thereof at the expiration or earlier termination of this Lease, without disturbance, molestation or injury, provided that Landlord may require any Alterations to be removed upon the expiration or earlier termination of this Lease. In such event, all expenses to restore said space to normal building standards shall be borne by Tenant. If Tenant fails to complete the removal and/or to repair any damage caused by the removal of any Alterations which are required to be removed as provided above, Landlord may do so and may charge the cost thereof to Tenant. The foregoing notwithstanding, if Tenant requests in writing, at the time it requests the consent of Landlord to a proposed Alteration, that Landlord inform Tenant as to whether or not Landlord will require that the proposed Alteration be removed, and if Landlord informs Tenant that it will not request that such Alteration be removed, then Tenant shall not be required to remove the proposed Alteration. In no event shall Tenant be required to remove the Tenant Improvements.</w:t>
      </w:r>
    </w:p>
    <w:p>
      <w:pPr>
        <w:spacing w:after="0" w:line="187" w:lineRule="exact"/>
        <w:rPr>
          <w:sz w:val="20"/>
          <w:szCs w:val="20"/>
          <w:color w:val="auto"/>
        </w:rPr>
      </w:pPr>
    </w:p>
    <w:p>
      <w:pPr>
        <w:ind w:firstLine="990"/>
        <w:spacing w:after="0" w:line="252" w:lineRule="auto"/>
        <w:tabs>
          <w:tab w:leader="none" w:pos="1224"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Expenses; Administrative Fee</w:t>
      </w:r>
      <w:r>
        <w:rPr>
          <w:rFonts w:ascii="Times New Roman" w:cs="Times New Roman" w:eastAsia="Times New Roman" w:hAnsi="Times New Roman"/>
          <w:sz w:val="18"/>
          <w:szCs w:val="18"/>
          <w:color w:val="auto"/>
        </w:rPr>
        <w:t xml:space="preserve">. Tenant shall pay to Landlord, as additional rent, any out-of-pocket costs incurred by Landlord in connection with the review, approval and supervision of the Alterations and for any additional Building services provided to Tenant or to the Premises in connection with any such alterations, additions or improvements which are beyond the normal services provided to occupants of the Building. Tenant shall also pay to Landlord an administration fee equal to three percent (3%) of the cost of the work to compensate Landlord for the administrative costs incurred in the review, approval and supervision of the Alterations (other than the initial Tenant Improvements for the Premises constructed pursuant to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hereof). Under no circumstances shall Landlord be liable to Tenant for any damage, loss, cost or expense incurred by Tenant on account of Tenant’s plans and specifications, Tenant’s contractors or subcontractors, or Tenant’s design of any work, construction of any work or Tenant’s delay in completion of any work.</w:t>
      </w:r>
    </w:p>
    <w:p>
      <w:pPr>
        <w:spacing w:after="0" w:line="187" w:lineRule="exact"/>
        <w:rPr>
          <w:rFonts w:ascii="Times New Roman" w:cs="Times New Roman" w:eastAsia="Times New Roman" w:hAnsi="Times New Roman"/>
          <w:sz w:val="18"/>
          <w:szCs w:val="18"/>
          <w:color w:val="auto"/>
        </w:rPr>
      </w:pPr>
    </w:p>
    <w:p>
      <w:pPr>
        <w:ind w:right="100" w:firstLine="444"/>
        <w:spacing w:after="0" w:line="251" w:lineRule="auto"/>
        <w:tabs>
          <w:tab w:leader="none" w:pos="69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INSURANCE STANDARDS. Tenant, at its sole cost and expense, shall promptly comply with all local, state and federal laws, statutes, ordinances and governmental rules, regulations or requirements now in force or which may hereinafter be in force with respect to the Premises, including, without limitation, the Americans with Disabilities Act, 42 U.S.C. § 12101 et seq. and any governmental regulations relating thereto, including any required Alterations for purposes of “public accommodations” under such statute. Tenant shall not use or permit the Premises to be used in any manner nor do any act which would increase the existing rate of insurance on the Project or cause the cancellation of any insurance policy covering the Project, nor shall Tenant permit to be kept, used or sold, in or about the Premises, any article which may be prohibited by the standard form of fire insurance policy, unless Tenant obtains an endorsement to the policy allowing such activity. Tenant’s obligations under this Section and Section 9 or either of them shall include, without limitation, the responsibility of Tenant to make substantial repairs, improvements or Alterations to the extent provided above, regardless of, among other factors, the relationship of the cost of curative action to the Rent under this Lease, the length of the then remaining Term hereof, the relative benefit of the repairs to Tenant or Landlord, the degree to which the curative action may interfere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616" w:name="page617"/>
    <w:bookmarkEnd w:id="616"/>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 Tenant’s use or enjoyment of the Premises, or the likelihood that the parties contemplated the particular law involved. Tenant waives any rights now or hereafter conferred upon it by any existing or future law to terminate this Lease or to receive any abatement, diminution, reduction or suspension of payment of Rent by reason of the obligations of Tenant under this Section 11. Notwithstanding anything to the contrary set forth above, in no event, however, shall Tenant be responsible for any Alterations required to be made to the Premises or Project, except to the extent that the requirement of such upgrade is imposed due to the use of the Premises by Tenant for other than general office use or any Alteration made or proposed to be made by Tenant.</w:t>
      </w:r>
    </w:p>
    <w:p>
      <w:pPr>
        <w:spacing w:after="0" w:line="168" w:lineRule="exact"/>
        <w:rPr>
          <w:sz w:val="20"/>
          <w:szCs w:val="20"/>
          <w:color w:val="auto"/>
        </w:rPr>
      </w:pPr>
    </w:p>
    <w:p>
      <w:pPr>
        <w:ind w:right="40" w:firstLine="444"/>
        <w:spacing w:after="0" w:line="253" w:lineRule="auto"/>
        <w:tabs>
          <w:tab w:leader="none" w:pos="70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INSOLVENCY. Tenant shall keep the Premises, the Building and the Project free from any liens or encumbrances of any kind or nature arising out of any work performed, materials ordered or obligations incurred by or on behalf of Tenant. If Tenant becomes insolvent, makes an assignment for the benefit of creditors, or if legal proceedings are instituted seeking to have Tenant adjudicated bankrupt, reorganized or rearranged under the bankruptcy laws of the United States, or if this Lease shall, by operation of law or otherwise, pass to any person or persons or entity other than Tenant (except as permitted in Section 14 below), Landlord may, at its option, terminate this Lease, which termination shall reserve unto Landlord all of the rights and remedies available under Sections 27 or 33 hereof, and Landlord may accept rent from such trustee, assignee or receiver without waiving or forfeiting said right of termination.</w:t>
      </w:r>
    </w:p>
    <w:p>
      <w:pPr>
        <w:spacing w:after="0" w:line="184" w:lineRule="exact"/>
        <w:rPr>
          <w:rFonts w:ascii="Times New Roman" w:cs="Times New Roman" w:eastAsia="Times New Roman" w:hAnsi="Times New Roman"/>
          <w:sz w:val="18"/>
          <w:szCs w:val="18"/>
          <w:color w:val="auto"/>
        </w:rPr>
      </w:pPr>
    </w:p>
    <w:p>
      <w:pPr>
        <w:ind w:firstLine="444"/>
        <w:spacing w:after="0" w:line="250" w:lineRule="auto"/>
        <w:tabs>
          <w:tab w:leader="none" w:pos="70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SIGNS AND ADVERTISING. Landlord shall provide Tenant, at Landlord’s sole cost and expense, with Tenant’s prorata share of Building standard signage (as such standard is established from time to time by Landlord) on the Building directory in the lobby of the Building. Any subsequent change to the signs provided by Landlord shall be at the expense of Tenant. Tenant shall not erect or install or otherwise utilize signs, lights, symbols, canopies, awnings, window coverings or other advertising or decorative matter (collectively, “</w:t>
      </w:r>
      <w:r>
        <w:rPr>
          <w:rFonts w:ascii="Times New Roman" w:cs="Times New Roman" w:eastAsia="Times New Roman" w:hAnsi="Times New Roman"/>
          <w:sz w:val="18"/>
          <w:szCs w:val="18"/>
          <w:b w:val="1"/>
          <w:bCs w:val="1"/>
          <w:i w:val="1"/>
          <w:iCs w:val="1"/>
          <w:color w:val="auto"/>
        </w:rPr>
        <w:t>Signs</w:t>
      </w:r>
      <w:r>
        <w:rPr>
          <w:rFonts w:ascii="Times New Roman" w:cs="Times New Roman" w:eastAsia="Times New Roman" w:hAnsi="Times New Roman"/>
          <w:sz w:val="18"/>
          <w:szCs w:val="18"/>
          <w:color w:val="auto"/>
        </w:rPr>
        <w:t>”) on the windows, walls or exterior doors or otherwise visible from the exterior of the Premises without first (a) submitting its plans to Landlord and obtaining Landlord’s written approval thereof, which may be given, withheld or conditioned in Landlord’s sole discretion and (b) obtaining any required approval of any applicable governmental authority with jurisdiction at Tenant’s sole cost and expense; provided however, Tenant shall have the right to install a Sign at the entrance to the Premises and in such event, Landlord’s approval of any plans for the same shall not be unreasonably withheld. All Signs approved by Landlord shall be professionally designed and constructed in a first-class workmanlike manner. Landlord shall have the right to promulgate from time to time additional reasonable rules, regulations and policies relating to the style and type of said advertising and decorative matter which may be used by any occupant, including Tenant, in the Building, and may change or amend such rules and regulations from time to time as in its reasonable discretion as it deems advisable. Tenant agrees to abide by such rules, regulations and policies. At the expiration or earlier termination of this Lease, all such signs, lights, symbols, canopies, awnings or other advertising or decorative matter attached to or painted by Tenant upon the Premises, whether on the exterior or interior thereof, shall be removed by Tenant at its own expense, and Tenant shall repair any damage or injury to the Premises or the Building, and correct any unsightly condition, caused by the maintenance and removal thereof.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617" w:name="page618"/>
    <w:bookmarkEnd w:id="617"/>
    <w:p>
      <w:pPr>
        <w:ind w:left="713" w:hanging="276"/>
        <w:spacing w:after="0"/>
        <w:tabs>
          <w:tab w:leader="none" w:pos="713"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ASSIGNMENT OR SUBLETTING.</w:t>
      </w:r>
    </w:p>
    <w:p>
      <w:pPr>
        <w:spacing w:after="0" w:line="220" w:lineRule="exact"/>
        <w:rPr>
          <w:rFonts w:ascii="Times New Roman" w:cs="Times New Roman" w:eastAsia="Times New Roman" w:hAnsi="Times New Roman"/>
          <w:sz w:val="18"/>
          <w:szCs w:val="18"/>
          <w:color w:val="auto"/>
        </w:rPr>
      </w:pPr>
    </w:p>
    <w:p>
      <w:pPr>
        <w:ind w:left="-7" w:right="340" w:firstLine="990"/>
        <w:spacing w:after="0" w:line="278" w:lineRule="auto"/>
        <w:tabs>
          <w:tab w:leader="none" w:pos="1217" w:val="left"/>
        </w:tabs>
        <w:numPr>
          <w:ilvl w:val="1"/>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Landlord’s Consent</w:t>
      </w:r>
      <w:r>
        <w:rPr>
          <w:rFonts w:ascii="Times New Roman" w:cs="Times New Roman" w:eastAsia="Times New Roman" w:hAnsi="Times New Roman"/>
          <w:sz w:val="17"/>
          <w:szCs w:val="17"/>
          <w:color w:val="auto"/>
        </w:rPr>
        <w:t>. Without the express prior written consent of Landlord, Tenant shall not directly or indirectly, voluntarily or by operation of law, sell, assign, encumber, pledge, or otherwise transfer or hypothecate all or any part of its interest in or rights with respect to the Premises (collectively, “</w:t>
      </w:r>
      <w:r>
        <w:rPr>
          <w:rFonts w:ascii="Times New Roman" w:cs="Times New Roman" w:eastAsia="Times New Roman" w:hAnsi="Times New Roman"/>
          <w:sz w:val="17"/>
          <w:szCs w:val="17"/>
          <w:b w:val="1"/>
          <w:bCs w:val="1"/>
          <w:i w:val="1"/>
          <w:iCs w:val="1"/>
          <w:color w:val="auto"/>
        </w:rPr>
        <w:t>Assignment</w:t>
      </w:r>
      <w:r>
        <w:rPr>
          <w:rFonts w:ascii="Times New Roman" w:cs="Times New Roman" w:eastAsia="Times New Roman" w:hAnsi="Times New Roman"/>
          <w:sz w:val="17"/>
          <w:szCs w:val="17"/>
          <w:color w:val="auto"/>
        </w:rPr>
        <w:t>”), or permit all or any portion of the Premises to be occupied by anyone other than Tenant and its employees or sublet all or any portion of the Premises or transfer a portion of its interest in or rights with respect to the Premises (collectively, “</w:t>
      </w:r>
      <w:r>
        <w:rPr>
          <w:rFonts w:ascii="Times New Roman" w:cs="Times New Roman" w:eastAsia="Times New Roman" w:hAnsi="Times New Roman"/>
          <w:sz w:val="17"/>
          <w:szCs w:val="17"/>
          <w:b w:val="1"/>
          <w:bCs w:val="1"/>
          <w:i w:val="1"/>
          <w:iCs w:val="1"/>
          <w:color w:val="auto"/>
        </w:rPr>
        <w:t>Sublease</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left="-7" w:right="220" w:firstLine="990"/>
        <w:spacing w:after="0" w:line="254" w:lineRule="auto"/>
        <w:tabs>
          <w:tab w:leader="none" w:pos="1227"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Landlord.</w:t>
      </w:r>
      <w:r>
        <w:rPr>
          <w:rFonts w:ascii="Times New Roman" w:cs="Times New Roman" w:eastAsia="Times New Roman" w:hAnsi="Times New Roman"/>
          <w:sz w:val="18"/>
          <w:szCs w:val="18"/>
          <w:color w:val="auto"/>
        </w:rPr>
        <w:t xml:space="preserve"> If Tenant desires to enter into an Assignment or a Sublease, Tenant shall give written notice to Landlord of its intention to do so (the “</w:t>
      </w:r>
      <w:r>
        <w:rPr>
          <w:rFonts w:ascii="Times New Roman" w:cs="Times New Roman" w:eastAsia="Times New Roman" w:hAnsi="Times New Roman"/>
          <w:sz w:val="18"/>
          <w:szCs w:val="18"/>
          <w:b w:val="1"/>
          <w:bCs w:val="1"/>
          <w:i w:val="1"/>
          <w:iCs w:val="1"/>
          <w:color w:val="auto"/>
        </w:rPr>
        <w:t>Transfer Notice</w:t>
      </w:r>
      <w:r>
        <w:rPr>
          <w:rFonts w:ascii="Times New Roman" w:cs="Times New Roman" w:eastAsia="Times New Roman" w:hAnsi="Times New Roman"/>
          <w:sz w:val="18"/>
          <w:szCs w:val="18"/>
          <w:color w:val="auto"/>
        </w:rPr>
        <w:t>”), containing the name of the proposed assignee or subtenant (collectively, “</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color w:val="auto"/>
        </w:rPr>
        <w:t>”), the nature of the proposed Transferee’s business to be carried on in the Premises, the material terms of the proposed Assignment or Sublease, including, without limitation, the commencement and term expiration dates thereof and the rent payable thereunder, the portion of the Premises proposed to be subleased (the “</w:t>
      </w:r>
      <w:r>
        <w:rPr>
          <w:rFonts w:ascii="Times New Roman" w:cs="Times New Roman" w:eastAsia="Times New Roman" w:hAnsi="Times New Roman"/>
          <w:sz w:val="18"/>
          <w:szCs w:val="18"/>
          <w:b w:val="1"/>
          <w:bCs w:val="1"/>
          <w:i w:val="1"/>
          <w:iCs w:val="1"/>
          <w:color w:val="auto"/>
        </w:rPr>
        <w:t>Transfer Space</w:t>
      </w:r>
      <w:r>
        <w:rPr>
          <w:rFonts w:ascii="Times New Roman" w:cs="Times New Roman" w:eastAsia="Times New Roman" w:hAnsi="Times New Roman"/>
          <w:sz w:val="18"/>
          <w:szCs w:val="18"/>
          <w:color w:val="auto"/>
        </w:rPr>
        <w:t>”), and the most recent audited financial statement or other equivalent financial information reasonably available to Tenant concerning the proposed Transferee.</w:t>
      </w:r>
    </w:p>
    <w:p>
      <w:pPr>
        <w:spacing w:after="0" w:line="184" w:lineRule="exact"/>
        <w:rPr>
          <w:sz w:val="20"/>
          <w:szCs w:val="20"/>
          <w:color w:val="auto"/>
        </w:rPr>
      </w:pPr>
    </w:p>
    <w:p>
      <w:pPr>
        <w:ind w:left="-7" w:firstLine="990"/>
        <w:spacing w:after="0" w:line="254" w:lineRule="auto"/>
        <w:tabs>
          <w:tab w:leader="none" w:pos="1188"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after Landlord’s receipt of the Transfer Notice with respect to an Assignment or with respect to any Sublease of fifty percent (50%) or more of the Rentable Area of the Premises for fifty percent (50%) or more of the then remaining Term, Landlord may, by written notice to Tenant, elect to terminate this Lease as to the Transfer Space, with a proportionate reduction in Basic Rent and Tenant’s Proportionate Share of Operating Expenses, effective upon a date the proposed Assignment or Sublease would have commenced, or disapprove the Sublease or Assignment; provided, however, that if Landlord does not make an election under this Subsection l 4(b)(i), Landlord agrees not to unreasonably withhold its consent to the Sublease or Assignment.</w:t>
      </w:r>
    </w:p>
    <w:p>
      <w:pPr>
        <w:spacing w:after="0" w:line="183" w:lineRule="exact"/>
        <w:rPr>
          <w:rFonts w:ascii="Times New Roman" w:cs="Times New Roman" w:eastAsia="Times New Roman" w:hAnsi="Times New Roman"/>
          <w:sz w:val="18"/>
          <w:szCs w:val="18"/>
          <w:color w:val="auto"/>
        </w:rPr>
      </w:pPr>
    </w:p>
    <w:p>
      <w:pPr>
        <w:ind w:left="-7" w:right="40" w:firstLine="990"/>
        <w:spacing w:after="0" w:line="270" w:lineRule="auto"/>
        <w:tabs>
          <w:tab w:leader="none" w:pos="1237" w:val="left"/>
        </w:tabs>
        <w:numPr>
          <w:ilvl w:val="1"/>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in any way the other grounds upon which Landlord may withhold its consent, Landlord’s consent shall not be deemed to have been unreasonably withheld if: (A) the proposed sublessee or assignee is a governmental agency or entity; (B) if the proposed sublessee or assignee intends to use the Premises for executive suites or for any use which would materially increase the density of occupants of the Premises:</w:t>
      </w:r>
    </w:p>
    <w:p>
      <w:pPr>
        <w:spacing w:after="0" w:line="1" w:lineRule="exact"/>
        <w:rPr>
          <w:rFonts w:ascii="Times New Roman" w:cs="Times New Roman" w:eastAsia="Times New Roman" w:hAnsi="Times New Roman"/>
          <w:sz w:val="17"/>
          <w:szCs w:val="17"/>
          <w:color w:val="auto"/>
        </w:rPr>
      </w:pPr>
    </w:p>
    <w:p>
      <w:pPr>
        <w:ind w:left="-7" w:firstLine="7"/>
        <w:spacing w:after="0" w:line="249" w:lineRule="auto"/>
        <w:tabs>
          <w:tab w:leader="none" w:pos="27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use inconsistent with Section 6 or the operation of a first-class office building or in a manner which would increase the use of, or the possibility of disturbance of, Hazardous Materials on the Project; (D) the proposed Transferee is not of sound financial condition as reasonably determined by Landlord in light of the fact that Tenant shall not be released of its obligations under this Lease; (E) the proposed use or the proposed assignee or subtenant would cause the violation of any covenant or agreement of Landlord to any third party or would permit any other tenant to terminate its lease; (F) the proposed subtenant or assignee then leases or occupies any other space in the Building and Landlord has available for lease space comparable to the Transfer Space; (G) the proposed sublease or assignment would result in increased foot traffic in the Common Areas or overusage of the utilities and/or Building systems, as reasonably determined by Landlord, or (H) Landlord determines, in its sole business judgment, that the proposed sublease or assignment will decrease, diminish or otherwise negatively impact Landlord’s interest in the Project. Landlord’s failure to make such election within fifteen (15) days after Landlord’s receipt of the Transfer Notice shall be deemed to be Landlord’s disapproval of the proposed Sublease or Assignment.</w:t>
      </w:r>
    </w:p>
    <w:p>
      <w:pPr>
        <w:spacing w:after="0" w:line="12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13"/>
          </w:cols>
          <w:pgMar w:left="487" w:top="268" w:right="499" w:bottom="1440" w:gutter="0" w:footer="0" w:header="0"/>
        </w:sectPr>
      </w:pPr>
    </w:p>
    <w:bookmarkStart w:id="618" w:name="page619"/>
    <w:bookmarkEnd w:id="6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If Landlord consents to any Sublease or Assignment as set forth in Section l 4(b):</w:t>
      </w:r>
    </w:p>
    <w:p>
      <w:pPr>
        <w:spacing w:after="0" w:line="221" w:lineRule="exact"/>
        <w:rPr>
          <w:sz w:val="20"/>
          <w:szCs w:val="20"/>
          <w:color w:val="auto"/>
        </w:rPr>
      </w:pPr>
    </w:p>
    <w:p>
      <w:pPr>
        <w:ind w:right="40" w:firstLine="990"/>
        <w:spacing w:after="0" w:line="278" w:lineRule="auto"/>
        <w:tabs>
          <w:tab w:leader="none" w:pos="119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thereafter, within one hundred eighty (180) days after Landlord’s consent, enter into such Assignment or Sublease, but only with the party and upon the same terms as set forth in the Transfer Notice;</w:t>
      </w:r>
    </w:p>
    <w:p>
      <w:pPr>
        <w:spacing w:after="0" w:line="162" w:lineRule="exact"/>
        <w:rPr>
          <w:rFonts w:ascii="Times New Roman" w:cs="Times New Roman" w:eastAsia="Times New Roman" w:hAnsi="Times New Roman"/>
          <w:sz w:val="18"/>
          <w:szCs w:val="18"/>
          <w:color w:val="auto"/>
        </w:rPr>
      </w:pPr>
    </w:p>
    <w:p>
      <w:pPr>
        <w:ind w:firstLine="990"/>
        <w:spacing w:after="0" w:line="253" w:lineRule="auto"/>
        <w:tabs>
          <w:tab w:leader="none" w:pos="124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Sublease, Tenant shall pay to Landlord monthly, together with monthly installments of rent hereunder, fifty percent (50%) of the difference for such month between (x) any and all sums received by Tenant in connection with such Sublease (including key money, bonus money and any payment in excess of fair market value for services rendered by Tenant in connection with such Sublease or for assets, fixtures, inventory, equipment or furniture transferred by Tenant in connection with such Sublease in excess of the fair market value of such assets, fixtures, inventory, equipment or furniture), minus (y) the sum of the proportionate amount (on a Rentable Area basis) of Basic Rent payable by Tenant under this Lease for the space covered by such Sublease plus any actual and reasonable out-of-pocket costs incurred by Tenant in connection with such Sublease (including actual and reasonable out-of-pocket brokerage commissions, legal fees and tenant improvement costs);</w:t>
      </w:r>
    </w:p>
    <w:p>
      <w:pPr>
        <w:spacing w:after="0" w:line="184" w:lineRule="exact"/>
        <w:rPr>
          <w:rFonts w:ascii="Times New Roman" w:cs="Times New Roman" w:eastAsia="Times New Roman" w:hAnsi="Times New Roman"/>
          <w:sz w:val="18"/>
          <w:szCs w:val="18"/>
          <w:color w:val="auto"/>
        </w:rPr>
      </w:pPr>
    </w:p>
    <w:p>
      <w:pPr>
        <w:ind w:firstLine="990"/>
        <w:spacing w:after="0" w:line="258" w:lineRule="auto"/>
        <w:tabs>
          <w:tab w:leader="none" w:pos="129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Tenant shall pay to Landlord, as and when received, fifty percent (50%) of any transfer or assignment fee, purchase price or other consideration received by Tenant in connection with the Assignment attributable to the value of this Lease (if other assets are transferred in connection with the Assignment, a fair allocation of value shall be made to the Lease for the purposes of this Section 14, independent of any allocation made as between Tenant and the Assignee for their own purposes);</w:t>
      </w:r>
    </w:p>
    <w:p>
      <w:pPr>
        <w:spacing w:after="0" w:line="179" w:lineRule="exact"/>
        <w:rPr>
          <w:rFonts w:ascii="Times New Roman" w:cs="Times New Roman" w:eastAsia="Times New Roman" w:hAnsi="Times New Roman"/>
          <w:sz w:val="18"/>
          <w:szCs w:val="18"/>
          <w:color w:val="auto"/>
        </w:rPr>
      </w:pPr>
    </w:p>
    <w:p>
      <w:pPr>
        <w:ind w:right="400" w:firstLine="990"/>
        <w:spacing w:after="0" w:line="263" w:lineRule="auto"/>
        <w:tabs>
          <w:tab w:leader="none" w:pos="12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Sublease or Assignment shall be subject to all of the provisions of this Lease, and Landlord’s consent to any Sublease or Assignment shall not be construed as a consent to any terms thereof which conflict with any of the provisions of this Lease except to the extent that Landlord specifically agrees in writing to be bound by such conflicting terms; and</w:t>
      </w:r>
    </w:p>
    <w:p>
      <w:pPr>
        <w:spacing w:after="0" w:line="175" w:lineRule="exact"/>
        <w:rPr>
          <w:rFonts w:ascii="Times New Roman" w:cs="Times New Roman" w:eastAsia="Times New Roman" w:hAnsi="Times New Roman"/>
          <w:sz w:val="18"/>
          <w:szCs w:val="18"/>
          <w:color w:val="auto"/>
        </w:rPr>
      </w:pPr>
    </w:p>
    <w:p>
      <w:pPr>
        <w:ind w:right="140" w:firstLine="990"/>
        <w:spacing w:after="0" w:line="278" w:lineRule="auto"/>
        <w:tabs>
          <w:tab w:leader="none" w:pos="123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Transferee, other than pursuant to Section 14(i) below, shall have the right to exercise any right or option under this Lease (if any) to lease additional space, extend the Term, or terminate this Lease.</w:t>
      </w:r>
    </w:p>
    <w:p>
      <w:pPr>
        <w:spacing w:after="0" w:line="162" w:lineRule="exact"/>
        <w:rPr>
          <w:sz w:val="20"/>
          <w:szCs w:val="20"/>
          <w:color w:val="auto"/>
        </w:rPr>
      </w:pPr>
    </w:p>
    <w:p>
      <w:pPr>
        <w:ind w:right="20" w:firstLine="990"/>
        <w:spacing w:after="0" w:line="254" w:lineRule="auto"/>
        <w:tabs>
          <w:tab w:leader="none" w:pos="123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Liability.</w:t>
      </w:r>
      <w:r>
        <w:rPr>
          <w:rFonts w:ascii="Times New Roman" w:cs="Times New Roman" w:eastAsia="Times New Roman" w:hAnsi="Times New Roman"/>
          <w:sz w:val="18"/>
          <w:szCs w:val="18"/>
          <w:color w:val="auto"/>
        </w:rPr>
        <w:t xml:space="preserve"> Tenant shall not be relieved of any obligation to be performed by Tenant under this Lease, including the obligation to obtain Landlord’s consent to any other Assignment or Sublease (including sub-subleases), regardless of whether Landlord consented to any Assignment or Sublease. Following any Assignment, Landlord and the Transferee shall be entitled to enter into amendments to this Lease without obtaining the consent of the assigning Tenant. The foregoing notwithstanding, if, following any Assignment, Landlord and such Transferee enter into any amendments to this Lease without obtaining the consent of the assignor, the amount of the aggregate monetary liability of the assignor with respect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9" w:right="499" w:bottom="1440" w:gutter="0" w:footer="0" w:header="0"/>
        </w:sectPr>
      </w:pPr>
    </w:p>
    <w:bookmarkStart w:id="619" w:name="page620"/>
    <w:bookmarkEnd w:id="619"/>
    <w:p>
      <w:pPr>
        <w:ind w:right="10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payments then or thereafter due under this Lease (as so amended) shall be limited to what would have then been the aggregate monetary liability of the assignor with respect to payments then or thereafter due under this Lease, calculated with reference to the provisions of this Lease and any amendments to which it had previously entered into directly with Landlord or to which it has otherwise given its consent. Any Assignment or Sublease that fails to comply with this Section 14 shall be void and, at the option of Landlord, shall constitute a default by Tenant under this Lease. The acceptance of Basic Rent or other sums by Landlord from a proposed Transferee shall not constitute Landlord’s consent to such Assignment or Sublease.</w:t>
      </w:r>
    </w:p>
    <w:p>
      <w:pPr>
        <w:spacing w:after="0" w:line="168" w:lineRule="exact"/>
        <w:rPr>
          <w:sz w:val="20"/>
          <w:szCs w:val="20"/>
          <w:color w:val="auto"/>
        </w:rPr>
      </w:pPr>
    </w:p>
    <w:p>
      <w:pPr>
        <w:ind w:right="40" w:firstLine="990"/>
        <w:spacing w:after="0" w:line="266" w:lineRule="auto"/>
        <w:tabs>
          <w:tab w:leader="none" w:pos="1224" w:val="left"/>
        </w:tabs>
        <w:numPr>
          <w:ilvl w:val="1"/>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Assumption by Transferee.</w:t>
      </w:r>
      <w:r>
        <w:rPr>
          <w:rFonts w:ascii="Times New Roman" w:cs="Times New Roman" w:eastAsia="Times New Roman" w:hAnsi="Times New Roman"/>
          <w:sz w:val="17"/>
          <w:szCs w:val="17"/>
          <w:color w:val="auto"/>
        </w:rPr>
        <w:t xml:space="preserve"> Each Transferee under an Assignment shall assume all obligations of Tenant under this Lease and shall be and remain liable jointly and severally with Tenant for the payment of Basic Rent, additional rent and other charges, and for the performance of all other provisions of this Lease. Each Transferee under a Sublease, other than Landlord, shall be subject to this Lease. No Assignment shall be binding on Landlord unless Landlord shall receive a counterpart of the Assignment and an instrument in recordable form that contains a covenant of assumption by the Transferee reasonably satisfactory in substance and form to Landlord and consistent with the requirements of this Section 14 but the failure of the Transferee to execute such instrument shall not release the Transferee from its liability as set forth above. Tenant shall reimburse Landlord, within thirty</w:t>
      </w:r>
    </w:p>
    <w:p>
      <w:pPr>
        <w:spacing w:after="0" w:line="2" w:lineRule="exact"/>
        <w:rPr>
          <w:rFonts w:ascii="Times New Roman" w:cs="Times New Roman" w:eastAsia="Times New Roman" w:hAnsi="Times New Roman"/>
          <w:sz w:val="17"/>
          <w:szCs w:val="17"/>
          <w:color w:val="auto"/>
        </w:rPr>
      </w:pPr>
    </w:p>
    <w:p>
      <w:pPr>
        <w:ind w:right="40" w:firstLine="7"/>
        <w:spacing w:after="0" w:line="270" w:lineRule="auto"/>
        <w:tabs>
          <w:tab w:leader="none" w:pos="342"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Tenant’s receipt of an invoice therefor, for any costs that Landlord may incur in connection with any proposed Assignment or Sublease, including Landlord’s reasonable attorneys’ fees and the costs of investigating the acceptability of any proposed Transferee; provided, however, that if, in the event of a proposed Sublease, the subletting documents and supporting data will only require the preparation and delivery of Landlord’s standard form of consent to such Sublease, then such legal fees shall not exceed One Thousand Five Hundred and No/100ths Dollars ($1,500.00).</w:t>
      </w:r>
    </w:p>
    <w:p>
      <w:pPr>
        <w:spacing w:after="0" w:line="171" w:lineRule="exact"/>
        <w:rPr>
          <w:rFonts w:ascii="Times New Roman" w:cs="Times New Roman" w:eastAsia="Times New Roman" w:hAnsi="Times New Roman"/>
          <w:sz w:val="17"/>
          <w:szCs w:val="17"/>
          <w:color w:val="auto"/>
        </w:rPr>
      </w:pPr>
    </w:p>
    <w:p>
      <w:pPr>
        <w:ind w:right="180" w:firstLine="990"/>
        <w:spacing w:after="0" w:line="278" w:lineRule="auto"/>
        <w:tabs>
          <w:tab w:leader="none" w:pos="1205"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acceptance of rent or additional charges by Landlord from a purported assignee or sublessee shall not constitute a waiver by Landlord of the provisions of this Section 14.</w:t>
      </w:r>
    </w:p>
    <w:p>
      <w:pPr>
        <w:spacing w:after="0" w:line="162" w:lineRule="exact"/>
        <w:rPr>
          <w:rFonts w:ascii="Times New Roman" w:cs="Times New Roman" w:eastAsia="Times New Roman" w:hAnsi="Times New Roman"/>
          <w:sz w:val="18"/>
          <w:szCs w:val="18"/>
          <w:color w:val="auto"/>
        </w:rPr>
      </w:pPr>
    </w:p>
    <w:p>
      <w:pPr>
        <w:ind w:firstLine="990"/>
        <w:spacing w:after="0" w:line="254" w:lineRule="auto"/>
        <w:tabs>
          <w:tab w:leader="none" w:pos="1234"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Any sale or other transfer, including by consolidation, merger or reorganization, of a majority of the voting stock of Tenant, if Tenant is a corporation (other than a sale of the majority of the stock of a publicly traded company in normal open market transactions), or any sale or other transfer of a majority of or a controlling interest in the partnership interests in Tenant, if Tenant is a partnership, or any sale or other transfer of a majority of or a controlling interest in the membership interests in Tenant, if Tenant is a limited liability company, or any sale or other transfer of a majority of the beneficial interests in Tenant or of any controlling interest in Tenant, if Tenant is a trust or other type of entity, shall be an Assignment for purposes of this Section 14.</w:t>
      </w:r>
    </w:p>
    <w:p>
      <w:pPr>
        <w:spacing w:after="0" w:line="183" w:lineRule="exact"/>
        <w:rPr>
          <w:rFonts w:ascii="Times New Roman" w:cs="Times New Roman" w:eastAsia="Times New Roman" w:hAnsi="Times New Roman"/>
          <w:sz w:val="18"/>
          <w:szCs w:val="18"/>
          <w:color w:val="auto"/>
        </w:rPr>
      </w:pPr>
    </w:p>
    <w:p>
      <w:pPr>
        <w:ind w:right="240" w:firstLine="990"/>
        <w:spacing w:after="0" w:line="255" w:lineRule="auto"/>
        <w:tabs>
          <w:tab w:leader="none" w:pos="1234"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If Tenant, using its good faith business judgment, determines that Landlord has unreasonably refused to grant consent to a proposed Sublease or Assignment (it being agreed that if Landlord refuses to consent for any reason set forth in Section l 4(b)(ii) above, Landlord’s refusal shall conclusively be deemed reasonable), Tenant’s sole remedy shall be an action for actual, reasonable monetary damages and declaratory or injunctive relief. Tenant waives any right which Tenant may have to terminate this Lease in connection with any refusal by Landlord to consent to a Transfer, whether or not such refusal was reasonable.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69" w:right="499" w:bottom="1440" w:gutter="0" w:footer="0" w:header="0"/>
        </w:sectPr>
      </w:pPr>
    </w:p>
    <w:bookmarkStart w:id="620" w:name="page621"/>
    <w:bookmarkEnd w:id="620"/>
    <w:p>
      <w:pPr>
        <w:ind w:left="1200" w:hanging="210"/>
        <w:spacing w:after="0"/>
        <w:tabs>
          <w:tab w:leader="none" w:pos="120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Transfers to Affiliates or Successors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80" w:firstLine="990"/>
        <w:spacing w:after="0" w:line="255" w:lineRule="auto"/>
        <w:tabs>
          <w:tab w:leader="none" w:pos="1195"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to the contrary contained in this Section 14 notwithstanding, Tenant may sublet the Premises or any part thereof, or assign its interest in this Lease, to an Affiliate (defined below) of Tenant or a Successor (defined below) or as part of a change in controlling interest of Tenant as described in Section 14(g) above, to Tenant without the necessity of obtaining the consent of Landlord, without being subject to Landlord’s termination rights under Section l 4(b)(i) above, and without the obligation to pay the amount provided for in Sections 14(c)(ii) or 14(c)(iii) above. All of the other terms and conditions of this Section 14 shall apply to such Sublease or Assignment.</w:t>
      </w:r>
    </w:p>
    <w:p>
      <w:pPr>
        <w:spacing w:after="0" w:line="180" w:lineRule="exact"/>
        <w:rPr>
          <w:rFonts w:ascii="Times New Roman" w:cs="Times New Roman" w:eastAsia="Times New Roman" w:hAnsi="Times New Roman"/>
          <w:sz w:val="18"/>
          <w:szCs w:val="18"/>
          <w:color w:val="auto"/>
        </w:rPr>
      </w:pPr>
    </w:p>
    <w:p>
      <w:pPr>
        <w:ind w:right="40" w:firstLine="990"/>
        <w:spacing w:after="0" w:line="269" w:lineRule="auto"/>
        <w:tabs>
          <w:tab w:leader="none" w:pos="1245"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14(i), the term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shall mean any corporation, partnership or limited liability company which directly or indirectly controls or is controlled by or is under common control with Tenant (for this purpose,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shall mean the possession, directly or indirectly, of both the power to direct or cause the direction of the management and policies of the entity, whether through the ownership of voting securities or partnership shares or by contract or otherwise, when combined with the ownership, directly or indirectly, of not less than fifty percent</w:t>
      </w:r>
    </w:p>
    <w:p>
      <w:pPr>
        <w:spacing w:after="0" w:line="2" w:lineRule="exact"/>
        <w:rPr>
          <w:rFonts w:ascii="Times New Roman" w:cs="Times New Roman" w:eastAsia="Times New Roman" w:hAnsi="Times New Roman"/>
          <w:sz w:val="17"/>
          <w:szCs w:val="17"/>
          <w:color w:val="auto"/>
        </w:rPr>
      </w:pPr>
    </w:p>
    <w:p>
      <w:pPr>
        <w:ind w:right="8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(50%) of all classes of the then outstanding stock, if the entity is a corporation, or of fifty percent (50%) of all classes of the profit interests, if the entity is a partnership or a limited liability company).</w:t>
      </w:r>
    </w:p>
    <w:p>
      <w:pPr>
        <w:spacing w:after="0" w:line="177" w:lineRule="exact"/>
        <w:rPr>
          <w:rFonts w:ascii="Times New Roman" w:cs="Times New Roman" w:eastAsia="Times New Roman" w:hAnsi="Times New Roman"/>
          <w:sz w:val="17"/>
          <w:szCs w:val="17"/>
          <w:color w:val="auto"/>
        </w:rPr>
      </w:pPr>
    </w:p>
    <w:p>
      <w:pPr>
        <w:ind w:firstLine="990"/>
        <w:spacing w:after="0" w:line="251" w:lineRule="auto"/>
        <w:tabs>
          <w:tab w:leader="none" w:pos="1294"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14(i), the term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shall mean: (i) a corporation into which or with which Tenant, its corporate successors or assigns, is merged or consolidated in accordance with the applicable statutory provisions for merger or consolidation of corporations, but only if, by operation of law or by effective provisions contained in the instruments of merger or consolidation, the liabilities of the corporations participating in such merger or consolidation are assumed by the corporation surviving the merger or created by such consolidation; (ii) any partnership or limited liability company into which Tenant is merged in accordance with the applicable statutory provisions for the merger of partnerships or limited liability companies, but only if the surviving entity agrees in writing that it has unconditionally assumed for the benefit of Landlord all of the obligations and liabilities of Tenant under this Lease; and, (iii) any corporation, partnership or limited liability company acquiring the leasehold interest of Tenant under this Lease and substantially all of the other property and assets of Tenant or its Successor, but only if such entity agrees in writing that it has unconditionally assumed for the benefit of Landlord all of the obligations and liabilities of Tenant under this Lease. Acquisition by Tenant or its successors of substantially all of the assets, together with the assumption of all or substantially all of the obligations and liabilities of any corporation, shall be deemed a merger of such corporation into Tenant for purposes of this Lease.</w:t>
      </w:r>
    </w:p>
    <w:p>
      <w:pPr>
        <w:spacing w:after="0" w:line="190"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PROPERTY.</w:t>
      </w:r>
    </w:p>
    <w:p>
      <w:pPr>
        <w:spacing w:after="0" w:line="221" w:lineRule="exact"/>
        <w:rPr>
          <w:sz w:val="20"/>
          <w:szCs w:val="20"/>
          <w:color w:val="auto"/>
        </w:rPr>
      </w:pPr>
    </w:p>
    <w:p>
      <w:pPr>
        <w:ind w:right="220" w:firstLine="990"/>
        <w:spacing w:after="0" w:line="258" w:lineRule="auto"/>
        <w:tabs>
          <w:tab w:leader="none" w:pos="1224"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Upon Expiration of Lease</w:t>
      </w:r>
      <w:r>
        <w:rPr>
          <w:rFonts w:ascii="Times New Roman" w:cs="Times New Roman" w:eastAsia="Times New Roman" w:hAnsi="Times New Roman"/>
          <w:sz w:val="18"/>
          <w:szCs w:val="18"/>
          <w:color w:val="auto"/>
        </w:rPr>
        <w:t>. All articles of personal property and all business and trade fixtures, machinery and equipment, furniture and movable partitions owned by Tenant or installed by Tenant at its expense in the Premises shall be and remain the property of Tenant and may be removed by Tenant at any time during the Term, subject to the other requirements of this Lease. If Tenant shall fail to remove all of such property from the Premises at the expiration of the Term or within ten (10) days after any earlier termination of this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8" w:right="519" w:bottom="1440" w:gutter="0" w:footer="0" w:header="0"/>
        </w:sectPr>
      </w:pPr>
    </w:p>
    <w:bookmarkStart w:id="621" w:name="page622"/>
    <w:bookmarkEnd w:id="62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Lease for any cause whatsoever, Landlord may, at its option and following not less than five (5) days’ notice to Tenant, (i) remove the same in any manner that Landlord shall choose, and store such property without liability to Tenant for loss thereof (and in such event, Tenant agrees to pay Landlord upon demand any and all expenses incurred in such removal, including court costs and attorneys’ fees and storage charges on such property for any length of time that the same shall be in Landlord’s possession, and/or (ii) sell said property or any of the same, at a private sale and without legal process, for such price as Landlord may obtain and apply the proceeds of such sale to any amounts due under this Lease from Tenant to Landlord and to the expense incident to the removal and sale of said property.</w:t>
      </w:r>
    </w:p>
    <w:p>
      <w:pPr>
        <w:spacing w:after="0" w:line="184" w:lineRule="exact"/>
        <w:rPr>
          <w:sz w:val="20"/>
          <w:szCs w:val="20"/>
          <w:color w:val="auto"/>
        </w:rPr>
      </w:pPr>
    </w:p>
    <w:p>
      <w:pPr>
        <w:ind w:firstLine="990"/>
        <w:spacing w:after="0" w:line="253" w:lineRule="auto"/>
        <w:tabs>
          <w:tab w:leader="none" w:pos="123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Property Taxes</w:t>
      </w:r>
      <w:r>
        <w:rPr>
          <w:rFonts w:ascii="Times New Roman" w:cs="Times New Roman" w:eastAsia="Times New Roman" w:hAnsi="Times New Roman"/>
          <w:sz w:val="18"/>
          <w:szCs w:val="18"/>
          <w:color w:val="auto"/>
        </w:rPr>
        <w:t>. Tenant shall be liable for and shall pay, at least ten (10) days before delinquency, all taxes levied against any personal property or trade fixtures placed by Tenant in or about the Premises. If any such taxes on Tenant’s personal property or trade fixtures are levied against Landlord or Landlord’s property or if the assessed value of the Premises or Landlord’s obligations are increased by a value placed upon such personal property or trade fixtures of Tenant and if Landlord, after written notice to Tenant, pays the taxes or obligations based upon Tenant’s personal property or trade fixtures, which Landlord shall have the right to do regardless of the validity thereof, but only under proper protest if requested by Tenant, Tenant shall, upon demand, repay to Landlord the taxes or obligations so levied against Landlord, or the portion of such taxes or obligations resulting from such increase in the assessment.</w:t>
      </w:r>
    </w:p>
    <w:p>
      <w:pPr>
        <w:spacing w:after="0" w:line="184" w:lineRule="exact"/>
        <w:rPr>
          <w:rFonts w:ascii="Times New Roman" w:cs="Times New Roman" w:eastAsia="Times New Roman" w:hAnsi="Times New Roman"/>
          <w:sz w:val="18"/>
          <w:szCs w:val="18"/>
          <w:color w:val="auto"/>
        </w:rPr>
      </w:pPr>
    </w:p>
    <w:p>
      <w:pPr>
        <w:ind w:firstLine="444"/>
        <w:spacing w:after="0" w:line="266" w:lineRule="auto"/>
        <w:tabs>
          <w:tab w:leader="none" w:pos="704"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BY LANDLORD. After reasonable notice (except in emergencies, where no such notice shall be required), Landlord, its authorized agents, contractors, and representatives shall at any and all times have the right to enter the Premises to inspect the same, to supply janitorial service and any other service to be provided by Landlord to Tenant hereunder, to show the Premises to prospective purchasers or tenants during the last year of the Term and during any period when Tenant is in default of its obligations pursuant to this Lease, to post notices, to alter, improve or repair the Premises or any other portion of the Building, all without being deemed guilty of any eviction of Tenant and without abatement of rent. Landlord may, in order to carry out such purposes, erect scaffolding and other necessary structures where reasonably required by the character of the work to be performed, provided that the business of Tenant shall be interfered with as little as is reasonably practicable. Landlord shall at all times have and retain a key with which to unlock all doors in the Premises, excluding Tenant’s vaults and safes. Landlord shall have the right to use any and all means which Landlord may deem proper to open said doors in an emergency in order to obtain entry to the Premises. Any entry to the Premises obtained by Landlord pursuant to the terms hereof shall not be deemed to be a forcible or unlawful entry into the Premises, or an eviction of Tenant from the Premises or any portion thereof, and Tenant hereby waives any claim for damages for any injury or inconvenience to or interference with Tenant’s business, any loss of occupancy or quiet enjoyment of the Premises, and any other loss in, upon and about the Premises. In exercising its right to entry hereunder, Landlord shall use commercially reasonably efforts to minimize any interference with Tenant’s use of or access to the Premises.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60"/>
          </w:cols>
          <w:pgMar w:left="480" w:top="269" w:right="559" w:bottom="1440" w:gutter="0" w:footer="0" w:header="0"/>
        </w:sectPr>
      </w:pPr>
    </w:p>
    <w:bookmarkStart w:id="622" w:name="page623"/>
    <w:bookmarkEnd w:id="622"/>
    <w:p>
      <w:pPr>
        <w:ind w:left="720" w:hanging="276"/>
        <w:spacing w:after="0"/>
        <w:tabs>
          <w:tab w:leader="none" w:pos="72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TENANT’S INSURANCE.</w:t>
      </w:r>
    </w:p>
    <w:p>
      <w:pPr>
        <w:spacing w:after="0" w:line="113" w:lineRule="exact"/>
        <w:rPr>
          <w:rFonts w:ascii="Times New Roman" w:cs="Times New Roman" w:eastAsia="Times New Roman" w:hAnsi="Times New Roman"/>
          <w:sz w:val="18"/>
          <w:szCs w:val="18"/>
          <w:color w:val="auto"/>
        </w:rPr>
      </w:pPr>
    </w:p>
    <w:p>
      <w:pPr>
        <w:ind w:right="100" w:firstLine="990"/>
        <w:spacing w:after="0" w:line="278" w:lineRule="auto"/>
        <w:tabs>
          <w:tab w:leader="none" w:pos="1225"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during the entire term of this Lease and any other period of occupancy, at its sole cost and expense, keep in full force and effect the following insurance:</w:t>
      </w:r>
    </w:p>
    <w:p>
      <w:pPr>
        <w:spacing w:after="0" w:line="162" w:lineRule="exact"/>
        <w:rPr>
          <w:sz w:val="20"/>
          <w:szCs w:val="20"/>
          <w:color w:val="auto"/>
        </w:rPr>
      </w:pPr>
    </w:p>
    <w:p>
      <w:pPr>
        <w:ind w:right="20" w:firstLine="990"/>
        <w:spacing w:after="0" w:line="251" w:lineRule="auto"/>
        <w:tabs>
          <w:tab w:leader="none" w:pos="1195"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Insurance.</w:t>
      </w:r>
      <w:r>
        <w:rPr>
          <w:rFonts w:ascii="Times New Roman" w:cs="Times New Roman" w:eastAsia="Times New Roman" w:hAnsi="Times New Roman"/>
          <w:sz w:val="18"/>
          <w:szCs w:val="18"/>
          <w:color w:val="auto"/>
        </w:rPr>
        <w:t xml:space="preserve"> Property insurance insuring against the perils of fire, vandalism, malicious mischief, sprinkler leakage, and such other risks as are from time to time included in a “Causes of Loss—Special Form” policy (an “</w:t>
      </w:r>
      <w:r>
        <w:rPr>
          <w:rFonts w:ascii="Times New Roman" w:cs="Times New Roman" w:eastAsia="Times New Roman" w:hAnsi="Times New Roman"/>
          <w:sz w:val="18"/>
          <w:szCs w:val="18"/>
          <w:b w:val="1"/>
          <w:bCs w:val="1"/>
          <w:i w:val="1"/>
          <w:iCs w:val="1"/>
          <w:color w:val="auto"/>
        </w:rPr>
        <w:t>All Risk Policy</w:t>
      </w:r>
      <w:r>
        <w:rPr>
          <w:rFonts w:ascii="Times New Roman" w:cs="Times New Roman" w:eastAsia="Times New Roman" w:hAnsi="Times New Roman"/>
          <w:sz w:val="18"/>
          <w:szCs w:val="18"/>
          <w:color w:val="auto"/>
        </w:rPr>
        <w:t>”). Such All Risk Policy shall be upon all trade fixtures and other property owned by Tenant, for which Tenant is legally liable and/or that was installed by or on behalf of Tenant, and which is located in the Building, including, without limitation, Alterations, furniture, fittings, installations, fixtures, and any other personal property, in an amount not less than the full replacement cost thereof. If there shall be a dispute as to the amount which comprises full replacement cost, the decision of Landlord or any mortgagees of Landlord shall be conclusive. Landlord shall not be liable for any direct or indirect loss of Tenant’s earnings attributable to Tenant’s inability to use fully or obtain access to the Premises or the Project. Such policy shall name Landlord, the mortgagees of Landlord, and the mortgagees of Landlord’s interest in the Project as loss payees, as their respective interests may appear, but only with respect to the coverage on any Alterations.</w:t>
      </w:r>
    </w:p>
    <w:p>
      <w:pPr>
        <w:spacing w:after="0" w:line="191" w:lineRule="exact"/>
        <w:rPr>
          <w:rFonts w:ascii="Times New Roman" w:cs="Times New Roman" w:eastAsia="Times New Roman" w:hAnsi="Times New Roman"/>
          <w:sz w:val="18"/>
          <w:szCs w:val="18"/>
          <w:color w:val="auto"/>
        </w:rPr>
      </w:pPr>
    </w:p>
    <w:p>
      <w:pPr>
        <w:ind w:firstLine="990"/>
        <w:spacing w:after="0" w:line="266" w:lineRule="auto"/>
        <w:tabs>
          <w:tab w:leader="none" w:pos="1244" w:val="left"/>
        </w:tabs>
        <w:numPr>
          <w:ilvl w:val="1"/>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Liability Insurance.</w:t>
      </w:r>
      <w:r>
        <w:rPr>
          <w:rFonts w:ascii="Times New Roman" w:cs="Times New Roman" w:eastAsia="Times New Roman" w:hAnsi="Times New Roman"/>
          <w:sz w:val="17"/>
          <w:szCs w:val="17"/>
          <w:color w:val="auto"/>
        </w:rPr>
        <w:t xml:space="preserve"> Commercial General Liability Insurance insuring Tenant against any liability arising out of the lease, use, occupancy, or maintenance of the Premises and all areas appurtenant thereto. Such insurance shall be in the amount of Three Million and No/100ths Dollars ($3,000,000) Combined Single Limit for injury to or death of one or more persons in an occurrence and Five Million and No/100ths Dollars ($5,000,000) in the aggregate (some reasonable portion of which may be maintained through an excess or umbrella policy, provided that any such excess or umbrella policy shall cover at least the same perils as Tenant’s primary commercial general liability policy and shall not contain materially more extensive exclusions than such primary policy), and for damage to tangible property (including loss of use) in an occurrence, with an Additional Insured</w:t>
      </w:r>
    </w:p>
    <w:p>
      <w:pPr>
        <w:spacing w:after="0" w:line="2" w:lineRule="exact"/>
        <w:rPr>
          <w:rFonts w:ascii="Times New Roman" w:cs="Times New Roman" w:eastAsia="Times New Roman" w:hAnsi="Times New Roman"/>
          <w:sz w:val="17"/>
          <w:szCs w:val="17"/>
          <w:color w:val="auto"/>
        </w:rPr>
      </w:pPr>
    </w:p>
    <w:p>
      <w:pPr>
        <w:ind w:right="20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Landlord Endorsement and an endorsement against acts of the public enemy and terrorists. The policy shall insure the hazards of premises and operations, independent contractors, contractual liability (covering the indemnity contained in Section 22 hereof) and shall (i) name Landlord, the mortgagees of Landlord, the mortgagees of Landlord’s interest in the Project, and any other person or entity specified by Landlord as an additional insured using ISO Additional Insured Endorsement CG 2037 or CG 2026 (or their equivalent), (ii) contain a cross-liability provision, (iii) contain a provision that the insurance provided the landlord hereunder shall be primary and noncontributing with any other insurance available to Landlord, and (iv) include fire legal liability coverage in the amount of One Million and No/100ths Dollars ($1,000,000).</w:t>
      </w:r>
    </w:p>
    <w:p>
      <w:pPr>
        <w:spacing w:after="0" w:line="190" w:lineRule="exact"/>
        <w:rPr>
          <w:rFonts w:ascii="Times New Roman" w:cs="Times New Roman" w:eastAsia="Times New Roman" w:hAnsi="Times New Roman"/>
          <w:sz w:val="17"/>
          <w:szCs w:val="17"/>
          <w:color w:val="auto"/>
        </w:rPr>
      </w:pPr>
    </w:p>
    <w:p>
      <w:pPr>
        <w:ind w:left="1300" w:hanging="310"/>
        <w:spacing w:after="0"/>
        <w:tabs>
          <w:tab w:leader="none" w:pos="130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Workers’ Compensation Insurance.</w:t>
      </w:r>
      <w:r>
        <w:rPr>
          <w:rFonts w:ascii="Times New Roman" w:cs="Times New Roman" w:eastAsia="Times New Roman" w:hAnsi="Times New Roman"/>
          <w:sz w:val="18"/>
          <w:szCs w:val="18"/>
          <w:color w:val="auto"/>
        </w:rPr>
        <w:t xml:space="preserve"> Workers’ Compensation and Employer’s Liability Insurance (as required by the laws of the State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California).</w:t>
      </w:r>
    </w:p>
    <w:p>
      <w:pPr>
        <w:spacing w:after="0" w:line="202" w:lineRule="exact"/>
        <w:rPr>
          <w:rFonts w:ascii="Times New Roman" w:cs="Times New Roman" w:eastAsia="Times New Roman" w:hAnsi="Times New Roman"/>
          <w:sz w:val="18"/>
          <w:szCs w:val="18"/>
          <w:color w:val="auto"/>
        </w:rPr>
      </w:pPr>
    </w:p>
    <w:p>
      <w:pPr>
        <w:ind w:right="260" w:firstLine="990"/>
        <w:spacing w:after="0" w:line="263" w:lineRule="auto"/>
        <w:tabs>
          <w:tab w:leader="none" w:pos="1284"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Boiler and Machinery Insurance.</w:t>
      </w:r>
      <w:r>
        <w:rPr>
          <w:rFonts w:ascii="Times New Roman" w:cs="Times New Roman" w:eastAsia="Times New Roman" w:hAnsi="Times New Roman"/>
          <w:sz w:val="18"/>
          <w:szCs w:val="18"/>
          <w:color w:val="auto"/>
        </w:rPr>
        <w:t xml:space="preserve"> If Tenant installs any boiler, pressure object, machinery, fire suppression system, supplemental air conditioning or other mechanical equipment within the Premises, Tenant shall also obtain and maintain at Tenant’s expense, boiler and machinery insurance covering loss arising from the use of such equipment.</w:t>
      </w:r>
    </w:p>
    <w:p>
      <w:pPr>
        <w:spacing w:after="0" w:line="175" w:lineRule="exact"/>
        <w:rPr>
          <w:rFonts w:ascii="Times New Roman" w:cs="Times New Roman" w:eastAsia="Times New Roman" w:hAnsi="Times New Roman"/>
          <w:sz w:val="18"/>
          <w:szCs w:val="18"/>
          <w:color w:val="auto"/>
        </w:rPr>
      </w:pPr>
    </w:p>
    <w:p>
      <w:pPr>
        <w:ind w:right="180" w:firstLine="990"/>
        <w:spacing w:after="0" w:line="263" w:lineRule="auto"/>
        <w:tabs>
          <w:tab w:leader="none" w:pos="1234"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Interruption Insurance.</w:t>
      </w:r>
      <w:r>
        <w:rPr>
          <w:rFonts w:ascii="Times New Roman" w:cs="Times New Roman" w:eastAsia="Times New Roman" w:hAnsi="Times New Roman"/>
          <w:sz w:val="18"/>
          <w:szCs w:val="18"/>
          <w:color w:val="auto"/>
        </w:rPr>
        <w:t xml:space="preserve"> A policy or policies of “business interruption insurance” covering those risks referred to in subparagraph (a)(i) above in an amount not less than the Basic Rent and Additional Rent for a period of not less than twelve (12) months commencing with the date of the loss.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80" w:top="269" w:right="499" w:bottom="1440" w:gutter="0" w:footer="0" w:header="0"/>
        </w:sectPr>
      </w:pPr>
    </w:p>
    <w:bookmarkStart w:id="623" w:name="page624"/>
    <w:bookmarkEnd w:id="623"/>
    <w:p>
      <w:pPr>
        <w:ind w:left="-40" w:right="120" w:firstLine="990"/>
        <w:spacing w:after="0" w:line="278" w:lineRule="auto"/>
        <w:tabs>
          <w:tab w:leader="none" w:pos="124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6135" cy="38735"/>
                    </a:xfrm>
                    <a:prstGeom prst="rect">
                      <a:avLst/>
                    </a:prstGeom>
                    <a:noFill/>
                  </pic:spPr>
                </pic:pic>
              </a:graphicData>
            </a:graphic>
          </wp:anchor>
        </w:drawing>
        <w:t>Other Insurance.</w:t>
      </w:r>
      <w:r>
        <w:rPr>
          <w:rFonts w:ascii="Times New Roman" w:cs="Times New Roman" w:eastAsia="Times New Roman" w:hAnsi="Times New Roman"/>
          <w:sz w:val="18"/>
          <w:szCs w:val="18"/>
          <w:color w:val="auto"/>
        </w:rPr>
        <w:t xml:space="preserve"> Any other form or forms of insurance as Tenant or Landlord or any mortgagees of Landlord may reasonably require from time to time in form, amounts and for insurance risks against which a prudent tenant would protect itself.</w:t>
      </w:r>
    </w:p>
    <w:p>
      <w:pPr>
        <w:spacing w:after="0" w:line="162" w:lineRule="exact"/>
        <w:rPr>
          <w:sz w:val="20"/>
          <w:szCs w:val="20"/>
          <w:color w:val="auto"/>
        </w:rPr>
      </w:pPr>
    </w:p>
    <w:p>
      <w:pPr>
        <w:ind w:left="-40" w:firstLine="990"/>
        <w:spacing w:after="0" w:line="265" w:lineRule="auto"/>
        <w:tabs>
          <w:tab w:leader="none" w:pos="1194" w:val="left"/>
        </w:tabs>
        <w:numPr>
          <w:ilvl w:val="0"/>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Criteria for Policies.</w:t>
      </w:r>
      <w:r>
        <w:rPr>
          <w:rFonts w:ascii="Times New Roman" w:cs="Times New Roman" w:eastAsia="Times New Roman" w:hAnsi="Times New Roman"/>
          <w:sz w:val="17"/>
          <w:szCs w:val="17"/>
          <w:color w:val="auto"/>
        </w:rPr>
        <w:t xml:space="preserve"> All such policies shall be written in a form satisfactory to Landlord and shall be taken out with insurance companies qualified to issue insurance in the State of California and holding an A.M. Best’s Rating of “A-” and a Financial Size Rating of “VIII” or better, as set forth in the most current issue of Best’s Key Rating Guide. Such insurance shall provide that it is primary insurance, and not contributory with any other insurance in force for or on behalf of Landlord. Prior to the commencement of the Term, Tenant shall deliver to Landlord (i) with respect to Tenant’s All-Risk Policy, a certificate of insurance in the ACORD 28 (2009/12) form (or such other form or forms acceptable to Landlord in its reasonable and absolute discretion) evidencing in a manner binding on the insurance carrier the existence of the amounts and forms of coverage required under this Lease (including, without limitation, with respect to the designation of loss payees as required under this Lease), and (ii) with respect to Tenant’s policy of Commercial General Liability Insurance, a certificate or evidence of insurance in a form acceptable to Landlord in its reasonable and absolute discretion evidencing in a manner binding on the insurance carrier the existence of the amounts and forms of coverage required under this Lease (including, without limitation, with respect to the designation of additional insureds as required under this Lease). No such policy shall be cancelable, terminable or reducible in coverage except after ten (10) days prior written notice to Landlord. Tenant shall, within ten (10) days prior to the expiration of such policies, furnish Landlord with certificates of insurance evidencing renewals thereof, or Landlord may order such insurance and charge the cost thereof to Tenant as additional rent, if Tenant fails to so notify Landlord. If Landlord obtains any insurance that is the responsibility of Tenant under this Section 17, Landlord shall deliver to Tenant a written statement setting forth the cost of any such insurance and showing in reasonable detail the manner in which it has been computed. The deductible under all insurance policies required to be maintained by Tenant under this Lease shall be subject to Landlord’s prior written approval, which approval shall not be unreasonably withheld, conditioned or delayed.</w:t>
      </w:r>
    </w:p>
    <w:p>
      <w:pPr>
        <w:spacing w:after="0" w:line="184" w:lineRule="exact"/>
        <w:rPr>
          <w:rFonts w:ascii="Times New Roman" w:cs="Times New Roman" w:eastAsia="Times New Roman" w:hAnsi="Times New Roman"/>
          <w:sz w:val="17"/>
          <w:szCs w:val="17"/>
          <w:color w:val="auto"/>
        </w:rPr>
      </w:pPr>
    </w:p>
    <w:p>
      <w:pPr>
        <w:ind w:left="1200" w:hanging="250"/>
        <w:spacing w:after="0"/>
        <w:tabs>
          <w:tab w:leader="none" w:pos="120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Insurance.</w:t>
      </w:r>
    </w:p>
    <w:p>
      <w:pPr>
        <w:spacing w:after="0" w:line="221" w:lineRule="exact"/>
        <w:rPr>
          <w:sz w:val="20"/>
          <w:szCs w:val="20"/>
          <w:color w:val="auto"/>
        </w:rPr>
      </w:pPr>
    </w:p>
    <w:p>
      <w:pPr>
        <w:ind w:left="-40" w:right="160" w:firstLine="990"/>
        <w:spacing w:after="0" w:line="252" w:lineRule="auto"/>
        <w:tabs>
          <w:tab w:leader="none" w:pos="115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maintain, or cause to be maintained, a policy of Commercial General Liability insurance with the premiums thereon fully paid in advance, issued by and binding upon an insurance company of good financial standing, insuring Landlord against any liability arising out of the lease, use, occupancy, or maintenance of the Project and all areas appurtenant thereto (other than the Premises, unless Landlord elects to extend such coverage to the Premises). Such insurance shall be in the amount of Two Million Dollars ($2,000,000) Combined Single Limit for injury to or death of one or more persons in an occurrence and Four Million Dollars ($4,000,000) in the aggregate (some reasonable portion of which may be maintained through an excess or umbrella policy, provided that any such excess or umbrella policy shall cover at least the same perils as a commercial general liability policy and shall not contain materially more extensive exclusions than such a policy), and for damage to tangible property (including loss of use) in an occurrence.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60"/>
          </w:cols>
          <w:pgMar w:left="520" w:top="269" w:right="519" w:bottom="1440" w:gutter="0" w:footer="0" w:header="0"/>
        </w:sectPr>
      </w:pPr>
    </w:p>
    <w:bookmarkStart w:id="624" w:name="page625"/>
    <w:bookmarkEnd w:id="624"/>
    <w:p>
      <w:pPr>
        <w:ind w:left="-60" w:right="40" w:firstLine="990"/>
        <w:spacing w:after="0" w:line="251" w:lineRule="auto"/>
        <w:tabs>
          <w:tab w:leader="none" w:pos="1175"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addition, Landlord shall maintain, or cause to be maintained, a policy or policies of insurance with the premiums thereon fully paid in advance, issued by and binding upon an insurance company of good financial standing, insuring the Project against loss or damage by fire and such other hazards as Landlord may elect (that may include earthquake loss if Landlord elects to maintain such coverage) and contingencies for the full insurable value thereof, or, in the alternative, insuring for eighty percent (80%) of the replacement cost thereof (or such minimum amount as shall be required to eliminate operation of coinsurance provisions), exclusive of excavations and foundations; provided, however, that Landlord shall not be obligated to insure any furniture, equipment, machinery, goods or supplies not covered by this Lease that Tenant may keep or maintain in the Premises, or any real or personal property that Tenant is otherwise required to insure under this Lease. If the annual premiums charged Landlord for such property insurance exceed the standard premium rates because the nature of Tenant’s operations result in extra-hazardous or higher than normal risk exposure, then Tenant shall, upon receipt of appropriate premium invoices, reimburse Landlord for such increases in premium. All insurance proceeds payable under Landlord’s insurance carried hereunder shall be payable solely to Landlord, and Tenant shall have no interest therein.</w:t>
      </w:r>
    </w:p>
    <w:p>
      <w:pPr>
        <w:spacing w:after="0" w:line="189" w:lineRule="exact"/>
        <w:rPr>
          <w:rFonts w:ascii="Times New Roman" w:cs="Times New Roman" w:eastAsia="Times New Roman" w:hAnsi="Times New Roman"/>
          <w:sz w:val="18"/>
          <w:szCs w:val="18"/>
          <w:color w:val="auto"/>
        </w:rPr>
      </w:pPr>
    </w:p>
    <w:p>
      <w:pPr>
        <w:ind w:left="-60" w:firstLine="444"/>
        <w:spacing w:after="0" w:line="251" w:lineRule="auto"/>
        <w:tabs>
          <w:tab w:leader="none" w:pos="64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SUBROGATION. Whether any loss or damage to or within the Project, the Building and/or the Premises is due to the negligence of either of the parties hereto, their agents or employees, or any other cause, Landlord and Tenant do each herewith and hereby release and relieve the other from responsibility for, and waive their entire claim of recovery, for any loss or damage to the real or personal property of the other located anywhere in the Project and including the Project itself, arising out of or incident to the occurrence of any of the perils which are covered by any property insurance policy covering the Project or which was required to be carried by either Landlord or Tenant (but only to the extent the loss is covered, or would have been covered, by such policy); or loss resulting from business interruption at the Premises, arising out of or incident to the occurrence of any of the perils which are covered by any business interruption insurance policy covering the Project. To the extent that any risks are, in fact, covered by property insurance, each party shall cause its insurance carriers to consent to such waiver and to waive all rights of subrogation against the other party.</w:t>
      </w:r>
    </w:p>
    <w:p>
      <w:pPr>
        <w:spacing w:after="0" w:line="191" w:lineRule="exact"/>
        <w:rPr>
          <w:rFonts w:ascii="Times New Roman" w:cs="Times New Roman" w:eastAsia="Times New Roman" w:hAnsi="Times New Roman"/>
          <w:sz w:val="18"/>
          <w:szCs w:val="18"/>
          <w:color w:val="auto"/>
        </w:rPr>
      </w:pPr>
    </w:p>
    <w:p>
      <w:pPr>
        <w:ind w:left="660" w:hanging="276"/>
        <w:spacing w:after="0"/>
        <w:tabs>
          <w:tab w:leader="none" w:pos="6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AND DESTRUCTION.</w:t>
      </w:r>
    </w:p>
    <w:p>
      <w:pPr>
        <w:spacing w:after="0" w:line="220" w:lineRule="exact"/>
        <w:rPr>
          <w:rFonts w:ascii="Times New Roman" w:cs="Times New Roman" w:eastAsia="Times New Roman" w:hAnsi="Times New Roman"/>
          <w:sz w:val="18"/>
          <w:szCs w:val="18"/>
          <w:color w:val="auto"/>
        </w:rPr>
      </w:pPr>
    </w:p>
    <w:p>
      <w:pPr>
        <w:ind w:left="-60" w:right="580" w:firstLine="990"/>
        <w:spacing w:after="0" w:line="278" w:lineRule="auto"/>
        <w:tabs>
          <w:tab w:leader="none" w:pos="116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 and Restoration.</w:t>
      </w:r>
      <w:r>
        <w:rPr>
          <w:rFonts w:ascii="Times New Roman" w:cs="Times New Roman" w:eastAsia="Times New Roman" w:hAnsi="Times New Roman"/>
          <w:sz w:val="18"/>
          <w:szCs w:val="18"/>
          <w:color w:val="auto"/>
        </w:rPr>
        <w:t xml:space="preserve"> If the Building and/or the Premises are damaged by fire or other perils covered by insurance carried by Landlord, Landlord shall, subject to the provisions of Section 19(b) below, have the following rights and obligations:</w:t>
      </w:r>
    </w:p>
    <w:p>
      <w:pPr>
        <w:spacing w:after="0" w:line="162" w:lineRule="exact"/>
        <w:rPr>
          <w:sz w:val="20"/>
          <w:szCs w:val="20"/>
          <w:color w:val="auto"/>
        </w:rPr>
      </w:pPr>
    </w:p>
    <w:p>
      <w:pPr>
        <w:ind w:left="-60" w:right="220" w:firstLine="990"/>
        <w:spacing w:after="0" w:line="255" w:lineRule="auto"/>
        <w:tabs>
          <w:tab w:leader="none" w:pos="113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Building and/or the Premises are damaged or destroyed by any such peril, to the extent the cost to repair exceeds twenty-five percent (25%) of the then full replacement value thereof or the damage thereto is such that the Building and/or the Premises cannot, in the reasonable estimate of Landlord, be repaired, reconstructed and restored within six (6) months from the date of such damage or destruction using customary diligence, Landlord shall, at its sole option, as soon as reasonably possible thereafter, either commence or cause the commencement of the repair, reconstruction and restoration of the Building and/or the Premises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20"/>
          </w:cols>
          <w:pgMar w:left="540" w:top="268" w:right="53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prosecute or cause the same to be prosecuted diligently to completion, in which event this Lease shall remain in full force and effect; or within sixty</w:t>
      </w:r>
    </w:p>
    <w:p>
      <w:pPr>
        <w:spacing w:after="0" w:line="37" w:lineRule="exact"/>
        <w:rPr>
          <w:sz w:val="20"/>
          <w:szCs w:val="20"/>
          <w:color w:val="auto"/>
        </w:rPr>
      </w:pPr>
    </w:p>
    <w:p>
      <w:pPr>
        <w:jc w:val="both"/>
        <w:ind w:right="40" w:firstLine="7"/>
        <w:spacing w:after="0" w:line="252" w:lineRule="auto"/>
        <w:tabs>
          <w:tab w:leader="none" w:pos="342"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damage or destruction, elect not to so repair, reconstruct or restore the Building and/or the Premises, in which event this Lease shall terminate. In either event, Landlord shall give Tenant written notice of its intention within said sixty (60) day period. If Landlord elects not to restore the Building and/or the Premises, this Lease shall be deemed to have terminated as of the date of such damage or destruction.</w:t>
      </w:r>
    </w:p>
    <w:p>
      <w:pPr>
        <w:spacing w:after="0" w:line="185" w:lineRule="exact"/>
        <w:rPr>
          <w:rFonts w:ascii="Times New Roman" w:cs="Times New Roman" w:eastAsia="Times New Roman" w:hAnsi="Times New Roman"/>
          <w:sz w:val="18"/>
          <w:szCs w:val="18"/>
          <w:color w:val="auto"/>
        </w:rPr>
      </w:pPr>
    </w:p>
    <w:p>
      <w:pPr>
        <w:ind w:right="60" w:firstLine="990"/>
        <w:spacing w:after="0" w:line="274" w:lineRule="auto"/>
        <w:tabs>
          <w:tab w:leader="none" w:pos="1245"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Building and/or the Premises are partially damaged or destroyed by any such peril, to the extent the cost to repair is twenty-five percent (25%) or less of the then full replacement value thereof, and if the damage thereto is such that the Building and/or the Premises reasonably may, in the reasonable estimate of Landlord, be repaired, reconstructed or restored within a period of six (6) months from the date of such damage or destruction using customary diligence, then Landlord shall commence or cause the commencement of and diligently complete or cause the completion of the work of repair, reconstruction and restoration of the Building and/or the Premises and this Lease shall continue in full force and effect.</w:t>
      </w:r>
    </w:p>
    <w:p>
      <w:pPr>
        <w:spacing w:after="0" w:line="168" w:lineRule="exact"/>
        <w:rPr>
          <w:sz w:val="20"/>
          <w:szCs w:val="20"/>
          <w:color w:val="auto"/>
        </w:rPr>
      </w:pPr>
    </w:p>
    <w:p>
      <w:pPr>
        <w:ind w:firstLine="990"/>
        <w:spacing w:after="0" w:line="266" w:lineRule="auto"/>
        <w:tabs>
          <w:tab w:leader="none" w:pos="1234"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Uninsured Casualties.</w:t>
      </w:r>
      <w:r>
        <w:rPr>
          <w:rFonts w:ascii="Times New Roman" w:cs="Times New Roman" w:eastAsia="Times New Roman" w:hAnsi="Times New Roman"/>
          <w:sz w:val="17"/>
          <w:szCs w:val="17"/>
          <w:color w:val="auto"/>
        </w:rPr>
        <w:t xml:space="preserve"> If damage or destruction of the Building and/or the Premises is due to any cause not fully covered (except for deductible amounts not exceeding One Hundred Thousand and No/100ths Dollars ($100,000.00)) by collectible insurance carried by Landlord at the time of such damage or destruction, Landlord may elect to terminate this Lease. If the repairing or restoring of the damage is delayed or prevented for longer than six (6) months after the occurrence of such damage or destruction by reason of weather, acts of God, war, governmental restrictions, inability to procure the necessary labor or materials, or any cause that is beyond the reasonable control of Landlord, Landlord may elect to be relieved of its obligation to make such repairs or restoration and terminate this Lease. Further, Landlord shall not have any obligation to repair, reconstruct or restore the Premises and may terminate this Lease when the damage resulting from any casualty covered under this Section 19 occurs during the last twelve</w:t>
      </w:r>
    </w:p>
    <w:p>
      <w:pPr>
        <w:ind w:left="340" w:hanging="333"/>
        <w:spacing w:after="0"/>
        <w:tabs>
          <w:tab w:leader="none" w:pos="3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Term.</w:t>
      </w:r>
    </w:p>
    <w:p>
      <w:pPr>
        <w:spacing w:after="0" w:line="202" w:lineRule="exact"/>
        <w:rPr>
          <w:rFonts w:ascii="Times New Roman" w:cs="Times New Roman" w:eastAsia="Times New Roman" w:hAnsi="Times New Roman"/>
          <w:sz w:val="18"/>
          <w:szCs w:val="18"/>
          <w:color w:val="auto"/>
        </w:rPr>
      </w:pPr>
    </w:p>
    <w:p>
      <w:pPr>
        <w:ind w:right="60" w:firstLine="990"/>
        <w:spacing w:after="0" w:line="258" w:lineRule="auto"/>
        <w:tabs>
          <w:tab w:leader="none" w:pos="1224"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Termination Right.</w:t>
      </w:r>
      <w:r>
        <w:rPr>
          <w:rFonts w:ascii="Times New Roman" w:cs="Times New Roman" w:eastAsia="Times New Roman" w:hAnsi="Times New Roman"/>
          <w:sz w:val="18"/>
          <w:szCs w:val="18"/>
          <w:color w:val="auto"/>
        </w:rPr>
        <w:t xml:space="preserve"> If the work of repair, reconstruction and restoration in connection with damage or destruction of the Building and/or Premises shall require a period longer than nine (9) months to complete or occurs within the last twelve (12) Lease Months, then Tenant may elect to terminate this Lease, provided that Tenant shall give written notice to Landlord of its intention within sixty (60) days after the date it is advised of such repair period.</w:t>
      </w:r>
    </w:p>
    <w:p>
      <w:pPr>
        <w:spacing w:after="0" w:line="179" w:lineRule="exact"/>
        <w:rPr>
          <w:rFonts w:ascii="Times New Roman" w:cs="Times New Roman" w:eastAsia="Times New Roman" w:hAnsi="Times New Roman"/>
          <w:sz w:val="18"/>
          <w:szCs w:val="18"/>
          <w:color w:val="auto"/>
        </w:rPr>
      </w:pPr>
    </w:p>
    <w:p>
      <w:pPr>
        <w:ind w:right="300" w:firstLine="990"/>
        <w:spacing w:after="0" w:line="258" w:lineRule="auto"/>
        <w:tabs>
          <w:tab w:leader="none" w:pos="1234"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Lease</w:t>
      </w:r>
      <w:r>
        <w:rPr>
          <w:rFonts w:ascii="Times New Roman" w:cs="Times New Roman" w:eastAsia="Times New Roman" w:hAnsi="Times New Roman"/>
          <w:sz w:val="18"/>
          <w:szCs w:val="18"/>
          <w:color w:val="auto"/>
        </w:rPr>
        <w:t>. Upon any termination of this Lease under any of the provisions of this Section 19, Landlord and Tenant shall each be released without further obligation to the other from the date possession of the Premises is surrendered to Landlord or such other date as is mutually agreed upon by Landlord and Tenant except for payments or other obligations which have theretofore accrued and are then unpaid or unperformed and any other obligations which, by their terms, survive the termination of this Lease.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80" w:top="269" w:right="499" w:bottom="1440" w:gutter="0" w:footer="0" w:header="0"/>
        </w:sectPr>
      </w:pPr>
    </w:p>
    <w:bookmarkStart w:id="626" w:name="page627"/>
    <w:bookmarkEnd w:id="626"/>
    <w:p>
      <w:pPr>
        <w:ind w:left="-20" w:right="40" w:firstLine="990"/>
        <w:spacing w:after="0" w:line="251" w:lineRule="auto"/>
        <w:tabs>
          <w:tab w:leader="none" w:pos="120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Basic Rent Abatement.</w:t>
      </w:r>
      <w:r>
        <w:rPr>
          <w:rFonts w:ascii="Times New Roman" w:cs="Times New Roman" w:eastAsia="Times New Roman" w:hAnsi="Times New Roman"/>
          <w:sz w:val="18"/>
          <w:szCs w:val="18"/>
          <w:color w:val="auto"/>
        </w:rPr>
        <w:t xml:space="preserve"> In the event of damage or of any repair, reconstruction and restoration by or through Landlord as herein provided, the Basic Rent payable under this Lease shall be abated proportionately to the degree to which Tenant’s use of the Premises is materially impaired during the period of such damage, repair, reconstruction or restoration. To the extent available on commercially reasonable terms, Landlord shall carry rental loss insurance on the Project applicable to the perils covered by an All Risk Policy on the Project and pertaining to the rent due under this Lease for not less than twelve (12) months. Tenant shall not otherwise be entitled to any abatement, compensation or damages for loss of the use of the whole or any part of the Premises and/or any inconvenience or annoyance occasioned by such damage, repair, reconstruction or restoration, nor shall Tenant be entitled to any insurance proceeds, including those in excess of the amount required by Landlord for such repair, reconstruction or restoration. Tenant shall not be released from any of its obligations under this Lease due to damage or destruction of the Building and/or the Premises except to the extent and upon the conditions expressly stated in this Section 19.</w:t>
      </w:r>
    </w:p>
    <w:p>
      <w:pPr>
        <w:spacing w:after="0" w:line="191" w:lineRule="exact"/>
        <w:rPr>
          <w:rFonts w:ascii="Times New Roman" w:cs="Times New Roman" w:eastAsia="Times New Roman" w:hAnsi="Times New Roman"/>
          <w:sz w:val="18"/>
          <w:szCs w:val="18"/>
          <w:color w:val="auto"/>
        </w:rPr>
      </w:pPr>
    </w:p>
    <w:p>
      <w:pPr>
        <w:ind w:left="-20" w:firstLine="990"/>
        <w:spacing w:after="0" w:line="255" w:lineRule="auto"/>
        <w:tabs>
          <w:tab w:leader="none" w:pos="1185"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Extent of Repair Obligation.</w:t>
      </w:r>
      <w:r>
        <w:rPr>
          <w:rFonts w:ascii="Times New Roman" w:cs="Times New Roman" w:eastAsia="Times New Roman" w:hAnsi="Times New Roman"/>
          <w:sz w:val="18"/>
          <w:szCs w:val="18"/>
          <w:color w:val="auto"/>
        </w:rPr>
        <w:t xml:space="preserve"> If Landlord is obligated to or elects to repair or restore as herein provided, Landlord shall be obligated to make repair or restoration only of those portions of the Building and the Premises which were originally provided at Landlord’s expense, and the repair and restoration of items not provided at Landlord’s expense shall be the obligation of Tenant. Tenant shall assign and deliver to Landlord any insurance proceeds payable to or received by Tenant in connection with any Alterations and insured by Tenant pursuant to Section 17(a) hereof, and Landlord shall thereafter, to the extent that it receives any such insurance proceeds, repair and restore such Alterations.</w:t>
      </w:r>
    </w:p>
    <w:p>
      <w:pPr>
        <w:spacing w:after="0" w:line="184" w:lineRule="exact"/>
        <w:rPr>
          <w:rFonts w:ascii="Times New Roman" w:cs="Times New Roman" w:eastAsia="Times New Roman" w:hAnsi="Times New Roman"/>
          <w:sz w:val="18"/>
          <w:szCs w:val="18"/>
          <w:color w:val="auto"/>
        </w:rPr>
      </w:pPr>
    </w:p>
    <w:p>
      <w:pPr>
        <w:ind w:left="-20" w:right="140" w:firstLine="990"/>
        <w:spacing w:after="0" w:line="278" w:lineRule="auto"/>
        <w:tabs>
          <w:tab w:leader="none" w:pos="121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provisions of California Civil Code § 1932(2) and § 1933(4), which permit termination of a lease upon destruction of the Premises, are hereby waived by Tenant; and the provisions of this Section 19 shall govern in case of such destruction.</w:t>
      </w:r>
    </w:p>
    <w:p>
      <w:pPr>
        <w:spacing w:after="0" w:line="162"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CONDEMNATION.</w:t>
      </w:r>
    </w:p>
    <w:p>
      <w:pPr>
        <w:spacing w:after="0" w:line="220" w:lineRule="exact"/>
        <w:rPr>
          <w:rFonts w:ascii="Times New Roman" w:cs="Times New Roman" w:eastAsia="Times New Roman" w:hAnsi="Times New Roman"/>
          <w:sz w:val="18"/>
          <w:szCs w:val="18"/>
          <w:color w:val="auto"/>
        </w:rPr>
      </w:pPr>
    </w:p>
    <w:p>
      <w:pPr>
        <w:ind w:left="-20" w:right="20" w:firstLine="990"/>
        <w:spacing w:after="0" w:line="255" w:lineRule="auto"/>
        <w:tabs>
          <w:tab w:leader="none" w:pos="120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Taking</w:t>
      </w:r>
      <w:r>
        <w:rPr>
          <w:rFonts w:ascii="Times New Roman" w:cs="Times New Roman" w:eastAsia="Times New Roman" w:hAnsi="Times New Roman"/>
          <w:sz w:val="18"/>
          <w:szCs w:val="18"/>
          <w:color w:val="auto"/>
        </w:rPr>
        <w:t>. If the whole of the Project, the Building or the Premises or so much thereof shall be taken by condemnation or in any other manner for any public or quasi-public use or purpose so that a reasonable amount of reconstruction will not result in the Premises being no longer reasonably suitable for Tenant’s continued occupancy, this Lease and the term and estate hereby granted shall terminate and no longer be of any force or effect as of the date that possession of the Project, the Building or the Premises is so taken (herein called “</w:t>
      </w:r>
      <w:r>
        <w:rPr>
          <w:rFonts w:ascii="Times New Roman" w:cs="Times New Roman" w:eastAsia="Times New Roman" w:hAnsi="Times New Roman"/>
          <w:sz w:val="18"/>
          <w:szCs w:val="18"/>
          <w:b w:val="1"/>
          <w:bCs w:val="1"/>
          <w:i w:val="1"/>
          <w:iCs w:val="1"/>
          <w:color w:val="auto"/>
        </w:rPr>
        <w:t>Date of the Taking</w:t>
      </w:r>
      <w:r>
        <w:rPr>
          <w:rFonts w:ascii="Times New Roman" w:cs="Times New Roman" w:eastAsia="Times New Roman" w:hAnsi="Times New Roman"/>
          <w:sz w:val="18"/>
          <w:szCs w:val="18"/>
          <w:color w:val="auto"/>
        </w:rPr>
        <w:t>”), and the Basic Rent and other sums payable hereunder shall be prorated and adjusted as of such termination date.</w:t>
      </w:r>
    </w:p>
    <w:p>
      <w:pPr>
        <w:spacing w:after="0" w:line="184" w:lineRule="exact"/>
        <w:rPr>
          <w:rFonts w:ascii="Times New Roman" w:cs="Times New Roman" w:eastAsia="Times New Roman" w:hAnsi="Times New Roman"/>
          <w:sz w:val="18"/>
          <w:szCs w:val="18"/>
          <w:color w:val="auto"/>
        </w:rPr>
      </w:pPr>
    </w:p>
    <w:p>
      <w:pPr>
        <w:ind w:left="-20" w:firstLine="990"/>
        <w:spacing w:after="0" w:line="253" w:lineRule="auto"/>
        <w:tabs>
          <w:tab w:leader="none" w:pos="121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Taking</w:t>
      </w:r>
      <w:r>
        <w:rPr>
          <w:rFonts w:ascii="Times New Roman" w:cs="Times New Roman" w:eastAsia="Times New Roman" w:hAnsi="Times New Roman"/>
          <w:sz w:val="18"/>
          <w:szCs w:val="18"/>
          <w:color w:val="auto"/>
        </w:rPr>
        <w:t>. If only a part of the Building, the Project or the Premises shall be so taken so that the remaining part thereof after reconstruction is reasonably suited for Tenant’s continued occupancy, this Lease shall be unaffected by such taking, except that if such condemnation affects more than fifty percent (50%) of the Premises, either Tenant or Landlord may, at its option, terminate this Lease by giving the other party written notice to that effect within sixty (60) days after the Date of the Taking. In such event, this Lease shall terminate and no longer be of any force or effect as of the date that such notice shall be given, and the Basic Rent and other sums payable hereunder shall be prorated and adjusted as of such termination date. Upon a partial taking after which this Lease continues in force as to any part of the Premises, the Basic Rent and other sums payable hereunder shall be adjusted according to the Rentable Area remaining.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500" w:top="268" w:right="499" w:bottom="1440" w:gutter="0" w:footer="0" w:header="0"/>
        </w:sectPr>
      </w:pPr>
    </w:p>
    <w:bookmarkStart w:id="627" w:name="page628"/>
    <w:bookmarkEnd w:id="627"/>
    <w:p>
      <w:pPr>
        <w:ind w:left="-20" w:firstLine="990"/>
        <w:spacing w:after="0" w:line="285" w:lineRule="auto"/>
        <w:tabs>
          <w:tab w:leader="none" w:pos="1204" w:val="left"/>
        </w:tabs>
        <w:numPr>
          <w:ilvl w:val="1"/>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Award.</w:t>
      </w:r>
      <w:r>
        <w:rPr>
          <w:rFonts w:ascii="Times New Roman" w:cs="Times New Roman" w:eastAsia="Times New Roman" w:hAnsi="Times New Roman"/>
          <w:sz w:val="17"/>
          <w:szCs w:val="17"/>
          <w:color w:val="auto"/>
        </w:rPr>
        <w:t xml:space="preserve"> Landlord shall be entitled to receive the entire award or payment in connection with any taking without deduction therefrom for any estate vested in Tenant by or in connection with this Lease, and Tenant shall receive no part of such award, including any award for the “leasehold bonus value” of this Lease. Tenant hereby expressly assigns to Landlord all of its right, title and interest in and to every such award or payment.</w:t>
      </w:r>
    </w:p>
    <w:p>
      <w:pPr>
        <w:spacing w:after="0" w:line="159" w:lineRule="exact"/>
        <w:rPr>
          <w:rFonts w:ascii="Times New Roman" w:cs="Times New Roman" w:eastAsia="Times New Roman" w:hAnsi="Times New Roman"/>
          <w:sz w:val="17"/>
          <w:szCs w:val="17"/>
          <w:color w:val="auto"/>
        </w:rPr>
      </w:pPr>
    </w:p>
    <w:p>
      <w:pPr>
        <w:ind w:left="-20" w:right="440" w:firstLine="990"/>
        <w:spacing w:after="0" w:line="263" w:lineRule="auto"/>
        <w:tabs>
          <w:tab w:leader="none" w:pos="121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Except as may be otherwise provided herein, Tenant hereby waives and releases any right to terminate this Lease under Sections 1265.120 and 1265.130 of the California Code of Civil Procedure or under any similar law, statute or ordinance now or hereafter in effect relative to eminent domain, condemnation or takings.</w:t>
      </w:r>
    </w:p>
    <w:p>
      <w:pPr>
        <w:spacing w:after="0" w:line="175"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TENANT’S PROPERTY AND EXCULPATION.</w:t>
      </w:r>
    </w:p>
    <w:p>
      <w:pPr>
        <w:spacing w:after="0" w:line="220" w:lineRule="exact"/>
        <w:rPr>
          <w:rFonts w:ascii="Times New Roman" w:cs="Times New Roman" w:eastAsia="Times New Roman" w:hAnsi="Times New Roman"/>
          <w:sz w:val="18"/>
          <w:szCs w:val="18"/>
          <w:color w:val="auto"/>
        </w:rPr>
      </w:pPr>
    </w:p>
    <w:p>
      <w:pPr>
        <w:ind w:left="-20" w:right="20" w:firstLine="990"/>
        <w:spacing w:after="0" w:line="254" w:lineRule="auto"/>
        <w:tabs>
          <w:tab w:leader="none" w:pos="120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 to Tenant’s Property.</w:t>
      </w:r>
      <w:r>
        <w:rPr>
          <w:rFonts w:ascii="Times New Roman" w:cs="Times New Roman" w:eastAsia="Times New Roman" w:hAnsi="Times New Roman"/>
          <w:sz w:val="18"/>
          <w:szCs w:val="18"/>
          <w:color w:val="auto"/>
        </w:rPr>
        <w:t xml:space="preserve"> Notwithstanding anything to the contrary in this Lease, neither Landlord nor the Landlord Parties (defined below) shall be liable for damage to persons or property resulting from fire, explosion, falling plaster, steam, gas, electricity, water or rain which may leak from any part of the Building or from the pipes, appliances or plumbing work therein or from the roof, street or sub-surface or from any other place or resulting from dampness, or any damage or loss to the business or occupation of Tenant arising from the acts or neglect of other tenants or occupants of, or invitees to, the Project. Tenant shall give prompt written notice to Landlord in case of fire or accident in the Premises or in the Building or of defects therein or in the fixtures or equipment.</w:t>
      </w:r>
    </w:p>
    <w:p>
      <w:pPr>
        <w:spacing w:after="0" w:line="183" w:lineRule="exact"/>
        <w:rPr>
          <w:rFonts w:ascii="Times New Roman" w:cs="Times New Roman" w:eastAsia="Times New Roman" w:hAnsi="Times New Roman"/>
          <w:sz w:val="18"/>
          <w:szCs w:val="18"/>
          <w:color w:val="auto"/>
        </w:rPr>
      </w:pPr>
    </w:p>
    <w:p>
      <w:pPr>
        <w:ind w:left="-20" w:right="20" w:firstLine="990"/>
        <w:spacing w:after="0" w:line="250" w:lineRule="auto"/>
        <w:tabs>
          <w:tab w:leader="none" w:pos="121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xml:space="preserve"> Neither Landlord nor the Landlord Parties shall be liable to Tenant for any loss, damage, death or injury to person or property or any inconvenience: (i) caused by theft, fire, vandalism, assault, battery, act of God, breaches of security, acts of the public enemy, acts of terrorists or criminals, riot, strike, insurrection, war, court order, requisition or order of governmental body or authority, whether or not the negligence of Landlord or its agents or employees was a cause of, or in any way contributed to, such loss, damage, death or injury, or (ii) that occurs by reason of the active negligence or willful misconduct of Tenant, its agents, employees or invitees. Tenant hereby waives the remedy of constructive eviction. Any other provision of this Lease to the contrary notwithstanding: (i) in no event shall Landlord have any liability to Tenant for any consequential damages whatsoever, including loss of revenue or profits; and (ii) nothing in this Section 21(b) shall be deemed to limit the right of Tenant to pursue its remedies against any contractor or subcontractor of Landlord in connection with any damage to property or injury or death to persons caused by such contractor or subcontractor, provided, however, that Landlord shall not be vicariously liable to Tenant with respect to any such damage, injury or death caused by any such contractor or subcontractor and Tenant hereby waives any claim it may have that Landlord is vicariously liable for such damage, injury or death by reason of such contractor or subcontractor being the agent of Landlord. Notwithstanding anything to the contrary set forth above, no exculpation or disclaimer set forth above shall relieve Landlord from liability to the extent arising due to the gross negligence or willful misconduct of any Landlord Party.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500" w:top="268" w:right="519" w:bottom="1440" w:gutter="0" w:footer="0" w:header="0"/>
        </w:sectPr>
      </w:pPr>
    </w:p>
    <w:bookmarkStart w:id="628" w:name="page629"/>
    <w:bookmarkEnd w:id="628"/>
    <w:p>
      <w:pPr>
        <w:ind w:firstLine="444"/>
        <w:spacing w:after="0" w:line="264" w:lineRule="auto"/>
        <w:tabs>
          <w:tab w:leader="none" w:pos="704" w:val="left"/>
        </w:tabs>
        <w:numPr>
          <w:ilvl w:val="1"/>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INDEMNIFICATION. Tenant shall indemnify, defend and hold Landlord, its members, employees, agents, consultants, independent contractors, guests, invitees and other representatives (collectively, the “</w:t>
      </w:r>
      <w:r>
        <w:rPr>
          <w:rFonts w:ascii="Times New Roman" w:cs="Times New Roman" w:eastAsia="Times New Roman" w:hAnsi="Times New Roman"/>
          <w:sz w:val="17"/>
          <w:szCs w:val="17"/>
          <w:b w:val="1"/>
          <w:bCs w:val="1"/>
          <w:i w:val="1"/>
          <w:iCs w:val="1"/>
          <w:color w:val="auto"/>
        </w:rPr>
        <w:t>Landlord Parties</w:t>
      </w:r>
      <w:r>
        <w:rPr>
          <w:rFonts w:ascii="Times New Roman" w:cs="Times New Roman" w:eastAsia="Times New Roman" w:hAnsi="Times New Roman"/>
          <w:sz w:val="17"/>
          <w:szCs w:val="17"/>
          <w:color w:val="auto"/>
        </w:rPr>
        <w:t>”) harmless from and against all claims, losses, liabilities, damages, costs, expenses and claims arising from or relating to the use of the Premises or the Common Areas of the Project by the Tenant Parties or the conduct of Tenant’s business or any activity, work, or thing done or permitted by Tenant in or about the Premises or the Common Areas of the Project or suffered by Tenant in the Premises, any breach or default in the performance of any obligation to be performed by Tenant under the terms of this Lease, any act, neglect, fault or omission of any of the Tenant Parties, and all costs, attorneys’ fees, expenses and liabilities incurred in or about such claims or any action or proceeding brought thereon. In case any action or proceeding shall be brought against any of the Landlord Parties by reason of any such claim, Tenant upon written notice from Landlord shall defend the same at Tenant’s expense by counsel reasonably approved in writing by Landlord. With respect to events occurring in or about the Premises, such indemnity shall include matters arising in connection with the passive (but not active) negligence of Landlord. Tenant, as a material part of the consideration to Landlord, hereby assumes all risk of and waives all claims against the Landlord Parties with respect to damage to property or injury to persons in, upon or about the Premises from any cause whatsoever except that which is caused by the gross negligence or willful misconduct of any Landlord Party, or the failure of Landlord to observe any of the terms and conditions of this Lease where such failure has persisted for an unreasonable period of time after written notice from Tenant to Landlord of such failure. The foregoing indemnity shall survive the expiration or earlier termination of this Lease with respect to conditions or occurrences occurring (i) during the Term,</w:t>
      </w:r>
    </w:p>
    <w:p>
      <w:pPr>
        <w:spacing w:after="0" w:line="4" w:lineRule="exact"/>
        <w:rPr>
          <w:rFonts w:ascii="Times New Roman" w:cs="Times New Roman" w:eastAsia="Times New Roman" w:hAnsi="Times New Roman"/>
          <w:sz w:val="17"/>
          <w:szCs w:val="17"/>
          <w:color w:val="auto"/>
        </w:rPr>
      </w:pPr>
    </w:p>
    <w:p>
      <w:pPr>
        <w:ind w:right="100" w:firstLine="7"/>
        <w:spacing w:after="0" w:line="252" w:lineRule="auto"/>
        <w:tabs>
          <w:tab w:leader="none" w:pos="262"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Tenant or any Tenant Party is occupying or in possession of the Premises, (iii) while Tenant is holding over in the Premises or (iv) prior to the date Tenant has performed all of its obligations under Section 37 below. Tenant’s obligation to indemnify hereunder shall be subject to the waiver of subrogation set forth in Section I8 above.</w:t>
      </w:r>
    </w:p>
    <w:p>
      <w:pPr>
        <w:spacing w:after="0" w:line="185"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MATERIALS.</w:t>
      </w:r>
    </w:p>
    <w:p>
      <w:pPr>
        <w:spacing w:after="0" w:line="216" w:lineRule="exact"/>
        <w:rPr>
          <w:rFonts w:ascii="Times New Roman" w:cs="Times New Roman" w:eastAsia="Times New Roman" w:hAnsi="Times New Roman"/>
          <w:sz w:val="18"/>
          <w:szCs w:val="18"/>
          <w:color w:val="auto"/>
        </w:rPr>
      </w:pPr>
    </w:p>
    <w:p>
      <w:pPr>
        <w:ind w:right="20" w:firstLine="990"/>
        <w:spacing w:after="0" w:line="251" w:lineRule="auto"/>
        <w:tabs>
          <w:tab w:leader="none" w:pos="1224"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herein, the term “</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means any hazardous or toxic substance, material or waste which is or becomes regulated by, or is dealt with in, any local governmental authority, the State of California or the United States Government. Accordingly, the term “Hazardous Material” includes, without limitation, any material or substance which is (i) defined as a “hazardous waste,” “extremely hazardous waste” or “restricted hazardous waste” under Sections 2511 5, 25117 or 25122.7, or listed pursuant to Section 25140 of the California Health and Safety Code, Division 20, Chapter 6.5 (Hazardous Waste Control Law), (ii) defined as a “hazardous substance” under Section 25316 of the California Health and Safety Code, Division 20, Chapter 6.95 (Hazardous Materials Release Response Plans and Inventory), (iii) defined as a “hazardous substance” under Section 25281 of the California Health and Safety Code, Division 20, Chapter 6.7 (Underground Storage of Hazardous Substances), (iv) petroleum, (v) asbestos, (vi) listed under Article 9 or defined as hazardous or extremely hazardous pursuant to Article 11 of Title 22 of the California Administrative Code, Division 4, Chapter 20, (vii) designated as a “hazardous substance” pursuant to Section 311 of the Federal Water Pollution Control Act (33 U.S.C. § 1317), (viii) defined as a “hazardous waste” pursuant to Section 1004 of the Federal Resource Conservation and Recovery Act, 42 U.S.C. § 6902 et seq., or (ix) defined as a “hazardous substance” pursuant to Section 101 of the Compensation and Liability Act, 42 U.S.C. § 9601 et seq.</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480" w:top="268" w:right="499" w:bottom="1440" w:gutter="0" w:footer="0" w:header="0"/>
        </w:sectPr>
      </w:pPr>
    </w:p>
    <w:bookmarkStart w:id="629" w:name="page630"/>
    <w:bookmarkEnd w:id="629"/>
    <w:p>
      <w:pPr>
        <w:ind w:right="60" w:firstLine="990"/>
        <w:spacing w:after="0" w:line="251" w:lineRule="auto"/>
        <w:tabs>
          <w:tab w:leader="none" w:pos="123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Limitations on Use</w:t>
      </w:r>
      <w:r>
        <w:rPr>
          <w:rFonts w:ascii="Times New Roman" w:cs="Times New Roman" w:eastAsia="Times New Roman" w:hAnsi="Times New Roman"/>
          <w:sz w:val="18"/>
          <w:szCs w:val="18"/>
          <w:color w:val="auto"/>
        </w:rPr>
        <w:t>. Tenant shall not (either with or without negligence) cause or permit the escape, disposal or release of any Hazardous Materials. Tenant shall not allow the storage or use of Hazardous Materials in any manner not sanctioned by law or by the highest standards prevailing in the industry for the storage or use of such substances or materials, nor allow to be brought onto the Building or Project any such materials or substances, except that Tenant may maintain products in the Premises which are customarily incidental to normal operation of business offices in San Francisco, such as photocopy supplies, secretarial supplies and limited janitorial supplies which products contain chemicals which are categorized as Hazardous Materials, provided that the use of such products in the Premises by Tenant shall be in compliance with applicable laws and shall be in the manner in which such products are designed to be used. In addition, Tenant shall execute affidavits, representations and the like from time to time at Landlord’s request concerning Tenant’s actual knowledge and belief regarding the presence of Hazardous Materials on the Premises. The covenants of this Section 23 shall survive the expiration or earlier termination of this Lease.</w:t>
      </w:r>
    </w:p>
    <w:p>
      <w:pPr>
        <w:spacing w:after="0" w:line="191" w:lineRule="exact"/>
        <w:rPr>
          <w:rFonts w:ascii="Times New Roman" w:cs="Times New Roman" w:eastAsia="Times New Roman" w:hAnsi="Times New Roman"/>
          <w:sz w:val="18"/>
          <w:szCs w:val="18"/>
          <w:color w:val="auto"/>
        </w:rPr>
      </w:pPr>
    </w:p>
    <w:p>
      <w:pPr>
        <w:ind w:firstLine="990"/>
        <w:spacing w:after="0" w:line="251" w:lineRule="auto"/>
        <w:tabs>
          <w:tab w:leader="none" w:pos="122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Obligations.</w:t>
      </w:r>
      <w:r>
        <w:rPr>
          <w:rFonts w:ascii="Times New Roman" w:cs="Times New Roman" w:eastAsia="Times New Roman" w:hAnsi="Times New Roman"/>
          <w:sz w:val="18"/>
          <w:szCs w:val="18"/>
          <w:color w:val="auto"/>
        </w:rPr>
        <w:t xml:space="preserve"> Landlord and Tenant shall notify each other in writing of (i) any enforcement, clean-up, removal or other governmental action instituted with regard to Hazardous Materials involving the Project, (ii) any claim made by any person against either of the parties related to Hazardous Materials in the Premises or the Project, (iii) any reports made to any governmental agency arising out of or in connection with Hazardous Materials in the Premises or the Project including, without limitation, any complaints, notices or warnings, and (iv) any spill, release, discharge or disposal of Hazardous Materials in the Premises or the Project that is required to be reported to any governmental agency or authority under any applicable governmental law, rule or regulation. Tenant shall indemnify and hold Landlord and its affiliates harmless with respect to any environmental claims or liabilities which occur as a result of the breach by Tenant of any of Tenant’s covenants set forth in Section 23(b) above or this Section 23(c) and from any escape, seepage, leakage, spillage, discharge, emission, release from, onto or into the Premises, the Building or the Project of any Hazardous Materials to the extent caused: (i) by Tenant or Tenant’s agents, contractors, trustees, partners, members, shareholders, officers, employees, guests, invitees, subtenants or licensees (collectively, the “</w:t>
      </w:r>
      <w:r>
        <w:rPr>
          <w:rFonts w:ascii="Times New Roman" w:cs="Times New Roman" w:eastAsia="Times New Roman" w:hAnsi="Times New Roman"/>
          <w:sz w:val="18"/>
          <w:szCs w:val="18"/>
          <w:i w:val="1"/>
          <w:iCs w:val="1"/>
          <w:color w:val="auto"/>
        </w:rPr>
        <w:t>Tenant Parties</w:t>
      </w:r>
      <w:r>
        <w:rPr>
          <w:rFonts w:ascii="Times New Roman" w:cs="Times New Roman" w:eastAsia="Times New Roman" w:hAnsi="Times New Roman"/>
          <w:sz w:val="18"/>
          <w:szCs w:val="18"/>
          <w:color w:val="auto"/>
        </w:rPr>
        <w:t>”), or (ii) as a result of the active or passive negligence of Tenant or any Tenant Party.</w:t>
      </w:r>
    </w:p>
    <w:p>
      <w:pPr>
        <w:spacing w:after="0" w:line="186" w:lineRule="exact"/>
        <w:rPr>
          <w:rFonts w:ascii="Times New Roman" w:cs="Times New Roman" w:eastAsia="Times New Roman" w:hAnsi="Times New Roman"/>
          <w:sz w:val="18"/>
          <w:szCs w:val="18"/>
          <w:color w:val="auto"/>
        </w:rPr>
      </w:pPr>
    </w:p>
    <w:p>
      <w:pPr>
        <w:jc w:val="both"/>
        <w:ind w:right="340" w:firstLine="990"/>
        <w:spacing w:after="0" w:line="263" w:lineRule="auto"/>
        <w:tabs>
          <w:tab w:leader="none" w:pos="123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Tenant Covenants.</w:t>
      </w:r>
      <w:r>
        <w:rPr>
          <w:rFonts w:ascii="Times New Roman" w:cs="Times New Roman" w:eastAsia="Times New Roman" w:hAnsi="Times New Roman"/>
          <w:sz w:val="18"/>
          <w:szCs w:val="18"/>
          <w:color w:val="auto"/>
        </w:rPr>
        <w:t xml:space="preserve"> The covenants of Tenant set forth in Sections 23(b) and 23(c) above shall not pertain to, and shall specifically exclude, any claim or liability arising in connection with any Hazardous Materials which are either: (i) first brought onto the Project by Landlord or its employees or contractors; or (ii) exist on the Project as of the date of this Lease.</w:t>
      </w:r>
    </w:p>
    <w:p>
      <w:pPr>
        <w:spacing w:after="0" w:line="175" w:lineRule="exact"/>
        <w:rPr>
          <w:rFonts w:ascii="Times New Roman" w:cs="Times New Roman" w:eastAsia="Times New Roman" w:hAnsi="Times New Roman"/>
          <w:sz w:val="18"/>
          <w:szCs w:val="18"/>
          <w:color w:val="auto"/>
        </w:rPr>
      </w:pPr>
    </w:p>
    <w:p>
      <w:pPr>
        <w:jc w:val="both"/>
        <w:ind w:right="20" w:firstLine="990"/>
        <w:spacing w:after="0" w:line="258" w:lineRule="auto"/>
        <w:tabs>
          <w:tab w:leader="none" w:pos="122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 by Landlord.</w:t>
      </w:r>
      <w:r>
        <w:rPr>
          <w:rFonts w:ascii="Times New Roman" w:cs="Times New Roman" w:eastAsia="Times New Roman" w:hAnsi="Times New Roman"/>
          <w:sz w:val="18"/>
          <w:szCs w:val="18"/>
          <w:color w:val="auto"/>
        </w:rPr>
        <w:t xml:space="preserve"> Landlord hereby discloses to Tenant that previous owners, occupants or others possessed, used and may have disposed of construction materials and debris and other Hazardous Materials in or about the Project or portions thereof. Tenant acknowledges and agrees that Landlord has not made any warranty or representation as to the condition of the Project, including, without limitation, the presence or absence of Hazardous Materials thereon.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80" w:top="268" w:right="499" w:bottom="1440" w:gutter="0" w:footer="0" w:header="0"/>
        </w:sectPr>
      </w:pPr>
    </w:p>
    <w:bookmarkStart w:id="630" w:name="page631"/>
    <w:bookmarkEnd w:id="630"/>
    <w:p>
      <w:pPr>
        <w:ind w:left="-7" w:firstLine="444"/>
        <w:spacing w:after="0" w:line="264" w:lineRule="auto"/>
        <w:tabs>
          <w:tab w:leader="none" w:pos="696" w:val="left"/>
        </w:tabs>
        <w:numPr>
          <w:ilvl w:val="1"/>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SUBORDINATION. Tenant agrees that this Lease is and shall be subordinate to any mortgage, deed of trust, ground lease or underlying lease (hereinafter “</w:t>
      </w:r>
      <w:r>
        <w:rPr>
          <w:rFonts w:ascii="Times New Roman" w:cs="Times New Roman" w:eastAsia="Times New Roman" w:hAnsi="Times New Roman"/>
          <w:sz w:val="17"/>
          <w:szCs w:val="17"/>
          <w:i w:val="1"/>
          <w:iCs w:val="1"/>
          <w:color w:val="auto"/>
        </w:rPr>
        <w:t>Prior Lien</w:t>
      </w:r>
      <w:r>
        <w:rPr>
          <w:rFonts w:ascii="Times New Roman" w:cs="Times New Roman" w:eastAsia="Times New Roman" w:hAnsi="Times New Roman"/>
          <w:sz w:val="17"/>
          <w:szCs w:val="17"/>
          <w:color w:val="auto"/>
        </w:rPr>
        <w:t>”) that may heretofore or hereafter be placed upon the Project or the Building, and all renewals, replacements and extensions thereof. If any Prior Lien holder wishes to have this Lease prior to its Prior Lien, then and in such event, upon such Prior Lien holder’s notifying Tenant to that effect, this Lease shall be deemed prior to the Prior Lien. If any ground lease or underlying lease terminates for any reason or any mortgage or deed of trust is foreclosed or a conveyance in lieu of foreclosure is made for any reason, Tenant shall, notwithstanding any subordination, attorn to and become the tenant of the successor in interest to Landlord, provided that such successor in interest recognizes the interest of Tenant under this Lease if no default under this Lease then exists. Within fifteen (15) days of presentation, Tenant shall execute (or provide good faith comments to) any documents which any such Prior Lien holder may require to effectuate the provisions of this Section 24. As a condition of any such subordination, however, the holder of or beneficiary under any such encumbrance shall agree in an executed, acknowledged and recorded non-disturbance agreement which provides that Tenant shall not be disturbed in its possession, except as may be consequent on an Event of Default, nor shall the obligations of Tenant be enlarged or its rights abridged hereunder by reason of any such mortgage or deed of trust or lease, save and except that the lender and any person acquiring title by reason of a foreclosure sale or an exercise of a power of sale or by deed expressly in lieu of foreclosure shall not: (i) have any liability for any act, omission, default or breach by Landlord under this Lease occurring prior to the time of such acquisition by such lender or person;</w:t>
      </w:r>
    </w:p>
    <w:p>
      <w:pPr>
        <w:spacing w:after="0" w:line="5" w:lineRule="exact"/>
        <w:rPr>
          <w:rFonts w:ascii="Times New Roman" w:cs="Times New Roman" w:eastAsia="Times New Roman" w:hAnsi="Times New Roman"/>
          <w:sz w:val="17"/>
          <w:szCs w:val="17"/>
          <w:color w:val="auto"/>
        </w:rPr>
      </w:pPr>
    </w:p>
    <w:p>
      <w:pPr>
        <w:ind w:left="-7" w:right="40" w:firstLine="7"/>
        <w:spacing w:after="0" w:line="249" w:lineRule="auto"/>
        <w:tabs>
          <w:tab w:leader="none" w:pos="25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any claim or offset which Tenant may have had against Landlord; (iii) be bound by any payment of rent or any part thereof more than one month in advance; (iv) be bound by any amendment or modification to this Lease made after such subordination and without the written consent of such lender; (v) be obligated for the return of any security deposit or other thing of value given to Landlord to secure the performance by Tenant of its obligations under this Lease or any one or more of such obligations except to the extent such security deposit or other thing of value was received by such lender or other person; (vi) be required to perform, or liable for the failure to perform, the obligations of Landlord with respect to construction of improvements, provided that if such lender or other person fails to complete the Tenant Improvements as required herein, Tenant may terminate this Lease; and, (vii) be obligated to perform any repair or restoration of the Project or the Premises required as a result of any damage, destruction or condemnation, except as provided in this Lease.</w:t>
      </w:r>
    </w:p>
    <w:p>
      <w:pPr>
        <w:spacing w:after="0" w:line="189" w:lineRule="exact"/>
        <w:rPr>
          <w:rFonts w:ascii="Times New Roman" w:cs="Times New Roman" w:eastAsia="Times New Roman" w:hAnsi="Times New Roman"/>
          <w:sz w:val="18"/>
          <w:szCs w:val="18"/>
          <w:color w:val="auto"/>
        </w:rPr>
      </w:pPr>
    </w:p>
    <w:p>
      <w:pPr>
        <w:ind w:left="-7" w:right="60" w:firstLine="444"/>
        <w:spacing w:after="0" w:line="251" w:lineRule="auto"/>
        <w:tabs>
          <w:tab w:leader="none" w:pos="69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ESTOPPEL CERTIFICATE. Tenant will, upon ten (10) business days prior request by Landlord, execute, acknowledge and deliver to Landlord an estoppel certificate executed by Tenant,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certifying, among other things, the date of this Lease, that this Lease is unmodified and in full force and effect (or, if there have been modifications, that this Lease is in full force and effect as modified, and setting forth such modifications) and the date to which the Basic Rent and additional rent and other sums payable hereunder have been paid, and either stating that to the knowledge of Tenant no default exists hereunder on the part of Landlord or Tenant or specifying each such default of which Tenant may have knowledge and such other matters as may be reasonably requested by Landlord. The parties agree and intend that any such statement by Tenant may be relied upon by any prospective purchaser or mortgagee of the Building or the Project. In the event that Tenant fails or refuses to deliver such an estoppel certificate to Landlord within ten (10) business days of a written request from Landlord, then Landlord may give to Tenant a second notice, reiterating the request that Tenant execute an estoppel certificate in the form specified by Landlord (as may</w:t>
      </w:r>
    </w:p>
    <w:p>
      <w:pPr>
        <w:spacing w:after="0" w:line="125"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33"/>
          </w:cols>
          <w:pgMar w:left="487" w:top="268" w:right="579" w:bottom="1440" w:gutter="0" w:footer="0" w:header="0"/>
        </w:sectPr>
      </w:pPr>
    </w:p>
    <w:bookmarkStart w:id="631" w:name="page632"/>
    <w:bookmarkEnd w:id="6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be modified by Tenant to remain factual and consistent with the following) and stating that, if Tenant fails to do so within five (5) days of the receipt by Tenant of such second notice from Landlord, Tenant shall be deemed to be bound by the statements set forth in the form of certificate which Landlord requested that Tenant deliver. In the event that Tenant fails to deliver an estoppel certificate in the form specified by Landlord within five (5) days of the receipt by Tenant of such second notice from Landlord: (i) Tenant shall conclusively be deemed, without exception, to have acknowledged the correctness of the statements set forth in the form of certificate which Landlord requested that Tenant deliver, and Tenant shall be estopped from denying the correctness of each such statement, such that a mortgagee or purchaser may rely on the correctness of the statements in such form of certificate, as if made and certified by Tenant; and, (ii) such failure shall, at the sole option of Landlord and without the necessity of further notice to Tenant, constitute an Event of Default under this Lease.</w:t>
      </w:r>
    </w:p>
    <w:p>
      <w:pPr>
        <w:spacing w:after="0" w:line="80" w:lineRule="exact"/>
        <w:rPr>
          <w:sz w:val="20"/>
          <w:szCs w:val="20"/>
          <w:color w:val="auto"/>
        </w:rPr>
      </w:pPr>
    </w:p>
    <w:p>
      <w:pPr>
        <w:ind w:right="20" w:firstLine="444"/>
        <w:spacing w:after="0" w:line="255" w:lineRule="auto"/>
        <w:tabs>
          <w:tab w:leader="none" w:pos="70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RULES AND REGULATIONS. Tenant agrees to observe and be bound by the Rules and Regulations applicable to the Project, a copy of which is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Landlord reserves the right to amend said Rules and Regulations as Landlord in its reasonable judgment may from time to time deem to be necessary or desirable for the safety, care and cleanliness of the Project and the preservation of good order therein, and Tenant agrees to comply therewith. Landlord may make concessions requested by a tenant without granting the same concessions to any other tenant. To the extent the Rules and Regulations conflict with this Lease, this Lease shall control.</w:t>
      </w:r>
    </w:p>
    <w:p>
      <w:pPr>
        <w:spacing w:after="0" w:line="184" w:lineRule="exact"/>
        <w:rPr>
          <w:rFonts w:ascii="Times New Roman" w:cs="Times New Roman" w:eastAsia="Times New Roman" w:hAnsi="Times New Roman"/>
          <w:sz w:val="18"/>
          <w:szCs w:val="18"/>
          <w:color w:val="auto"/>
        </w:rPr>
      </w:pPr>
    </w:p>
    <w:p>
      <w:pPr>
        <w:ind w:right="20" w:firstLine="444"/>
        <w:spacing w:after="0" w:line="265" w:lineRule="auto"/>
        <w:tabs>
          <w:tab w:leader="none" w:pos="704"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DEPOSIT. Concurrently with execution hereof, Tenant has paid to Landlord the Security Deposit set forth in the Basic Lease Information (the “</w:t>
      </w:r>
      <w:r>
        <w:rPr>
          <w:rFonts w:ascii="Times New Roman" w:cs="Times New Roman" w:eastAsia="Times New Roman" w:hAnsi="Times New Roman"/>
          <w:sz w:val="17"/>
          <w:szCs w:val="17"/>
          <w:b w:val="1"/>
          <w:bCs w:val="1"/>
          <w:i w:val="1"/>
          <w:iCs w:val="1"/>
          <w:color w:val="auto"/>
        </w:rPr>
        <w:t>Security Deposit</w:t>
      </w:r>
      <w:r>
        <w:rPr>
          <w:rFonts w:ascii="Times New Roman" w:cs="Times New Roman" w:eastAsia="Times New Roman" w:hAnsi="Times New Roman"/>
          <w:sz w:val="17"/>
          <w:szCs w:val="17"/>
          <w:color w:val="auto"/>
        </w:rPr>
        <w:t>”) as security for the full and faithful performance of Tenant’s obligations under this Lease and for the payment of any damages incurred by Landlord as a result of an Event of Default or breach hereunder (including, without limitation, amounts which Landlord may be entitled to recover pursuant to the provisions of Sections 1951.2 or 1951.4 of the California Civil Code); provided, however, that the Security Deposit is not an advance rent deposit or an advance payment of any other kind, nor a measure of Landlord’s damages upon Tenant’s default. Landlord shall have no obligation to segregate the Security Deposit from its general funds or to pay interest thereon. Landlord may in its sole discretion (but shall not be required to) use the Security Deposit or any portion thereof to cure any failure by Tenant to perform any of its covenants or obligations hereunder or to compensate Landlord for any damage Landlord incurs as a result of Tenant’s failure to perform any of its covenants or obligations hereunder, it being understood that any use of the Security Deposit shall not constitute a bar or defense to any of Landlord’s remedies under this Lease or at law. In such event and with five (5) days of written notice from Landlord to Tenant specifying the amount of the Security Deposit so utilized by Landlord and the particular purpose for which such amount was applied, Tenant shall immediately deposit with Landlord an amount sufficient to return the Security Deposit to the amount specified in the Basic Lease Information. Tenant’s failure to make such payment to Landlord within five (5) days of Landlord’s notice shall constitute an Event of Default under this Lease without the necessity of further notice, and Tenant hereby acknowledges that attachment will be a proper remedy by which Landlord may seek to recover the amount which Tenant has then failed to pay. Following the expiration or termination of this Lease, Landlord shall return to Tenant the Security Deposit or the balance thereof then held by Landlord; provided, however, that: (i) Landlord shall not be obligated to return the Security Deposit or any part thereof until all breaches by Tenant of its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67" w:right="499" w:bottom="1440" w:gutter="0" w:footer="0" w:header="0"/>
        </w:sectPr>
      </w:pPr>
    </w:p>
    <w:bookmarkStart w:id="632" w:name="page633"/>
    <w:bookmarkEnd w:id="632"/>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obligations under this Lease have been cured and all damages which Landlord may suffer in connection with any such breach have been ascertained in amount and paid in full, including both future rents and damages under Section 1951.2 of the California Civil Code; (ii) in no event shall any such return be construed as an admission by Landlord that Tenant has performed all of its covenants and obligations hereunder; and (iii) Tenant hereby waives any rights which it may now or hereafter have under Section 1950.7 of the California Civil Code (excluding subsection (b), but it being understood that nothing herein will limit Landlord’s right to deduct prospective damages from the Security Deposit). If Landlord conveys or transfers its interest in the Premises, and as a part of such conveyance or transfer, assigns its interest in this Lease and Security Deposit, or any portion thereof not previously applied, the Security Deposit shall be transferred to Landlord’s successor and Landlord shall be released and discharged from any further liability to Tenant with respect to such Security Deposit. If Tenant has assigned its interest in this Lease, Landlord shall return that portion of the Security Deposit, if any, which would have been returned to Tenant to the assignee instead of to Tenant, and Landlord shall be released of all liability to Tenant in connection with the Security Deposit. In no event shall any mortgagee or beneficiary under a mortgage or deed of trust encumbering all or any portion of the Project, or any purchaser of all or any portion of the Project at a public or private foreclosure sale or exercise of a power of sale under such mortgage or deed of trust, have any liability or obligation whatsoever to Tenant or Tenant’s successors or assigns for the return of all or any part of the Security Deposit in the event any such mortgagee, beneficiary or purchaser becomes a mortgagee in possession or succeeds to the interest of Landlord under this Lease unless, and then only to the extent that, such mortgagee, beneficiary or purchaser has received all or any part of the Security Deposit.</w:t>
      </w:r>
    </w:p>
    <w:p>
      <w:pPr>
        <w:spacing w:after="0" w:line="176" w:lineRule="exact"/>
        <w:rPr>
          <w:sz w:val="20"/>
          <w:szCs w:val="20"/>
          <w:color w:val="auto"/>
        </w:rPr>
      </w:pPr>
    </w:p>
    <w:p>
      <w:pPr>
        <w:ind w:left="720" w:hanging="276"/>
        <w:spacing w:after="0"/>
        <w:tabs>
          <w:tab w:leader="none" w:pos="72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216"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Defaults.</w:t>
      </w:r>
      <w:r>
        <w:rPr>
          <w:rFonts w:ascii="Times New Roman" w:cs="Times New Roman" w:eastAsia="Times New Roman" w:hAnsi="Times New Roman"/>
          <w:sz w:val="17"/>
          <w:szCs w:val="17"/>
          <w:color w:val="auto"/>
        </w:rPr>
        <w:t xml:space="preserve"> The occurrence of any one or more of the following events shall constitute a default hereunder by Tenant (each an “</w:t>
      </w:r>
      <w:r>
        <w:rPr>
          <w:rFonts w:ascii="Times New Roman" w:cs="Times New Roman" w:eastAsia="Times New Roman" w:hAnsi="Times New Roman"/>
          <w:sz w:val="17"/>
          <w:szCs w:val="17"/>
          <w:b w:val="1"/>
          <w:bCs w:val="1"/>
          <w:i w:val="1"/>
          <w:iCs w:val="1"/>
          <w:color w:val="auto"/>
        </w:rPr>
        <w:t>Event of</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right="160" w:firstLine="990"/>
        <w:spacing w:after="0" w:line="258" w:lineRule="auto"/>
        <w:tabs>
          <w:tab w:leader="none" w:pos="1195"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Tenant to make any payment of Basic Rent, additional rent, other charges or any other payment required to be made by Tenant hereunder, as and when due, where such failure shall continue for a period of three (3) business days after written notice thereof from Landlord to Tenant; provided, however, that any such notice shall be in lieu of, and not in addition to, any notice required under California Code of Civil Procedure § 1161 regarding unlawful detainer actions.</w:t>
      </w:r>
    </w:p>
    <w:p>
      <w:pPr>
        <w:spacing w:after="0" w:line="179" w:lineRule="exact"/>
        <w:rPr>
          <w:rFonts w:ascii="Times New Roman" w:cs="Times New Roman" w:eastAsia="Times New Roman" w:hAnsi="Times New Roman"/>
          <w:sz w:val="18"/>
          <w:szCs w:val="18"/>
          <w:color w:val="auto"/>
        </w:rPr>
      </w:pPr>
    </w:p>
    <w:p>
      <w:pPr>
        <w:ind w:right="80" w:firstLine="990"/>
        <w:spacing w:after="0" w:line="266" w:lineRule="auto"/>
        <w:tabs>
          <w:tab w:leader="none" w:pos="1245" w:val="left"/>
        </w:tabs>
        <w:numPr>
          <w:ilvl w:val="1"/>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by Tenant to observe or perform any of the express or implied covenants or provisions of this Lease to be observed or performed by Tenant, other than as specified in Section 28(a)(i) above, where such failure shall continue for a period of twenty (20) days after written notice thereof from Landlord to Tenant. Any such notice shall be in lieu of, and not in addition to, any notice required under California Code of Civil Procedure § 1161 regarding unlawful detainer actions. If the nature of Tenant’s default (other than a default specified in Section 28(a)(i) above) is such that more than twenty (20) days are reasonably required for its cure, then Tenant shall not be deemed to be in default if Tenant shall commence such cure within said twenty (20) day period and thereafter diligently prosecute such cure to completion, and such completion shall occur not later than sixty</w:t>
      </w:r>
    </w:p>
    <w:p>
      <w:pPr>
        <w:spacing w:after="0" w:line="2" w:lineRule="exact"/>
        <w:rPr>
          <w:rFonts w:ascii="Times New Roman" w:cs="Times New Roman" w:eastAsia="Times New Roman" w:hAnsi="Times New Roman"/>
          <w:sz w:val="17"/>
          <w:szCs w:val="17"/>
          <w:color w:val="auto"/>
        </w:rPr>
      </w:pPr>
    </w:p>
    <w:p>
      <w:pPr>
        <w:ind w:left="340" w:hanging="333"/>
        <w:spacing w:after="0"/>
        <w:tabs>
          <w:tab w:leader="none" w:pos="34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of such notice from Landlord.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480" w:top="268" w:right="519" w:bottom="1440" w:gutter="0" w:footer="0" w:header="0"/>
        </w:sectPr>
      </w:pPr>
    </w:p>
    <w:bookmarkStart w:id="633" w:name="page634"/>
    <w:bookmarkEnd w:id="633"/>
    <w:p>
      <w:pPr>
        <w:ind w:firstLine="990"/>
        <w:spacing w:after="0" w:line="254" w:lineRule="auto"/>
        <w:tabs>
          <w:tab w:leader="none" w:pos="1294"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of the following: The making by Tenant of any general assignment for the benefit of creditors; the filing by or against Tenant of a petition to have Tenant adjudged a bankrupt or a petition for reorganization or arrangement under any law relating to bankruptcy (unless, in the case of a petition filed against Tenant, the same is dismissed within thirty (30) days); the appointment of a trustee or receiver to take possession of substantially all of Tenant’s assets located at the Premises or of Tenant’s interest in this Lease, where possession is not restored to Tenant within thirty (30) days; or the attachment, execution or other judicial seizure of substantially all of Tenant’s assets located at the Premises or of Tenant’s interest in this Lease where such seizure is not discharged within thirty (30) days.</w:t>
      </w:r>
    </w:p>
    <w:p>
      <w:pPr>
        <w:spacing w:after="0" w:line="183" w:lineRule="exact"/>
        <w:rPr>
          <w:rFonts w:ascii="Times New Roman" w:cs="Times New Roman" w:eastAsia="Times New Roman" w:hAnsi="Times New Roman"/>
          <w:sz w:val="18"/>
          <w:szCs w:val="18"/>
          <w:color w:val="auto"/>
        </w:rPr>
      </w:pPr>
    </w:p>
    <w:p>
      <w:pPr>
        <w:ind w:right="300" w:firstLine="990"/>
        <w:spacing w:after="0" w:line="278" w:lineRule="auto"/>
        <w:tabs>
          <w:tab w:leader="none" w:pos="1284"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 or omission which is expressly provided in this Lease to be an Event of Default, as to which acts or events the notice provisions of Section 28(a)(ii) shall not be applicable.</w:t>
      </w:r>
    </w:p>
    <w:p>
      <w:pPr>
        <w:spacing w:after="0" w:line="162" w:lineRule="exact"/>
        <w:rPr>
          <w:sz w:val="20"/>
          <w:szCs w:val="20"/>
          <w:color w:val="auto"/>
        </w:rPr>
      </w:pPr>
    </w:p>
    <w:p>
      <w:pPr>
        <w:ind w:right="20" w:firstLine="990"/>
        <w:spacing w:after="0" w:line="278" w:lineRule="auto"/>
        <w:tabs>
          <w:tab w:leader="none" w:pos="123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If an Event of Default exists, in addition to any other remedies available to Landlord at law or in equity, Landlord shall have the following rights and remedies:</w:t>
      </w:r>
    </w:p>
    <w:p>
      <w:pPr>
        <w:spacing w:after="0" w:line="162" w:lineRule="exact"/>
        <w:rPr>
          <w:sz w:val="20"/>
          <w:szCs w:val="20"/>
          <w:color w:val="auto"/>
        </w:rPr>
      </w:pPr>
    </w:p>
    <w:p>
      <w:pPr>
        <w:ind w:right="180" w:firstLine="990"/>
        <w:spacing w:after="0" w:line="278" w:lineRule="auto"/>
        <w:tabs>
          <w:tab w:leader="none" w:pos="119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terminate this Lease and pursue its rights and remedies provided by California Civil Code Section 1951.2, in which event Landlord may recover:</w:t>
      </w:r>
    </w:p>
    <w:p>
      <w:pPr>
        <w:spacing w:after="0" w:line="162" w:lineRule="exact"/>
        <w:rPr>
          <w:rFonts w:ascii="Times New Roman" w:cs="Times New Roman" w:eastAsia="Times New Roman" w:hAnsi="Times New Roman"/>
          <w:sz w:val="18"/>
          <w:szCs w:val="18"/>
          <w:color w:val="auto"/>
        </w:rPr>
      </w:pPr>
    </w:p>
    <w:p>
      <w:pPr>
        <w:ind w:left="1720" w:hanging="294"/>
        <w:spacing w:after="0"/>
        <w:tabs>
          <w:tab w:leader="none" w:pos="172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any unpaid rent which had been earned at the time of such termination; plus</w:t>
      </w:r>
    </w:p>
    <w:p>
      <w:pPr>
        <w:spacing w:after="0" w:line="220" w:lineRule="exact"/>
        <w:rPr>
          <w:rFonts w:ascii="Times New Roman" w:cs="Times New Roman" w:eastAsia="Times New Roman" w:hAnsi="Times New Roman"/>
          <w:sz w:val="18"/>
          <w:szCs w:val="18"/>
          <w:color w:val="auto"/>
        </w:rPr>
      </w:pPr>
    </w:p>
    <w:p>
      <w:pPr>
        <w:ind w:right="20" w:firstLine="1426"/>
        <w:spacing w:after="0" w:line="278" w:lineRule="auto"/>
        <w:tabs>
          <w:tab w:leader="none" w:pos="1701"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62" w:lineRule="exact"/>
        <w:rPr>
          <w:rFonts w:ascii="Times New Roman" w:cs="Times New Roman" w:eastAsia="Times New Roman" w:hAnsi="Times New Roman"/>
          <w:sz w:val="18"/>
          <w:szCs w:val="18"/>
          <w:color w:val="auto"/>
        </w:rPr>
      </w:pPr>
    </w:p>
    <w:p>
      <w:pPr>
        <w:ind w:right="500" w:firstLine="1426"/>
        <w:spacing w:after="0" w:line="278" w:lineRule="auto"/>
        <w:tabs>
          <w:tab w:leader="none" w:pos="1701"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162" w:lineRule="exact"/>
        <w:rPr>
          <w:rFonts w:ascii="Times New Roman" w:cs="Times New Roman" w:eastAsia="Times New Roman" w:hAnsi="Times New Roman"/>
          <w:sz w:val="18"/>
          <w:szCs w:val="18"/>
          <w:color w:val="auto"/>
        </w:rPr>
      </w:pPr>
    </w:p>
    <w:p>
      <w:pPr>
        <w:ind w:right="40" w:firstLine="1426"/>
        <w:spacing w:after="0" w:line="258" w:lineRule="auto"/>
        <w:tabs>
          <w:tab w:leader="none" w:pos="1711"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plus</w:t>
      </w:r>
    </w:p>
    <w:p>
      <w:pPr>
        <w:spacing w:after="0" w:line="179" w:lineRule="exact"/>
        <w:rPr>
          <w:rFonts w:ascii="Times New Roman" w:cs="Times New Roman" w:eastAsia="Times New Roman" w:hAnsi="Times New Roman"/>
          <w:sz w:val="18"/>
          <w:szCs w:val="18"/>
          <w:color w:val="auto"/>
        </w:rPr>
      </w:pPr>
    </w:p>
    <w:p>
      <w:pPr>
        <w:ind w:left="1700" w:hanging="274"/>
        <w:spacing w:after="0"/>
        <w:tabs>
          <w:tab w:leader="none" w:pos="170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 by</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198" w:lineRule="exact"/>
        <w:rPr>
          <w:rFonts w:ascii="Times New Roman" w:cs="Times New Roman" w:eastAsia="Times New Roman" w:hAnsi="Times New Roman"/>
          <w:sz w:val="18"/>
          <w:szCs w:val="18"/>
          <w:color w:val="auto"/>
        </w:rPr>
      </w:pPr>
    </w:p>
    <w:p>
      <w:pPr>
        <w:ind w:right="140" w:firstLine="990"/>
        <w:spacing w:after="0" w:line="259" w:lineRule="auto"/>
        <w:tabs>
          <w:tab w:leader="none" w:pos="124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rent</w:t>
      </w:r>
      <w:r>
        <w:rPr>
          <w:rFonts w:ascii="Times New Roman" w:cs="Times New Roman" w:eastAsia="Times New Roman" w:hAnsi="Times New Roman"/>
          <w:sz w:val="18"/>
          <w:szCs w:val="18"/>
          <w:color w:val="auto"/>
        </w:rPr>
        <w:t>” as used hereinabove shall be deemed to be and to mean all sums of every nature required to be paid by Tenant pursuant to the terms of this Lease, whether to Landlord or to others. As used in Sections 28(b)(i)(A) and 28(b)(i)(B), the “</w:t>
      </w:r>
      <w:r>
        <w:rPr>
          <w:rFonts w:ascii="Times New Roman" w:cs="Times New Roman" w:eastAsia="Times New Roman" w:hAnsi="Times New Roman"/>
          <w:sz w:val="18"/>
          <w:szCs w:val="18"/>
          <w:i w:val="1"/>
          <w:iCs w:val="1"/>
          <w:color w:val="auto"/>
        </w:rPr>
        <w:t>worth at the time of award</w:t>
      </w:r>
      <w:r>
        <w:rPr>
          <w:rFonts w:ascii="Times New Roman" w:cs="Times New Roman" w:eastAsia="Times New Roman" w:hAnsi="Times New Roman"/>
          <w:sz w:val="18"/>
          <w:szCs w:val="18"/>
          <w:color w:val="auto"/>
        </w:rPr>
        <w:t>” shall be computed by allowing interest at a rate equal to the “prime,” “reference” or “index” rate of Wells Fargo Bank NA (or, if Wells Fargo Bank NA no longer publishes such a rate, then at the rate published by the largest commercial bank headquartered in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80" w:top="268" w:right="499" w:bottom="1440" w:gutter="0" w:footer="0" w:header="0"/>
        </w:sectPr>
      </w:pPr>
    </w:p>
    <w:bookmarkStart w:id="634" w:name="page635"/>
    <w:bookmarkEnd w:id="634"/>
    <w:p>
      <w:pPr>
        <w:ind w:right="1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California publishing such a rate) plus six hundred (600) basis points, but in no case greater than the maximum amount of such interest permitted by law. As used in Section 28(b)(i)(C), the “</w:t>
      </w:r>
      <w:r>
        <w:rPr>
          <w:rFonts w:ascii="Times New Roman" w:cs="Times New Roman" w:eastAsia="Times New Roman" w:hAnsi="Times New Roman"/>
          <w:sz w:val="18"/>
          <w:szCs w:val="18"/>
          <w:i w:val="1"/>
          <w:iCs w:val="1"/>
          <w:color w:val="auto"/>
        </w:rPr>
        <w:t>worth at the time of award</w:t>
      </w:r>
      <w:r>
        <w:rPr>
          <w:rFonts w:ascii="Times New Roman" w:cs="Times New Roman" w:eastAsia="Times New Roman" w:hAnsi="Times New Roman"/>
          <w:sz w:val="18"/>
          <w:szCs w:val="18"/>
          <w:color w:val="auto"/>
        </w:rPr>
        <w:t>” shall be computed by discounting such amount at the discount rate of the Federal Reserve Bank of San Francisco at the time of award plus one percent (1%);</w:t>
      </w:r>
    </w:p>
    <w:p>
      <w:pPr>
        <w:spacing w:after="0" w:line="175" w:lineRule="exact"/>
        <w:rPr>
          <w:sz w:val="20"/>
          <w:szCs w:val="20"/>
          <w:color w:val="auto"/>
        </w:rPr>
      </w:pPr>
    </w:p>
    <w:p>
      <w:pPr>
        <w:ind w:right="40" w:firstLine="990"/>
        <w:spacing w:after="0" w:line="255" w:lineRule="auto"/>
        <w:tabs>
          <w:tab w:leader="none" w:pos="129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remedies provided by California Civil Code Section 1951.4, that allow Landlord to continue this Lease in effect and to enforce all of its rights and remedies under this Lease, including the right to recover Basic Rent, additional rent and other charges as they become due, for so long as Landlord does not terminate Tenant’s right to possession. Acts of maintenance or preservation, efforts to relet the Premises or the appointment of a receiver upon Landlord’s initiative to protect its interest under this Lease shall not constitute a termination of Tenant’s right to possession;</w:t>
      </w:r>
    </w:p>
    <w:p>
      <w:pPr>
        <w:spacing w:after="0" w:line="184" w:lineRule="exact"/>
        <w:rPr>
          <w:rFonts w:ascii="Times New Roman" w:cs="Times New Roman" w:eastAsia="Times New Roman" w:hAnsi="Times New Roman"/>
          <w:sz w:val="18"/>
          <w:szCs w:val="18"/>
          <w:color w:val="auto"/>
        </w:rPr>
      </w:pPr>
    </w:p>
    <w:p>
      <w:pPr>
        <w:ind w:firstLine="990"/>
        <w:spacing w:after="0" w:line="308" w:lineRule="auto"/>
        <w:tabs>
          <w:tab w:leader="none" w:pos="1284" w:val="left"/>
        </w:tabs>
        <w:numPr>
          <w:ilvl w:val="0"/>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enter the Premises and remove therefrom all persons and property, store such property in a public warehouse or elsewhere at the cost of and for the account of Tenant, and sell such property and apply the proceeds therefrom pursuant to applicable California law; and</w:t>
      </w:r>
    </w:p>
    <w:p>
      <w:pPr>
        <w:spacing w:after="0" w:line="140" w:lineRule="exact"/>
        <w:rPr>
          <w:rFonts w:ascii="Times New Roman" w:cs="Times New Roman" w:eastAsia="Times New Roman" w:hAnsi="Times New Roman"/>
          <w:sz w:val="17"/>
          <w:szCs w:val="17"/>
          <w:color w:val="auto"/>
        </w:rPr>
      </w:pPr>
    </w:p>
    <w:p>
      <w:pPr>
        <w:ind w:right="60" w:firstLine="990"/>
        <w:spacing w:after="0" w:line="278" w:lineRule="auto"/>
        <w:tabs>
          <w:tab w:leader="none" w:pos="123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take steps necessary or appropriate to have a receiver appointed for Tenant in order to take possession of the Premises and apply any rental collected and exercise all other rights and remedies granted to Landlord.</w:t>
      </w:r>
    </w:p>
    <w:p>
      <w:pPr>
        <w:spacing w:after="0" w:line="162" w:lineRule="exact"/>
        <w:rPr>
          <w:sz w:val="20"/>
          <w:szCs w:val="20"/>
          <w:color w:val="auto"/>
        </w:rPr>
      </w:pPr>
    </w:p>
    <w:p>
      <w:pPr>
        <w:ind w:right="120" w:firstLine="990"/>
        <w:spacing w:after="0" w:line="255" w:lineRule="auto"/>
        <w:tabs>
          <w:tab w:leader="none" w:pos="1224"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Re-entry.</w:t>
      </w:r>
      <w:r>
        <w:rPr>
          <w:rFonts w:ascii="Times New Roman" w:cs="Times New Roman" w:eastAsia="Times New Roman" w:hAnsi="Times New Roman"/>
          <w:sz w:val="18"/>
          <w:szCs w:val="18"/>
          <w:color w:val="auto"/>
        </w:rPr>
        <w:t xml:space="preserve"> If an Event of Default exists, Landlord shall also have the right, with or without terminating this Lease, to re-enter the Premises and remove all persons and property from the Premises; such property may be removed and stored in a public warehouse or elsewhere at the cost of and for the account of Tenant. No re-entry or taking possession of the Premises by Landlord pursuant to this Section 28(c) shall be construed as an election to terminate this Lease unless a written notice of such intention is given to Tenant or unless the termination thereof is decreed by a court of competent jurisdiction.</w:t>
      </w:r>
    </w:p>
    <w:p>
      <w:pPr>
        <w:spacing w:after="0" w:line="184" w:lineRule="exact"/>
        <w:rPr>
          <w:rFonts w:ascii="Times New Roman" w:cs="Times New Roman" w:eastAsia="Times New Roman" w:hAnsi="Times New Roman"/>
          <w:sz w:val="18"/>
          <w:szCs w:val="18"/>
          <w:color w:val="auto"/>
        </w:rPr>
      </w:pPr>
    </w:p>
    <w:p>
      <w:pPr>
        <w:jc w:val="both"/>
        <w:ind w:right="80" w:firstLine="990"/>
        <w:spacing w:after="0" w:line="254" w:lineRule="auto"/>
        <w:tabs>
          <w:tab w:leader="none" w:pos="1234"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Cumulative; Waiver.</w:t>
      </w:r>
      <w:r>
        <w:rPr>
          <w:rFonts w:ascii="Times New Roman" w:cs="Times New Roman" w:eastAsia="Times New Roman" w:hAnsi="Times New Roman"/>
          <w:sz w:val="18"/>
          <w:szCs w:val="18"/>
          <w:color w:val="auto"/>
        </w:rPr>
        <w:t xml:space="preserve"> All rights, options and remedies of Landlord contained in this Lease or provided by law or in equity shall be construed and held to be cumulative, and no one of them shall be exclusive of the other. No waiver of any default hereunder shall be implied from any acceptance by Landlord of any Basic Rent, additional rent or other charges due hereunder or any omission by Landlord to take any action on account of such default, and no express waiver shall affect any default other than as specified in said waiver. The consent or approval of Landlord to or of any act by Tenant requiring Landlord’s consent or approval shall not be deemed to waive or render unnecessary Landlord’s consent or approval to or of any subsequent similar acts by Tenant.</w:t>
      </w:r>
    </w:p>
    <w:p>
      <w:pPr>
        <w:spacing w:after="0" w:line="183" w:lineRule="exact"/>
        <w:rPr>
          <w:rFonts w:ascii="Times New Roman" w:cs="Times New Roman" w:eastAsia="Times New Roman" w:hAnsi="Times New Roman"/>
          <w:sz w:val="18"/>
          <w:szCs w:val="18"/>
          <w:color w:val="auto"/>
        </w:rPr>
      </w:pPr>
    </w:p>
    <w:p>
      <w:pPr>
        <w:ind w:right="120" w:firstLine="444"/>
        <w:spacing w:after="0" w:line="255" w:lineRule="auto"/>
        <w:tabs>
          <w:tab w:leader="none" w:pos="70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 CHARGE. If Tenant fails to pay any installment of Basic Rent, additional rent or other charges within five (5) days after the same are due, or fails to make any other payment for which Tenant is obligated under this Lease, then Tenant shall pay to Landlord a late charge equal to five percent (5%) of the amount so payable. Tenant acknowledges that late payments will cause Landlord to incur costs not contemplated by this Lease, the exact amount of which costs are extremely difficult and impracticable to calculate. The parties agree that the late charge described above represents a fair and reasonable estimate of the extra costs incurred by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80"/>
          </w:cols>
          <w:pgMar w:left="480" w:top="268" w:right="539" w:bottom="1440" w:gutter="0" w:footer="0" w:header="0"/>
        </w:sectPr>
      </w:pPr>
    </w:p>
    <w:bookmarkStart w:id="635" w:name="page636"/>
    <w:bookmarkEnd w:id="63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Landlord as a result of such late payment. Such late charge shall not be deemed a consent by Landlord to any late payment, nor a waiver of Landlord’s right to insist upon timely payments at any time, nor a waiver of any remedies to which Landlord is entitled hereunder. Notwithstanding the foregoing, Landlord will not assess a late charge until Landlord has given written notice of such late payment for the first late payment in any twelve (12) month period and after Tenant has not cured such late payment within three (3) days from receipt of such notice. No other notices will be required during the following twelve (12) months for a late charge to be incurred. In addition, all amounts payable by Tenant to Landlord hereunder, exclusive of the late charge described above, if not paid within five (5) days after such amounts are due, shall bear interest from the due date until paid at the rate of eighteen percent (18%) per annum or the maximum rate of interest permitted to be collected by Landlord by law, whichever is the lesser.</w:t>
      </w:r>
    </w:p>
    <w:p>
      <w:pPr>
        <w:spacing w:after="0" w:line="184" w:lineRule="exact"/>
        <w:rPr>
          <w:sz w:val="20"/>
          <w:szCs w:val="20"/>
          <w:color w:val="auto"/>
        </w:rPr>
      </w:pPr>
    </w:p>
    <w:p>
      <w:pPr>
        <w:ind w:left="720" w:hanging="276"/>
        <w:spacing w:after="0"/>
        <w:tabs>
          <w:tab w:leader="none" w:pos="72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Time is of the essence of each and every provision of this Lease.</w:t>
      </w:r>
    </w:p>
    <w:p>
      <w:pPr>
        <w:spacing w:after="0" w:line="220" w:lineRule="exact"/>
        <w:rPr>
          <w:rFonts w:ascii="Times New Roman" w:cs="Times New Roman" w:eastAsia="Times New Roman" w:hAnsi="Times New Roman"/>
          <w:sz w:val="18"/>
          <w:szCs w:val="18"/>
          <w:color w:val="auto"/>
        </w:rPr>
      </w:pPr>
    </w:p>
    <w:p>
      <w:pPr>
        <w:ind w:firstLine="444"/>
        <w:spacing w:after="0" w:line="308" w:lineRule="auto"/>
        <w:tabs>
          <w:tab w:leader="none" w:pos="704"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QUIET ENJOYMENT. Landlord covenants to control its activities and personnel such that if and so long as Tenant pays the rent and performs the covenants contained in this Lease, Tenant shall hold and enjoy the Premises peaceably and quietly, subject to the provisions of this Lease.</w:t>
      </w:r>
    </w:p>
    <w:p>
      <w:pPr>
        <w:spacing w:after="0" w:line="140" w:lineRule="exact"/>
        <w:rPr>
          <w:rFonts w:ascii="Times New Roman" w:cs="Times New Roman" w:eastAsia="Times New Roman" w:hAnsi="Times New Roman"/>
          <w:sz w:val="17"/>
          <w:szCs w:val="17"/>
          <w:color w:val="auto"/>
        </w:rPr>
      </w:pPr>
    </w:p>
    <w:p>
      <w:pPr>
        <w:ind w:right="160" w:firstLine="444"/>
        <w:spacing w:after="0" w:line="263" w:lineRule="auto"/>
        <w:tabs>
          <w:tab w:leader="none" w:pos="70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LANDLORD’S INTEREST. In the event of any transfer or transfers of Landlord’s interest in the Project or the Building, other than a transfer for security purposes only, Tenant agrees that Landlord shall be automatically relieved of any and all obligations and liabilities on the part of Landlord accruing from and after the date of such transfer and Tenant agrees to attorn to the transferee.</w:t>
      </w:r>
    </w:p>
    <w:p>
      <w:pPr>
        <w:spacing w:after="0" w:line="175" w:lineRule="exact"/>
        <w:rPr>
          <w:rFonts w:ascii="Times New Roman" w:cs="Times New Roman" w:eastAsia="Times New Roman" w:hAnsi="Times New Roman"/>
          <w:sz w:val="18"/>
          <w:szCs w:val="18"/>
          <w:color w:val="auto"/>
        </w:rPr>
      </w:pPr>
    </w:p>
    <w:p>
      <w:pPr>
        <w:ind w:right="20" w:firstLine="444"/>
        <w:spacing w:after="0" w:line="255" w:lineRule="auto"/>
        <w:tabs>
          <w:tab w:leader="none" w:pos="70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PERFORM. If Tenant shall fail to pay any sum of money, other than Basic Rent required to be paid by it hereunder, or shall fail to perform any other act on its part to be performed hereunder, and such failure shall continue for ten (10) days after written notice thereof by Landlord, Landlord may, but shall not be obligated so to do, and without waiving or releasing Tenant from any obligations of Tenant, make any such payment or perform any such other act on Tenant’s part to be made or performed as provided in this Lease. Tenant shall reimburse Landlord for all costs incurred in connection with such payment or performance immediately upon demand.</w:t>
      </w:r>
    </w:p>
    <w:p>
      <w:pPr>
        <w:spacing w:after="0" w:line="184" w:lineRule="exact"/>
        <w:rPr>
          <w:rFonts w:ascii="Times New Roman" w:cs="Times New Roman" w:eastAsia="Times New Roman" w:hAnsi="Times New Roman"/>
          <w:sz w:val="18"/>
          <w:szCs w:val="18"/>
          <w:color w:val="auto"/>
        </w:rPr>
      </w:pPr>
    </w:p>
    <w:p>
      <w:pPr>
        <w:ind w:right="280" w:firstLine="444"/>
        <w:spacing w:after="0" w:line="278" w:lineRule="auto"/>
        <w:tabs>
          <w:tab w:leader="none" w:pos="70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under this Lease shall be in writing and sent to the parties at the following addresses or at such other address as any party hereto may designate to the other by notice delivered as provided herein:</w:t>
      </w:r>
    </w:p>
    <w:p>
      <w:pPr>
        <w:sectPr>
          <w:pgSz w:w="11900" w:h="16838" w:orient="portrait"/>
          <w:cols w:equalWidth="0" w:num="1">
            <w:col w:w="10880"/>
          </w:cols>
          <w:pgMar w:left="480" w:top="269" w:right="5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Landlord: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 Sansome Street Investors,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2350 Kerner Blvd., Suite 360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Rafael, California 94901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Bruce W. Jones</w:t>
      </w:r>
    </w:p>
    <w:p>
      <w:pPr>
        <w:spacing w:after="0" w:line="200" w:lineRule="exact"/>
        <w:rPr>
          <w:sz w:val="20"/>
          <w:szCs w:val="20"/>
          <w:color w:val="auto"/>
        </w:rPr>
      </w:pPr>
    </w:p>
    <w:p>
      <w:pPr>
        <w:sectPr>
          <w:pgSz w:w="11900" w:h="16838" w:orient="portrait"/>
          <w:cols w:equalWidth="0" w:num="2">
            <w:col w:w="1480" w:space="720"/>
            <w:col w:w="8680"/>
          </w:cols>
          <w:pgMar w:left="480" w:top="269" w:right="5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Mr. Charles F. Hedges Jr.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Fasken Oil and Ranch,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6101 Holiday Hill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Midland, Texas 79707</w:t>
      </w:r>
    </w:p>
    <w:p>
      <w:pPr>
        <w:spacing w:after="0" w:line="135" w:lineRule="exact"/>
        <w:rPr>
          <w:sz w:val="20"/>
          <w:szCs w:val="20"/>
          <w:color w:val="auto"/>
        </w:rPr>
      </w:pPr>
    </w:p>
    <w:p>
      <w:pPr>
        <w:sectPr>
          <w:pgSz w:w="11900" w:h="16838" w:orient="portrait"/>
          <w:cols w:equalWidth="0" w:num="2">
            <w:col w:w="1480" w:space="720"/>
            <w:col w:w="8680"/>
          </w:cols>
          <w:pgMar w:left="480" w:top="269" w:right="5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80"/>
          </w:cols>
          <w:pgMar w:left="480" w:top="269" w:right="539" w:bottom="1440" w:gutter="0" w:footer="0" w:header="0"/>
          <w:type w:val="continuous"/>
        </w:sectPr>
      </w:pPr>
    </w:p>
    <w:bookmarkStart w:id="636" w:name="page637"/>
    <w:bookmarkEnd w:id="636"/>
    <w:p>
      <w:pPr>
        <w:spacing w:after="0"/>
        <w:rPr>
          <w:sz w:val="20"/>
          <w:szCs w:val="20"/>
          <w:color w:val="auto"/>
        </w:rPr>
      </w:pPr>
      <w:r>
        <w:rPr>
          <w:rFonts w:ascii="Times New Roman" w:cs="Times New Roman" w:eastAsia="Times New Roman" w:hAnsi="Times New Roman"/>
          <w:sz w:val="17"/>
          <w:szCs w:val="17"/>
          <w:color w:val="auto"/>
        </w:rPr>
        <w:t>To Tenant prior to the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Omada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-365125</wp:posOffset>
            </wp:positionV>
            <wp:extent cx="7176135" cy="3746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455 Market Street, Suite 1670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Sean Duffy</w:t>
      </w:r>
    </w:p>
    <w:p>
      <w:pPr>
        <w:spacing w:after="0" w:line="200" w:lineRule="exact"/>
        <w:rPr>
          <w:sz w:val="20"/>
          <w:szCs w:val="20"/>
          <w:color w:val="auto"/>
        </w:rPr>
      </w:pPr>
    </w:p>
    <w:p>
      <w:pPr>
        <w:sectPr>
          <w:pgSz w:w="11900" w:h="16838" w:orient="portrait"/>
          <w:cols w:equalWidth="0" w:num="2">
            <w:col w:w="3440" w:space="720"/>
            <w:col w:w="6760"/>
          </w:cols>
          <w:pgMar w:left="480" w:top="509" w:right="499" w:bottom="1440" w:gutter="0" w:footer="0" w:header="0"/>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Tenant on and after the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At the Premises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Sean Duffy</w:t>
      </w:r>
    </w:p>
    <w:p>
      <w:pPr>
        <w:spacing w:after="0" w:line="107" w:lineRule="exact"/>
        <w:rPr>
          <w:sz w:val="20"/>
          <w:szCs w:val="20"/>
          <w:color w:val="auto"/>
        </w:rPr>
      </w:pPr>
    </w:p>
    <w:p>
      <w:pPr>
        <w:sectPr>
          <w:pgSz w:w="11900" w:h="16838" w:orient="portrait"/>
          <w:cols w:equalWidth="0" w:num="2">
            <w:col w:w="3520" w:space="640"/>
            <w:col w:w="6760"/>
          </w:cols>
          <w:pgMar w:left="480" w:top="509"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Any such notices shall be sent by (i) U.S. certified mail, postage prepaid, return receipt requested, in which case notice shall be deemed delivered three</w:t>
      </w:r>
    </w:p>
    <w:p>
      <w:pPr>
        <w:spacing w:after="0" w:line="26" w:lineRule="exact"/>
        <w:rPr>
          <w:sz w:val="20"/>
          <w:szCs w:val="20"/>
          <w:color w:val="auto"/>
        </w:rPr>
      </w:pPr>
    </w:p>
    <w:p>
      <w:pPr>
        <w:ind w:left="260" w:hanging="253"/>
        <w:spacing w:after="0"/>
        <w:tabs>
          <w:tab w:leader="none" w:pos="26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timely deposit in the mail, (ii) a nationally recognized overnight courier, in which case notice shall be deemed delivered one</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business day after timely deposit with such courier; (iii) personally delivered, in which case notice shall be deemed delivered upon receipt, or</w:t>
      </w:r>
    </w:p>
    <w:p>
      <w:pPr>
        <w:spacing w:after="0" w:line="6" w:lineRule="exact"/>
        <w:rPr>
          <w:rFonts w:ascii="Times New Roman" w:cs="Times New Roman" w:eastAsia="Times New Roman" w:hAnsi="Times New Roman"/>
          <w:sz w:val="18"/>
          <w:szCs w:val="18"/>
          <w:color w:val="auto"/>
        </w:rPr>
      </w:pPr>
    </w:p>
    <w:p>
      <w:pPr>
        <w:ind w:right="2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electronic commw1ication, whether by telex, telegram, electronic mail or facsimile, in which case notice shall be deemed delivered on the date of machine-generated confirmed receipt if a copy of such notice is also sent by overnight courier on the same day.</w:t>
      </w:r>
    </w:p>
    <w:p>
      <w:pPr>
        <w:spacing w:after="0" w:line="177" w:lineRule="exact"/>
        <w:rPr>
          <w:rFonts w:ascii="Times New Roman" w:cs="Times New Roman" w:eastAsia="Times New Roman" w:hAnsi="Times New Roman"/>
          <w:sz w:val="18"/>
          <w:szCs w:val="18"/>
          <w:color w:val="auto"/>
        </w:rPr>
      </w:pPr>
    </w:p>
    <w:p>
      <w:pPr>
        <w:ind w:firstLine="444"/>
        <w:spacing w:after="0" w:line="250" w:lineRule="auto"/>
        <w:tabs>
          <w:tab w:leader="none" w:pos="70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RIGHT TO JURY TRIAL. TO THE EXTENT PERMITTED BY APPLICABLE LAW, LANDLORD AND TENANT WAIVE THEIR RESPECTIVE RIGHTS TO TRIAL BY JURY OF ANY CONTRACT OR TORT CLAIM, COUNTERCLAIM, CROSS-COMPLAINT, OR CAUSE OF ACTION IN ANY ACTION, PROCEEDING, OR HEARING BROUGHT BY EITHER PARTY AGAINST THE OTHER ON ANY MATTER ARISING OUT OF ORIN ANYWAY CONNECTED WITH THIS LEASE, THE RELATIONSHIP OF LANDLORD AND TENANT, OR TENANT’S USE OR OCCUPANCY OF THE PREMISES, INCLUDING WITHOUT LIMITATION ANY CLAIM OF INJURY OR DAMAGE OR THE ENFORCEMENT OF ANY REMEDY UNDER ANY CURRENT OR FUTURE LAW, STATUTE, REGULATION, CODE, OR ORDINANCE. </w:t>
      </w:r>
      <w:r>
        <w:rPr>
          <w:rFonts w:ascii="Times New Roman" w:cs="Times New Roman" w:eastAsia="Times New Roman" w:hAnsi="Times New Roman"/>
          <w:sz w:val="18"/>
          <w:szCs w:val="18"/>
          <w:color w:val="auto"/>
        </w:rPr>
        <w:t>Landlord and Tenant agree that this paragraph constitutes a written consent to waiver of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jury within the meaning of California Code of Civil Procedure Section 631(d)(2), and Tenant does hereby authorize and empower Landlord to file this paragraph and/or this Lease, as required, with the clerk or judge of any court of competent jurisdiction as a written consent to waiver of jury trial. If the waiver set forth in this Section 35 is determined by any court to be invalid because it was executed prior to the commencement of any action, then Landlord and Tenant each covenant and agree to execute and deliver to the other, within five (5) days of a written request by the other, a waiver of the right to trial by jury similar in terms and scope to the waiver set forth in this Section 35 at such time following the commencement of such action as such waiver, if then made, would be valid.</w:t>
      </w:r>
    </w:p>
    <w:p>
      <w:pPr>
        <w:spacing w:after="0" w:line="196" w:lineRule="exact"/>
        <w:rPr>
          <w:rFonts w:ascii="Times New Roman" w:cs="Times New Roman" w:eastAsia="Times New Roman" w:hAnsi="Times New Roman"/>
          <w:sz w:val="18"/>
          <w:szCs w:val="18"/>
          <w:color w:val="auto"/>
        </w:rPr>
      </w:pPr>
    </w:p>
    <w:p>
      <w:pPr>
        <w:ind w:right="260" w:firstLine="444"/>
        <w:spacing w:after="0" w:line="258" w:lineRule="auto"/>
        <w:tabs>
          <w:tab w:leader="none" w:pos="70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 If either party places the enforcement of this Lease or any part hereof, or the collection of any Basic Rent, additional rent or other charges or sums due or to become due hereunder, or recovery of the possession of the Premises, in the hands of an attorney, or files suit upon the same, the non-prevailing (or defaulting) party shall pay the other party’s reasonable legal and attorneys’ fees, costs and expenses, including legal and attorneys’ fees, costs and expenses incurred in connection with any appeals and any bankruptcy 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80" w:top="509" w:right="499" w:bottom="1440" w:gutter="0" w:footer="0" w:header="0"/>
          <w:type w:val="continuous"/>
        </w:sectPr>
      </w:pPr>
    </w:p>
    <w:bookmarkStart w:id="637" w:name="page638"/>
    <w:bookmarkEnd w:id="63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insolvency proceedings involving Tenant or this Lease. If Landlord is named as a defendant in any suit brought against Tenant in connection with or arising out of Tenant’s occupancy hereunder, Tenant shall pay to Landlord its costs and expenses in such suit, including its reasonable attorneys’ fees. Any such attorneys’ fees and other expenses incurred by either party in enforcing a judgment in its favor under this Lease shall be recoverable separately from and in addition to any other amount included in such judgment, and such attorneys’ fees obligation is intended to be severable from the other provisions of this Lease and to survive and not be merged into any such judgment. The terms “</w:t>
      </w:r>
      <w:r>
        <w:rPr>
          <w:rFonts w:ascii="Times New Roman" w:cs="Times New Roman" w:eastAsia="Times New Roman" w:hAnsi="Times New Roman"/>
          <w:sz w:val="18"/>
          <w:szCs w:val="18"/>
          <w:i w:val="1"/>
          <w:iCs w:val="1"/>
          <w:color w:val="auto"/>
        </w:rPr>
        <w:t>attorneys’ fees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attorneys’ fees, costs and expenses</w:t>
      </w:r>
      <w:r>
        <w:rPr>
          <w:rFonts w:ascii="Times New Roman" w:cs="Times New Roman" w:eastAsia="Times New Roman" w:hAnsi="Times New Roman"/>
          <w:sz w:val="18"/>
          <w:szCs w:val="18"/>
          <w:color w:val="auto"/>
        </w:rPr>
        <w:t>” shall mean the fees, costs and expenses of counsel to the parties hereto, which may include printing, photocopying, duplicating and other expenses, air freight charges, and fees billed for law clerks, paralegals and other persons not admitted to the bar but performing services under the supervision of an attorney, and the costs and fees incurred in connection with the enforcement or collection of any judgment obtained in any such proceeding, and shall include, specifically, all fees, costs and expenses of expert witnesses. For purposes of this Section 36, the term “</w:t>
      </w:r>
      <w:r>
        <w:rPr>
          <w:rFonts w:ascii="Times New Roman" w:cs="Times New Roman" w:eastAsia="Times New Roman" w:hAnsi="Times New Roman"/>
          <w:sz w:val="18"/>
          <w:szCs w:val="18"/>
          <w:i w:val="1"/>
          <w:iCs w:val="1"/>
          <w:color w:val="auto"/>
        </w:rPr>
        <w:t>prevailing party</w:t>
      </w:r>
      <w:r>
        <w:rPr>
          <w:rFonts w:ascii="Times New Roman" w:cs="Times New Roman" w:eastAsia="Times New Roman" w:hAnsi="Times New Roman"/>
          <w:sz w:val="18"/>
          <w:szCs w:val="18"/>
          <w:color w:val="auto"/>
        </w:rPr>
        <w:t>” shall include a prevailing party as defined in California Code of Civil Procedure Section 998.</w:t>
      </w:r>
    </w:p>
    <w:p>
      <w:pPr>
        <w:spacing w:after="0" w:line="82" w:lineRule="exact"/>
        <w:rPr>
          <w:sz w:val="20"/>
          <w:szCs w:val="20"/>
          <w:color w:val="auto"/>
        </w:rPr>
      </w:pPr>
    </w:p>
    <w:p>
      <w:pPr>
        <w:ind w:right="20" w:firstLine="444"/>
        <w:spacing w:after="0" w:line="249" w:lineRule="auto"/>
        <w:tabs>
          <w:tab w:leader="none" w:pos="70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PREMISES. On expiration of the Term or the earlier termination of this Lease in accordance with its terms, Tenant shall quit and surrender the Premises to Landlord, broom clean, in as good order, condition and repair as required by Section 9(b), reasonable wear and tear, condemnation and casualty damage that is not required to be repaired by Tenant hereunder excepted, with all of Tenant’s movable equipment, telecommunications and data equipment and wiring, furniture, trade fixtures and other personal property removed therefrom. Tenant shall reimburse Landlord upon the expiration or earlier termination of the Term of this Lease for the reasonable cost of removing all telecommunications and data cabling installed in the Premises by, or for the use of, Tenant. Unless Tenant has obtained Landlord’s agreement in writing that it can remove an Alteration or item of Tenant Improvements, or unless Landlord has elected to require that all or certain Alterations be removed by Tenant, all Alterations and Tenant Improvements shall be surrendered with the Premises in as good condition and repair as constructed, subject to reasonable wear and tear, condemnation and casualty damage that is not required to be repaired by Tenant hereunder. Any property of Tenant not removed hereunder shall be deemed, at Landlord’s option, to be abandoned by Tenant and Landlord may store such property in Tenant’s name at Tenant’s expense, and/or dispose of the same in any manner permitted by law. If Landlord desires to have the Premises, or any part or parts thereof, restored to a condition that existed prior to installation of any Alteration thereto, Landlord shall so notify Tenant in writing not later than sixty (60) days prior to the expiration of the Term; and upon receipt of such notice, Tenant shall, at Tenant’s sole cost and expense, so restore the Premises, or such part or parts thereof, before the end of the Term; provided, however, that if Tenant had requested in accordance with the final sentence of Section 10 that Landlord advise Tenant whether Landlord will require the removal of a particular Alteration at the expiration or earlier termination of this Lease, and Landlord failed to comply with the provisions of the final sentence of Section 10 in requiring Tenant to so remove such Alteration, then Landlord shall not require that Tenant so remove such Alteration. Tenant shall repair at its sole cost and expense, all damage caused to the Premises or the Project by removal of Tenant’s movable equipment, telecommunications or data equipment or wiring, furniture, trade fixtures or other personal property, or any Tenant Improvement or Alteration. If the Premises are not surrendered as of the end of the Term in the manner and condition herein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480" w:top="269" w:right="499" w:bottom="1440" w:gutter="0" w:footer="0" w:header="0"/>
        </w:sectPr>
      </w:pPr>
    </w:p>
    <w:bookmarkStart w:id="638" w:name="page639"/>
    <w:bookmarkEnd w:id="638"/>
    <w:p>
      <w:pPr>
        <w:ind w:right="20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specified, then: (i) Landlord may, after five (5) days written notice to Tenant, perform the obligations which Tenant failed to perform, and Tenant shall reimburse Landlord for all reasonable expenses incurred by Landlord in performing such obligations, such reimbursement to be made within ten</w:t>
      </w:r>
    </w:p>
    <w:p>
      <w:pPr>
        <w:ind w:right="20" w:firstLine="7"/>
        <w:spacing w:after="0" w:line="249" w:lineRule="auto"/>
        <w:tabs>
          <w:tab w:leader="none" w:pos="342"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receipt by Tenant of a written request from Landlord for such reimbursement, accompanied by reasonable evidence of the expenses incurred by Landlord; and, (ii) Tenant shall indemnify, defend, protect and hold Landlord harmless against all loss, liability, claim, cost or expense (including attorneys’ fees) resulting from or caused by Tenant’s delay or failure in so surrendering the Premises, including, without limitation, any claims made by any succeeding tenant due to such delay or failure. Tenant acknowledges that Landlord will be attempting to lease the Premises with any such lease to be effective upon expiration of the Term, and failure to surrender the Premises could cause Landlord to incur liability to such successor tenant for which Tenant shall be responsible hereunder to the full extent thereof.</w:t>
      </w:r>
    </w:p>
    <w:p>
      <w:pPr>
        <w:spacing w:after="0" w:line="190" w:lineRule="exact"/>
        <w:rPr>
          <w:rFonts w:ascii="Times New Roman" w:cs="Times New Roman" w:eastAsia="Times New Roman" w:hAnsi="Times New Roman"/>
          <w:sz w:val="18"/>
          <w:szCs w:val="18"/>
          <w:color w:val="auto"/>
        </w:rPr>
      </w:pPr>
    </w:p>
    <w:p>
      <w:pPr>
        <w:ind w:right="80" w:firstLine="444"/>
        <w:spacing w:after="0" w:line="252" w:lineRule="auto"/>
        <w:tabs>
          <w:tab w:leader="none" w:pos="70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OVER. If Tenant holds over after the expiration or earlier termination of the Term without the express prior written consent of Landlord, Tenant shall become a tenant at sufferance only, at a rental rate equal to one hundred fifty percent (150%) of the Basic Rent in effect upon the date of such expiration (subject to adjustment as provided in Section 5 hereof and prorated on a daily basis). Such holding over shall otherwise be subject to the terms, covenants and conditions herein specified, so far as applicable. Acceptance by Landlord of rent after such expiration or earlier termination shall not result in a renewal of this Lease and shall not waive Landlord’s right to bring an unlawful detainer action against Tenant or otherwise remove Tenant from the Premises. If Tenant fails to surrender the Premises upon the expiration of this Lease despite demand to do so by Landlord, Tenant shall indemnify, defend and hold Landlord harmless from all loss or liability, including without limitation, any claim made by any succeeding tenant founded on or resulting from such failure to surrender.</w:t>
      </w:r>
    </w:p>
    <w:p>
      <w:pPr>
        <w:spacing w:after="0" w:line="187" w:lineRule="exact"/>
        <w:rPr>
          <w:rFonts w:ascii="Times New Roman" w:cs="Times New Roman" w:eastAsia="Times New Roman" w:hAnsi="Times New Roman"/>
          <w:sz w:val="18"/>
          <w:szCs w:val="18"/>
          <w:color w:val="auto"/>
        </w:rPr>
      </w:pPr>
    </w:p>
    <w:p>
      <w:pPr>
        <w:ind w:right="20" w:firstLine="444"/>
        <w:spacing w:after="0" w:line="255" w:lineRule="auto"/>
        <w:tabs>
          <w:tab w:leader="none" w:pos="70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NON-WAIVER. Neither the acceptance of rent nor any other act or omission of Landlord at any time or times after the happening of any event authorizing the cancellation or forfeiture of this Lease shall operate as a waiver of any past or future violation, breach or failure to keep or perform any covenant, agreement, term or condition hereof, or deprive Landlord of its right to cancel or forfeit this Lease, upon the notice required by law, at any time that cause for cancellation or forfeiture may exist, or be construed so as to at any future time stop Landlord from promptly exercising any other option, right or remedy that it may have under any term or provision of this Lease.</w:t>
      </w:r>
    </w:p>
    <w:p>
      <w:pPr>
        <w:spacing w:after="0" w:line="184" w:lineRule="exact"/>
        <w:rPr>
          <w:rFonts w:ascii="Times New Roman" w:cs="Times New Roman" w:eastAsia="Times New Roman" w:hAnsi="Times New Roman"/>
          <w:sz w:val="18"/>
          <w:szCs w:val="18"/>
          <w:color w:val="auto"/>
        </w:rPr>
      </w:pPr>
    </w:p>
    <w:p>
      <w:pPr>
        <w:ind w:firstLine="444"/>
        <w:spacing w:after="0" w:line="258" w:lineRule="auto"/>
        <w:tabs>
          <w:tab w:leader="none" w:pos="70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MORTGAGEE PROTECTION. In the event of any default on the part of Landlord, Tenant will give written notice by registered or certified mail to any beneficiary of a deed of trust or mortgagee under a mortgage covering the Project or the Building whose address shall have been furnished to Tenant, and shall offer such beneficiary or mortgagee a reasonable opportunity to cure the default, including time to obtain possession of the Project or the Building by power of sale or a judicial foreclosure, if such should prove necessary to effect a cure.</w:t>
      </w:r>
    </w:p>
    <w:p>
      <w:pPr>
        <w:spacing w:after="0" w:line="179" w:lineRule="exact"/>
        <w:rPr>
          <w:rFonts w:ascii="Times New Roman" w:cs="Times New Roman" w:eastAsia="Times New Roman" w:hAnsi="Times New Roman"/>
          <w:sz w:val="18"/>
          <w:szCs w:val="18"/>
          <w:color w:val="auto"/>
        </w:rPr>
      </w:pPr>
    </w:p>
    <w:p>
      <w:pPr>
        <w:ind w:right="20" w:firstLine="444"/>
        <w:spacing w:after="0" w:line="274" w:lineRule="auto"/>
        <w:tabs>
          <w:tab w:leader="none" w:pos="704"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Upon the written request of Landlord (which request shall not be made more than once per calendar year during the Term) Tenant shall, within fifteen (15) days following such written request, furnish Landlord with financial statements dated no earlier than one</w:t>
      </w:r>
    </w:p>
    <w:p>
      <w:pPr>
        <w:ind w:right="100" w:firstLine="7"/>
        <w:spacing w:after="0" w:line="252" w:lineRule="auto"/>
        <w:tabs>
          <w:tab w:leader="none" w:pos="252"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before the date of such written request, certified as accurate by Tenant, or, if available, audited financial statements prepared by an independent certified public accountant with copies of the auditor’s statement, reflecting Tenant’s then current financial condition, or the financial condition of the individuals comprising Tenant, in such form and detail as Landlord may reasonably request.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480" w:top="268" w:right="499" w:bottom="1440" w:gutter="0" w:footer="0" w:header="0"/>
        </w:sectPr>
      </w:pPr>
    </w:p>
    <w:bookmarkStart w:id="639" w:name="page640"/>
    <w:bookmarkEnd w:id="639"/>
    <w:p>
      <w:pPr>
        <w:ind w:left="-40" w:firstLine="444"/>
        <w:spacing w:after="0" w:line="252" w:lineRule="auto"/>
        <w:tabs>
          <w:tab w:leader="none" w:pos="66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CHANGES TO THE PROJECT. Landlord reserves the right at any time to make changes, alterations, reductions and additions to the Project (including, without limitation, the right to change, add to, eliminate or reduce the extent, size, shape or configuration of the Common Areas of the Project), including the construction of other buildings or improvements in the Project, the leasing of space for restaurant uses, or the building of additional stories on any building, without any liability or responsibility to Tenant. Landlord will not block ingress and egress to the Premises.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87" w:lineRule="exact"/>
        <w:rPr>
          <w:rFonts w:ascii="Times New Roman" w:cs="Times New Roman" w:eastAsia="Times New Roman" w:hAnsi="Times New Roman"/>
          <w:sz w:val="18"/>
          <w:szCs w:val="18"/>
          <w:color w:val="auto"/>
        </w:rPr>
      </w:pPr>
    </w:p>
    <w:p>
      <w:pPr>
        <w:ind w:left="680" w:hanging="276"/>
        <w:spacing w:after="0"/>
        <w:tabs>
          <w:tab w:leader="none" w:pos="6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PROVISIONS.</w:t>
      </w:r>
    </w:p>
    <w:p>
      <w:pPr>
        <w:spacing w:after="0" w:line="220" w:lineRule="exact"/>
        <w:rPr>
          <w:rFonts w:ascii="Times New Roman" w:cs="Times New Roman" w:eastAsia="Times New Roman" w:hAnsi="Times New Roman"/>
          <w:sz w:val="18"/>
          <w:szCs w:val="18"/>
          <w:color w:val="auto"/>
        </w:rPr>
      </w:pPr>
    </w:p>
    <w:p>
      <w:pPr>
        <w:jc w:val="both"/>
        <w:ind w:left="-40" w:right="160" w:firstLine="990"/>
        <w:spacing w:after="0" w:line="308" w:lineRule="auto"/>
        <w:tabs>
          <w:tab w:leader="none" w:pos="1184" w:val="left"/>
        </w:tabs>
        <w:numPr>
          <w:ilvl w:val="1"/>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xml:space="preserve"> This Lease contains all of the agreements of the parties, and there are no verbal or other agreements which modify or affect this Lease. This Lease supersedes any and all prior agreements made or executed by or on behalf of the parties hereto regarding the Premises.</w:t>
      </w:r>
    </w:p>
    <w:p>
      <w:pPr>
        <w:spacing w:after="0" w:line="138" w:lineRule="exact"/>
        <w:rPr>
          <w:rFonts w:ascii="Times New Roman" w:cs="Times New Roman" w:eastAsia="Times New Roman" w:hAnsi="Times New Roman"/>
          <w:sz w:val="17"/>
          <w:szCs w:val="17"/>
          <w:color w:val="auto"/>
        </w:rPr>
      </w:pPr>
    </w:p>
    <w:p>
      <w:pPr>
        <w:ind w:left="-40" w:right="20" w:firstLine="990"/>
        <w:spacing w:after="0" w:line="252" w:lineRule="auto"/>
        <w:tabs>
          <w:tab w:leader="none" w:pos="1194"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Headings.</w:t>
      </w:r>
      <w:r>
        <w:rPr>
          <w:rFonts w:ascii="Times New Roman" w:cs="Times New Roman" w:eastAsia="Times New Roman" w:hAnsi="Times New Roman"/>
          <w:sz w:val="18"/>
          <w:szCs w:val="18"/>
          <w:color w:val="auto"/>
        </w:rPr>
        <w:t xml:space="preserve"> The words “</w:t>
      </w:r>
      <w:r>
        <w:rPr>
          <w:rFonts w:ascii="Times New Roman" w:cs="Times New Roman" w:eastAsia="Times New Roman" w:hAnsi="Times New Roman"/>
          <w:sz w:val="18"/>
          <w:szCs w:val="18"/>
          <w:i w:val="1"/>
          <w:iCs w:val="1"/>
          <w:color w:val="auto"/>
        </w:rPr>
        <w:t>Landlord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Tenant</w:t>
      </w:r>
      <w:r>
        <w:rPr>
          <w:rFonts w:ascii="Times New Roman" w:cs="Times New Roman" w:eastAsia="Times New Roman" w:hAnsi="Times New Roman"/>
          <w:sz w:val="18"/>
          <w:szCs w:val="18"/>
          <w:color w:val="auto"/>
        </w:rPr>
        <w:t>” include the plural as well as the singular, and words used in any gender include all genders. The titles to sections of this Lease are not a part of this Lease and shall have no effect upon the construction or interpretation of any part hereof. Wherever the term “including” or “includes” is used in this Lease, it shall be construed as if followed by the phrase “without limitation.” The term “month,” when not specified to be a “Lease Month” or calendar month, shall mean a period commencing as of a particular date and continuing to and including the day immediately preceding the same day of the next calendar month (or, if the next calendar month does not contain such a same date due to it being shorter in duration, then continuing to and including the last day of such next calendar month). References to sections or provisions of any statutes, codifications of statutes, rules, regulations or ordinances shall be deemed to also refer to any successor sections or provisions pertaining to the same subject matter.</w:t>
      </w:r>
    </w:p>
    <w:p>
      <w:pPr>
        <w:spacing w:after="0" w:line="189" w:lineRule="exact"/>
        <w:rPr>
          <w:rFonts w:ascii="Times New Roman" w:cs="Times New Roman" w:eastAsia="Times New Roman" w:hAnsi="Times New Roman"/>
          <w:sz w:val="18"/>
          <w:szCs w:val="18"/>
          <w:color w:val="auto"/>
        </w:rPr>
      </w:pPr>
    </w:p>
    <w:p>
      <w:pPr>
        <w:ind w:left="-40" w:right="200" w:firstLine="990"/>
        <w:spacing w:after="0" w:line="278" w:lineRule="auto"/>
        <w:tabs>
          <w:tab w:leader="none" w:pos="1184"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All of the covenants, agreements, terms and conditions contained in this Lease shall inure to and be binding upon Landlord and Tenant and their respective permitted successors in interest and assigns.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60"/>
          </w:cols>
          <w:pgMar w:left="520" w:top="269" w:right="519" w:bottom="1440" w:gutter="0" w:footer="0" w:header="0"/>
        </w:sectPr>
      </w:pPr>
    </w:p>
    <w:bookmarkStart w:id="640" w:name="page641"/>
    <w:bookmarkEnd w:id="640"/>
    <w:p>
      <w:pPr>
        <w:ind w:left="1220" w:hanging="250"/>
        <w:spacing w:after="0"/>
        <w:tabs>
          <w:tab w:leader="none" w:pos="12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Brokers.</w:t>
      </w:r>
    </w:p>
    <w:p>
      <w:pPr>
        <w:spacing w:after="0" w:line="114" w:lineRule="exact"/>
        <w:rPr>
          <w:sz w:val="20"/>
          <w:szCs w:val="20"/>
          <w:color w:val="auto"/>
        </w:rPr>
      </w:pPr>
    </w:p>
    <w:p>
      <w:pPr>
        <w:ind w:left="-20" w:right="60" w:firstLine="990"/>
        <w:spacing w:after="0" w:line="252" w:lineRule="auto"/>
        <w:tabs>
          <w:tab w:leader="none" w:pos="117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warrants and represents to Tenant that Landlord has not voluntarily incurred, on its behalf or on behalf of Tenant or on behalf of both Landlord and Tenant, any obligation to pay a commission or finder’s fee to any real estate broker or other person or entity in connection with this Lease, other than Tenant’s brokers identified on the Basic Lease Information (“</w:t>
      </w:r>
      <w:r>
        <w:rPr>
          <w:rFonts w:ascii="Times New Roman" w:cs="Times New Roman" w:eastAsia="Times New Roman" w:hAnsi="Times New Roman"/>
          <w:sz w:val="18"/>
          <w:szCs w:val="18"/>
          <w:b w:val="1"/>
          <w:bCs w:val="1"/>
          <w:i w:val="1"/>
          <w:iCs w:val="1"/>
          <w:color w:val="auto"/>
        </w:rPr>
        <w:t>Tenant’s Brokers</w:t>
      </w:r>
      <w:r>
        <w:rPr>
          <w:rFonts w:ascii="Times New Roman" w:cs="Times New Roman" w:eastAsia="Times New Roman" w:hAnsi="Times New Roman"/>
          <w:sz w:val="18"/>
          <w:szCs w:val="18"/>
          <w:color w:val="auto"/>
        </w:rPr>
        <w:t>”), with which Landlord has a separate agreement with respect to the payment of a commission in connection with this transaction. Landlord hereby agrees to indemnify, defend and hold Tenant harmless from claims for any commission or finder’s fee charges by any real estate broker or other person or entity (including, without limitation, Tenant’s Brokers, but only to the extent that the claim of Tenant’s Brokers are based upon the separate agreement between Landlord and Tenant’s Brokers) arising from an agreement, whether express or implied, between Landlord and such broker or other person or entity or otherwise arising from the conduct of Landlord.</w:t>
      </w:r>
    </w:p>
    <w:p>
      <w:pPr>
        <w:spacing w:after="0" w:line="80" w:lineRule="exact"/>
        <w:rPr>
          <w:rFonts w:ascii="Times New Roman" w:cs="Times New Roman" w:eastAsia="Times New Roman" w:hAnsi="Times New Roman"/>
          <w:sz w:val="18"/>
          <w:szCs w:val="18"/>
          <w:color w:val="auto"/>
        </w:rPr>
      </w:pPr>
    </w:p>
    <w:p>
      <w:pPr>
        <w:ind w:left="-20" w:firstLine="990"/>
        <w:spacing w:after="0" w:line="254" w:lineRule="auto"/>
        <w:tabs>
          <w:tab w:leader="none" w:pos="122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warrants and represents to Landlord that Tenant has not voluntarily incurred, on its behalf or on behalf of Landlord or on behalf of both Landlord and Tenant, any obligation to pay a commission or finder’s fee to any real estate broker or other person or entity in connection with this Lease, other than Tenant’s Brokers. Tenant is not aware of any obligation of Landlord to Tenant’s Brokers other than those set forth in the separate agreement between Landlord and Tenant’s Brokers. Tenant hereby agrees to indemnify, defend and hold Landlord harmless from claims for any commission or finder’s fee charges by any real estate broker or other person or entity arising from an agreement, whether express or implied, between Tenant and such broker or other person or entity or otherwise arising from the conduct of Tenant.</w:t>
      </w:r>
    </w:p>
    <w:p>
      <w:pPr>
        <w:spacing w:after="0" w:line="77" w:lineRule="exact"/>
        <w:rPr>
          <w:sz w:val="20"/>
          <w:szCs w:val="20"/>
          <w:color w:val="auto"/>
        </w:rPr>
      </w:pPr>
    </w:p>
    <w:p>
      <w:pPr>
        <w:ind w:left="-20" w:right="40" w:firstLine="990"/>
        <w:spacing w:after="0" w:line="251" w:lineRule="auto"/>
        <w:tabs>
          <w:tab w:leader="none" w:pos="120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Landlord.</w:t>
      </w:r>
      <w:r>
        <w:rPr>
          <w:rFonts w:ascii="Times New Roman" w:cs="Times New Roman" w:eastAsia="Times New Roman" w:hAnsi="Times New Roman"/>
          <w:sz w:val="18"/>
          <w:szCs w:val="18"/>
          <w:color w:val="auto"/>
        </w:rPr>
        <w:t xml:space="preserve"> Landlord’s obligations and liability to Tenant under this Lease shall be limited solely to Landlord’s interest in the Project, which interest shall include, without limitation, the following proceeds of such interest of Landlord: (i) any proceeds of property insurance receivable or received by Landlord in respect of damage to or destruction of any portion of the Project, but only to the extent that such insurance proceeds are not used or to be used for the repair or replacement of portions of the Project damaged or destroyed; (ii) any undistributed proceeds of the sale of the Project; and (iii) any other undistributed rental proceeds from the Project. The foregoing notwithstanding: (y) in no event shall the proceeds available to Tenant include the proceeds of any loan or other borrowing; and (z) Tenant shall not have or obtain any right whatsoever as to any proceeds, of whatever kind, that are received by or on behalf of Landlord before an action for the recovery of damages from Landlord was filed and served on Landlord by Tenant, and if such an action is so filed and served, then Tenant shall only be entitled to obtain rights to proceeds thereafter received to the extent necessary to satisfy a final judgment rendered in such action. The foregoing notwithstanding, neither Landlord nor any of the members in Landlord, nor any officer, director, member, shareholder or partner of or in Landlord or of any members in Landlord shall have or incur any personal liability whatsoever with respect to this Lease.</w:t>
      </w:r>
    </w:p>
    <w:p>
      <w:pPr>
        <w:spacing w:after="0" w:line="80" w:lineRule="exact"/>
        <w:rPr>
          <w:sz w:val="20"/>
          <w:szCs w:val="20"/>
          <w:color w:val="auto"/>
        </w:rPr>
      </w:pPr>
    </w:p>
    <w:p>
      <w:pPr>
        <w:ind w:left="-20" w:right="20" w:firstLine="990"/>
        <w:spacing w:after="0" w:line="254" w:lineRule="auto"/>
        <w:tabs>
          <w:tab w:leader="none" w:pos="117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Covenants.</w:t>
      </w:r>
      <w:r>
        <w:rPr>
          <w:rFonts w:ascii="Times New Roman" w:cs="Times New Roman" w:eastAsia="Times New Roman" w:hAnsi="Times New Roman"/>
          <w:sz w:val="18"/>
          <w:szCs w:val="18"/>
          <w:color w:val="auto"/>
        </w:rPr>
        <w:t xml:space="preserve"> This Lease shall be construed as though the covenants herein between Landlord and Tenant are independent and not dependent and Tenant agrees that if Landlord fails to perform its obligations set forth herein, Tenant shall not be entitled to make any repairs or perform any acts hereunder at Landlord’s expense or to any setoff of amounts owing hereunder against Landlord; provided, however, that the foregoing shall in no way impair the right of Tenant to commence a separate action against Landlord for any violation by Landlord of the provisions hereof so long as notice is first given to Landlord and any holder of a mortgage or deed of trust covering the Building or the Project or any portion thereof, and an opportunity is granted to Landlord and such mortgage holder to correct such violations as provided above.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500" w:top="268" w:right="499" w:bottom="1440" w:gutter="0" w:footer="0" w:header="0"/>
        </w:sectPr>
      </w:pPr>
    </w:p>
    <w:bookmarkStart w:id="641" w:name="page642"/>
    <w:bookmarkEnd w:id="641"/>
    <w:p>
      <w:pPr>
        <w:ind w:left="-20" w:right="140" w:firstLine="990"/>
        <w:spacing w:after="0" w:line="263" w:lineRule="auto"/>
        <w:tabs>
          <w:tab w:leader="none" w:pos="121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Waiver of Redemption by Tenant</w:t>
      </w:r>
      <w:r>
        <w:rPr>
          <w:rFonts w:ascii="Times New Roman" w:cs="Times New Roman" w:eastAsia="Times New Roman" w:hAnsi="Times New Roman"/>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75" w:lineRule="exact"/>
        <w:rPr>
          <w:rFonts w:ascii="Times New Roman" w:cs="Times New Roman" w:eastAsia="Times New Roman" w:hAnsi="Times New Roman"/>
          <w:sz w:val="18"/>
          <w:szCs w:val="18"/>
          <w:color w:val="auto"/>
        </w:rPr>
      </w:pPr>
    </w:p>
    <w:p>
      <w:pPr>
        <w:ind w:left="-20" w:right="40" w:firstLine="990"/>
        <w:spacing w:after="0" w:line="278" w:lineRule="auto"/>
        <w:tabs>
          <w:tab w:leader="none" w:pos="121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Lease which shall prove to be invalid, void or illegal shall in no way affect, impair or invalidate any other provision hereof, and the remaining provisions hereof shall nevertheless remain in full force and effect.</w:t>
      </w:r>
    </w:p>
    <w:p>
      <w:pPr>
        <w:spacing w:after="0" w:line="162" w:lineRule="exact"/>
        <w:rPr>
          <w:rFonts w:ascii="Times New Roman" w:cs="Times New Roman" w:eastAsia="Times New Roman" w:hAnsi="Times New Roman"/>
          <w:sz w:val="18"/>
          <w:szCs w:val="18"/>
          <w:color w:val="auto"/>
        </w:rPr>
      </w:pPr>
    </w:p>
    <w:p>
      <w:pPr>
        <w:ind w:left="-20" w:right="160" w:firstLine="990"/>
        <w:spacing w:after="0" w:line="253" w:lineRule="auto"/>
        <w:tabs>
          <w:tab w:leader="none" w:pos="117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Except as may be otherwise specifically provided herein, time periods for Landlord’s or Tenant’s performance under any provisions of this Lease not involving the payment of money shall be extended for periods of time during which the nonperforming party’s performance is prevented or delayed due to events or circumstances of Force Majeure. For purposes of this Lease,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shall mean events or circumstances beyond the control of the party obligated to perform, including, without limitation, strikes, embargoes, governmental regulations or procedures (including, without limitation, governmental regulations or procedures related to the issuance of building or similar permits outside the ordinary expectations of the parties), acts of God, weather, war or other strife. Tenant hereby waives and releases its right to terminate this Lease under Section 1932(1) of the California Civil Code or under any similar law, statute or ordinance now or hereafter in effect.</w:t>
      </w:r>
    </w:p>
    <w:p>
      <w:pPr>
        <w:spacing w:after="0" w:line="184" w:lineRule="exact"/>
        <w:rPr>
          <w:rFonts w:ascii="Times New Roman" w:cs="Times New Roman" w:eastAsia="Times New Roman" w:hAnsi="Times New Roman"/>
          <w:sz w:val="18"/>
          <w:szCs w:val="18"/>
          <w:color w:val="auto"/>
        </w:rPr>
      </w:pPr>
    </w:p>
    <w:p>
      <w:pPr>
        <w:ind w:left="-20" w:right="40" w:firstLine="990"/>
        <w:spacing w:after="0" w:line="263" w:lineRule="auto"/>
        <w:tabs>
          <w:tab w:leader="none" w:pos="117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Tenant</w:t>
      </w:r>
      <w:r>
        <w:rPr>
          <w:rFonts w:ascii="Times New Roman" w:cs="Times New Roman" w:eastAsia="Times New Roman" w:hAnsi="Times New Roman"/>
          <w:sz w:val="18"/>
          <w:szCs w:val="18"/>
          <w:color w:val="auto"/>
        </w:rPr>
        <w:t>. The persons executing this Lease on behalf of Tenant warrants and represents to Landlord that Tenant has the right and power to enter into this Lease and that the execution and performance by Tenant of its obligations under this Lease has been duly authorized by Tenant and that no further authorizations are required.</w:t>
      </w:r>
    </w:p>
    <w:p>
      <w:pPr>
        <w:spacing w:after="0" w:line="175" w:lineRule="exact"/>
        <w:rPr>
          <w:rFonts w:ascii="Times New Roman" w:cs="Times New Roman" w:eastAsia="Times New Roman" w:hAnsi="Times New Roman"/>
          <w:sz w:val="18"/>
          <w:szCs w:val="18"/>
          <w:color w:val="auto"/>
        </w:rPr>
      </w:pPr>
    </w:p>
    <w:p>
      <w:pPr>
        <w:ind w:left="-20" w:right="340" w:firstLine="990"/>
        <w:spacing w:after="0" w:line="278" w:lineRule="auto"/>
        <w:tabs>
          <w:tab w:leader="none" w:pos="121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Examination of Lease</w:t>
      </w:r>
      <w:r>
        <w:rPr>
          <w:rFonts w:ascii="Times New Roman" w:cs="Times New Roman" w:eastAsia="Times New Roman" w:hAnsi="Times New Roman"/>
          <w:sz w:val="18"/>
          <w:szCs w:val="18"/>
          <w:color w:val="auto"/>
        </w:rPr>
        <w:t>. Submission of this instrument for examination or signature by Tenant does not constitute a reservation of or option to lease, and it is not effective as a lease or otherwise until execution by and delivery to both Landlord and Tenant.</w:t>
      </w:r>
    </w:p>
    <w:p>
      <w:pPr>
        <w:spacing w:after="0" w:line="162" w:lineRule="exact"/>
        <w:rPr>
          <w:rFonts w:ascii="Times New Roman" w:cs="Times New Roman" w:eastAsia="Times New Roman" w:hAnsi="Times New Roman"/>
          <w:sz w:val="18"/>
          <w:szCs w:val="18"/>
          <w:color w:val="auto"/>
        </w:rPr>
      </w:pPr>
    </w:p>
    <w:p>
      <w:pPr>
        <w:ind w:left="-20" w:firstLine="990"/>
        <w:spacing w:after="0" w:line="258" w:lineRule="auto"/>
        <w:tabs>
          <w:tab w:leader="none" w:pos="117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Warranty</w:t>
      </w:r>
      <w:r>
        <w:rPr>
          <w:rFonts w:ascii="Times New Roman" w:cs="Times New Roman" w:eastAsia="Times New Roman" w:hAnsi="Times New Roman"/>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9" w:lineRule="exact"/>
        <w:rPr>
          <w:rFonts w:ascii="Times New Roman" w:cs="Times New Roman" w:eastAsia="Times New Roman" w:hAnsi="Times New Roman"/>
          <w:sz w:val="18"/>
          <w:szCs w:val="18"/>
          <w:color w:val="auto"/>
        </w:rPr>
      </w:pPr>
    </w:p>
    <w:p>
      <w:pPr>
        <w:ind w:left="-20" w:right="120" w:firstLine="990"/>
        <w:spacing w:after="0" w:line="263" w:lineRule="auto"/>
        <w:tabs>
          <w:tab w:leader="none" w:pos="126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Lease</w:t>
      </w:r>
      <w:r>
        <w:rPr>
          <w:rFonts w:ascii="Times New Roman" w:cs="Times New Roman" w:eastAsia="Times New Roman" w:hAnsi="Times New Roman"/>
          <w:sz w:val="18"/>
          <w:szCs w:val="18"/>
          <w:color w:val="auto"/>
        </w:rPr>
        <w:t>. Landlord reserves the absolute right to effect such other tenancies in the Project as Landlord in the exercise of its sole business judgment shall determine to best promote the interests of the Project. Tenant does not rely on the fact, nor does Landlord represent, that any specific tenant or type or number of tenants shall, during the Term, occupy any space in the Project.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00"/>
          </w:cols>
          <w:pgMar w:left="500" w:top="268" w:right="499" w:bottom="1440" w:gutter="0" w:footer="0" w:header="0"/>
        </w:sectPr>
      </w:pPr>
    </w:p>
    <w:bookmarkStart w:id="642" w:name="page643"/>
    <w:bookmarkEnd w:id="642"/>
    <w:p>
      <w:pPr>
        <w:ind w:left="-60" w:right="20" w:firstLine="990"/>
        <w:spacing w:after="0" w:line="258" w:lineRule="auto"/>
        <w:tabs>
          <w:tab w:leader="none" w:pos="117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Modification for Lender.</w:t>
      </w:r>
      <w:r>
        <w:rPr>
          <w:rFonts w:ascii="Times New Roman" w:cs="Times New Roman" w:eastAsia="Times New Roman" w:hAnsi="Times New Roman"/>
          <w:sz w:val="18"/>
          <w:szCs w:val="18"/>
          <w:color w:val="auto"/>
        </w:rPr>
        <w:t xml:space="preserve"> If, in connection with Landlord’s obtaining construction, interim or permanent financing for the Building or Project, the lender shall request reasonable modifications in this Lease as a condition to such financing, Tenant will not unreasonably withhold, delay or defer its consent thereto, provided that such modifications do not increase the obligations of Tenant hereunder or materially adversely affect the leasehold interest hereby created or Tenant’s rights hereunder.</w:t>
      </w:r>
    </w:p>
    <w:p>
      <w:pPr>
        <w:spacing w:after="0" w:line="179" w:lineRule="exact"/>
        <w:rPr>
          <w:rFonts w:ascii="Times New Roman" w:cs="Times New Roman" w:eastAsia="Times New Roman" w:hAnsi="Times New Roman"/>
          <w:sz w:val="18"/>
          <w:szCs w:val="18"/>
          <w:color w:val="auto"/>
        </w:rPr>
      </w:pPr>
    </w:p>
    <w:p>
      <w:pPr>
        <w:ind w:left="1180" w:hanging="250"/>
        <w:spacing w:after="0"/>
        <w:tabs>
          <w:tab w:leader="none" w:pos="1180" w:val="left"/>
        </w:tabs>
        <w:numPr>
          <w:ilvl w:val="0"/>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Recording.</w:t>
      </w:r>
      <w:r>
        <w:rPr>
          <w:rFonts w:ascii="Times New Roman" w:cs="Times New Roman" w:eastAsia="Times New Roman" w:hAnsi="Times New Roman"/>
          <w:sz w:val="17"/>
          <w:szCs w:val="17"/>
          <w:color w:val="auto"/>
        </w:rPr>
        <w:t xml:space="preserve"> Neither Landlord nor Tenant shall record this Lease nor a short form memorandum hereof without the consent of the other.</w:t>
      </w:r>
    </w:p>
    <w:p>
      <w:pPr>
        <w:spacing w:after="0" w:line="232" w:lineRule="exact"/>
        <w:rPr>
          <w:rFonts w:ascii="Times New Roman" w:cs="Times New Roman" w:eastAsia="Times New Roman" w:hAnsi="Times New Roman"/>
          <w:sz w:val="17"/>
          <w:szCs w:val="17"/>
          <w:color w:val="auto"/>
        </w:rPr>
      </w:pPr>
    </w:p>
    <w:p>
      <w:pPr>
        <w:ind w:left="1180" w:hanging="250"/>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This Lease shall be governed by and construed pursuant to the laws of the State of California.</w:t>
      </w:r>
    </w:p>
    <w:p>
      <w:pPr>
        <w:spacing w:after="0" w:line="220" w:lineRule="exact"/>
        <w:rPr>
          <w:rFonts w:ascii="Times New Roman" w:cs="Times New Roman" w:eastAsia="Times New Roman" w:hAnsi="Times New Roman"/>
          <w:sz w:val="18"/>
          <w:szCs w:val="18"/>
          <w:color w:val="auto"/>
        </w:rPr>
      </w:pPr>
    </w:p>
    <w:p>
      <w:pPr>
        <w:ind w:left="-60" w:firstLine="990"/>
        <w:spacing w:after="0" w:line="255" w:lineRule="auto"/>
        <w:tabs>
          <w:tab w:leader="none" w:pos="117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 Certification</w:t>
      </w:r>
      <w:r>
        <w:rPr>
          <w:rFonts w:ascii="Times New Roman" w:cs="Times New Roman" w:eastAsia="Times New Roman" w:hAnsi="Times New Roman"/>
          <w:sz w:val="18"/>
          <w:szCs w:val="18"/>
          <w:color w:val="auto"/>
        </w:rPr>
        <w:t>. Tenant represents and warrants that Tenant is not acting, directly or indirectly, for or on behalf of any person, group, entity, or nation named by any Executive Order or the United States Treasury Department as a terrorist, “Specially Designated National and Blocked Person,” or other banned or blocked person, group, entity, nation, or transaction pursuant to any law, order, rule, or regulation that is enforced or administered by the Office of Foreign Assets Control and that it is not engaged in this transaction, directly or indirectly, on behalf of, or instigating or facilitating this transaction, directly or indirectly, on behalf of any such person, group, entity, or nation.</w:t>
      </w:r>
    </w:p>
    <w:p>
      <w:pPr>
        <w:spacing w:after="0" w:line="184" w:lineRule="exact"/>
        <w:rPr>
          <w:rFonts w:ascii="Times New Roman" w:cs="Times New Roman" w:eastAsia="Times New Roman" w:hAnsi="Times New Roman"/>
          <w:sz w:val="18"/>
          <w:szCs w:val="18"/>
          <w:color w:val="auto"/>
        </w:rPr>
      </w:pPr>
    </w:p>
    <w:p>
      <w:pPr>
        <w:ind w:left="-60" w:right="100" w:firstLine="990"/>
        <w:spacing w:after="0" w:line="258" w:lineRule="auto"/>
        <w:tabs>
          <w:tab w:leader="none" w:pos="114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xml:space="preserve"> Nothing contained in this Lease shall be deemed or construed by the parties hereto or by any third party to create the relationship of principal and agent, partnership, joint venture or any association between Landlord and Tenant, it being expressly understood and agreed that neither the method of computation of rent nor any act or omission of the parties hereto shall be deemed to create any relationship between Landlord and Tenant other than the relationship of landlord and tenant.</w:t>
      </w:r>
    </w:p>
    <w:p>
      <w:pPr>
        <w:spacing w:after="0" w:line="179" w:lineRule="exact"/>
        <w:rPr>
          <w:rFonts w:ascii="Times New Roman" w:cs="Times New Roman" w:eastAsia="Times New Roman" w:hAnsi="Times New Roman"/>
          <w:sz w:val="18"/>
          <w:szCs w:val="18"/>
          <w:color w:val="auto"/>
        </w:rPr>
      </w:pPr>
    </w:p>
    <w:p>
      <w:pPr>
        <w:jc w:val="both"/>
        <w:ind w:left="-60" w:right="80" w:firstLine="990"/>
        <w:spacing w:after="0" w:line="258" w:lineRule="auto"/>
        <w:tabs>
          <w:tab w:leader="none" w:pos="115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or Building Name and Signage</w:t>
      </w:r>
      <w:r>
        <w:rPr>
          <w:rFonts w:ascii="Times New Roman" w:cs="Times New Roman" w:eastAsia="Times New Roman" w:hAnsi="Times New Roman"/>
          <w:sz w:val="18"/>
          <w:szCs w:val="18"/>
          <w:color w:val="auto"/>
        </w:rPr>
        <w:t>. Landlord shall have the right at any time to change the name of the Building or Project and to install, affix and maintain any and all signs on the exterior and on the interior of the Project or Building as Landlord may, in Landlord’s sole discretion, desire. Tenant shall not use the name of the Project or the Building or use pictures or illustrations of the Project or the Building in advertising or other publicity, without the prior written consent of Landlord.</w:t>
      </w:r>
    </w:p>
    <w:p>
      <w:pPr>
        <w:spacing w:after="0" w:line="179" w:lineRule="exact"/>
        <w:rPr>
          <w:rFonts w:ascii="Times New Roman" w:cs="Times New Roman" w:eastAsia="Times New Roman" w:hAnsi="Times New Roman"/>
          <w:sz w:val="18"/>
          <w:szCs w:val="18"/>
          <w:color w:val="auto"/>
        </w:rPr>
      </w:pPr>
    </w:p>
    <w:p>
      <w:pPr>
        <w:ind w:left="-60" w:right="700" w:firstLine="990"/>
        <w:spacing w:after="0" w:line="278" w:lineRule="auto"/>
        <w:tabs>
          <w:tab w:leader="none" w:pos="113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Obligations.</w:t>
      </w:r>
      <w:r>
        <w:rPr>
          <w:rFonts w:ascii="Times New Roman" w:cs="Times New Roman" w:eastAsia="Times New Roman" w:hAnsi="Times New Roman"/>
          <w:sz w:val="18"/>
          <w:szCs w:val="18"/>
          <w:color w:val="auto"/>
        </w:rPr>
        <w:t xml:space="preserve"> All provisions of this Lease which require the payment of money or the delivery of property after the termination of this Lease or require Tenant to indemnify, defend or hold Landlord harmless shall survive the termination of this Lease.</w:t>
      </w:r>
    </w:p>
    <w:p>
      <w:pPr>
        <w:spacing w:after="0" w:line="162" w:lineRule="exact"/>
        <w:rPr>
          <w:rFonts w:ascii="Times New Roman" w:cs="Times New Roman" w:eastAsia="Times New Roman" w:hAnsi="Times New Roman"/>
          <w:sz w:val="18"/>
          <w:szCs w:val="18"/>
          <w:color w:val="auto"/>
        </w:rPr>
      </w:pPr>
    </w:p>
    <w:p>
      <w:pPr>
        <w:ind w:left="-60" w:right="440" w:firstLine="990"/>
        <w:spacing w:after="0" w:line="263" w:lineRule="auto"/>
        <w:tabs>
          <w:tab w:leader="none" w:pos="117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xml:space="preserve"> This Lease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00"/>
          </w:cols>
          <w:pgMar w:left="540" w:top="269" w:right="559" w:bottom="1440" w:gutter="0" w:footer="0" w:header="0"/>
        </w:sectPr>
      </w:pPr>
    </w:p>
    <w:bookmarkStart w:id="643" w:name="page644"/>
    <w:bookmarkEnd w:id="6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hereto have executed this Lease as of the date first above written.</w:t>
      </w:r>
    </w:p>
    <w:p>
      <w:pPr>
        <w:spacing w:after="0" w:line="248" w:lineRule="exact"/>
        <w:rPr>
          <w:sz w:val="20"/>
          <w:szCs w:val="20"/>
          <w:color w:val="auto"/>
        </w:rPr>
      </w:pPr>
    </w:p>
    <w:tbl>
      <w:tblPr>
        <w:tblLayout w:type="fixed"/>
        <w:tblInd w:w="6120" w:type="dxa"/>
        <w:tblCellMar>
          <w:top w:w="0" w:type="dxa"/>
          <w:left w:w="0" w:type="dxa"/>
          <w:bottom w:w="0" w:type="dxa"/>
          <w:right w:w="0" w:type="dxa"/>
        </w:tblCellMar>
      </w:tblPr>
      <w:tr>
        <w:trPr>
          <w:trHeight w:val="2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Omada Health, Inc.,</w:t>
            </w:r>
          </w:p>
        </w:tc>
      </w:tr>
      <w:tr>
        <w:trPr>
          <w:trHeight w:val="233"/>
        </w:trPr>
        <w:tc>
          <w:tcPr>
            <w:tcW w:w="1120" w:type="dxa"/>
            <w:vAlign w:val="bottom"/>
          </w:tcPr>
          <w:p>
            <w:pPr>
              <w:spacing w:after="0"/>
              <w:rPr>
                <w:sz w:val="20"/>
                <w:szCs w:val="20"/>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27"/>
        </w:trPr>
        <w:tc>
          <w:tcPr>
            <w:tcW w:w="11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Duffy</w:t>
            </w:r>
          </w:p>
        </w:tc>
      </w:tr>
      <w:tr>
        <w:trPr>
          <w:trHeight w:val="202"/>
        </w:trPr>
        <w:tc>
          <w:tcPr>
            <w:tcW w:w="1120" w:type="dxa"/>
            <w:vAlign w:val="bottom"/>
          </w:tcPr>
          <w:p>
            <w:pPr>
              <w:spacing w:after="0"/>
              <w:rPr>
                <w:sz w:val="17"/>
                <w:szCs w:val="17"/>
                <w:color w:val="auto"/>
              </w:rPr>
            </w:pPr>
          </w:p>
        </w:tc>
        <w:tc>
          <w:tcPr>
            <w:tcW w:w="6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2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Sean Duffy</w:t>
            </w:r>
          </w:p>
        </w:tc>
      </w:tr>
      <w:tr>
        <w:trPr>
          <w:trHeight w:val="233"/>
        </w:trPr>
        <w:tc>
          <w:tcPr>
            <w:tcW w:w="11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500 Sansome Street Investors, LLC,</w:t>
            </w:r>
          </w:p>
        </w:tc>
      </w:tr>
      <w:tr>
        <w:trPr>
          <w:trHeight w:val="233"/>
        </w:trPr>
        <w:tc>
          <w:tcPr>
            <w:tcW w:w="1120" w:type="dxa"/>
            <w:vAlign w:val="bottom"/>
          </w:tcPr>
          <w:p>
            <w:pPr>
              <w:spacing w:after="0"/>
              <w:rPr>
                <w:sz w:val="20"/>
                <w:szCs w:val="20"/>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California limited liability company</w:t>
            </w:r>
          </w:p>
        </w:tc>
      </w:tr>
      <w:tr>
        <w:trPr>
          <w:trHeight w:val="427"/>
        </w:trPr>
        <w:tc>
          <w:tcPr>
            <w:tcW w:w="11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W. Jones</w:t>
            </w:r>
          </w:p>
        </w:tc>
      </w:tr>
      <w:tr>
        <w:trPr>
          <w:trHeight w:val="202"/>
        </w:trPr>
        <w:tc>
          <w:tcPr>
            <w:tcW w:w="1120" w:type="dxa"/>
            <w:vAlign w:val="bottom"/>
          </w:tcPr>
          <w:p>
            <w:pPr>
              <w:spacing w:after="0"/>
              <w:rPr>
                <w:sz w:val="17"/>
                <w:szCs w:val="17"/>
                <w:color w:val="auto"/>
              </w:rPr>
            </w:pPr>
          </w:p>
        </w:tc>
        <w:tc>
          <w:tcPr>
            <w:tcW w:w="6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2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Bruce W. Jones</w:t>
            </w:r>
          </w:p>
        </w:tc>
      </w:tr>
      <w:tr>
        <w:trPr>
          <w:trHeight w:val="233"/>
        </w:trPr>
        <w:tc>
          <w:tcPr>
            <w:tcW w:w="11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Authorized agent</w:t>
            </w:r>
          </w:p>
        </w:tc>
      </w:tr>
    </w:tbl>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480"/>
          </w:cols>
          <w:pgMar w:left="920" w:top="269" w:right="499" w:bottom="1440" w:gutter="0" w:footer="0" w:header="0"/>
        </w:sectPr>
      </w:pPr>
    </w:p>
    <w:bookmarkStart w:id="644" w:name="page645"/>
    <w:bookmarkEnd w:id="6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IAGRAM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REMISES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265" w:right="1440" w:bottom="1440" w:gutter="0" w:footer="0" w:header="0"/>
        </w:sectPr>
      </w:pPr>
    </w:p>
    <w:bookmarkStart w:id="645" w:name="page646"/>
    <w:bookmarkEnd w:id="6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ESIGN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ONSTRUCTION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ENANT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MPROVEMENTS</w:t>
      </w:r>
    </w:p>
    <w:p>
      <w:pPr>
        <w:spacing w:after="0" w:line="221" w:lineRule="exact"/>
        <w:rPr>
          <w:sz w:val="20"/>
          <w:szCs w:val="20"/>
          <w:color w:val="auto"/>
        </w:rPr>
      </w:pPr>
    </w:p>
    <w:p>
      <w:pPr>
        <w:ind w:left="-20" w:right="60" w:firstLine="990"/>
        <w:spacing w:after="0" w:line="252" w:lineRule="auto"/>
        <w:tabs>
          <w:tab w:leader="none" w:pos="11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Tenant Improvements.</w:t>
      </w:r>
      <w:r>
        <w:rPr>
          <w:rFonts w:ascii="Times New Roman" w:cs="Times New Roman" w:eastAsia="Times New Roman" w:hAnsi="Times New Roman"/>
          <w:sz w:val="18"/>
          <w:szCs w:val="18"/>
          <w:color w:val="auto"/>
        </w:rPr>
        <w:t xml:space="preserve"> Landlord shall construct those improvements in the Premises (the “</w:t>
      </w:r>
      <w:r>
        <w:rPr>
          <w:rFonts w:ascii="Times New Roman" w:cs="Times New Roman" w:eastAsia="Times New Roman" w:hAnsi="Times New Roman"/>
          <w:sz w:val="18"/>
          <w:szCs w:val="18"/>
          <w:b w:val="1"/>
          <w:bCs w:val="1"/>
          <w:i w:val="1"/>
          <w:iCs w:val="1"/>
          <w:color w:val="auto"/>
        </w:rPr>
        <w:t>Tenant Improvements</w:t>
      </w:r>
      <w:r>
        <w:rPr>
          <w:rFonts w:ascii="Times New Roman" w:cs="Times New Roman" w:eastAsia="Times New Roman" w:hAnsi="Times New Roman"/>
          <w:sz w:val="18"/>
          <w:szCs w:val="18"/>
          <w:color w:val="auto"/>
        </w:rPr>
        <w:t>”) depicted on the Final Plans (defined below), using the Building Standard finishes and materials, and in accordance with all applicable laws, rules and regulations in effect at the time the applicable building permits are issued. As used herein, “</w:t>
      </w:r>
      <w:r>
        <w:rPr>
          <w:rFonts w:ascii="Times New Roman" w:cs="Times New Roman" w:eastAsia="Times New Roman" w:hAnsi="Times New Roman"/>
          <w:sz w:val="18"/>
          <w:szCs w:val="18"/>
          <w:b w:val="1"/>
          <w:bCs w:val="1"/>
          <w:i w:val="1"/>
          <w:iCs w:val="1"/>
          <w:color w:val="auto"/>
        </w:rPr>
        <w:t>Building Standard</w:t>
      </w:r>
      <w:r>
        <w:rPr>
          <w:rFonts w:ascii="Times New Roman" w:cs="Times New Roman" w:eastAsia="Times New Roman" w:hAnsi="Times New Roman"/>
          <w:sz w:val="18"/>
          <w:szCs w:val="18"/>
          <w:color w:val="auto"/>
        </w:rPr>
        <w:t>” means those minimum standard specifications established by Landlord governing the type, quality and quantity of materials for tenant spaces in the Building, including floor coverings, wall coverings, window treatments (if any), ceiling tiles, doors, hardware, kitchen appliances, lighting, availability and distribution of HVAC and electrical systems, and such other items as Landlord may reasonable determine, and examples of which are depicted in Exhibit B-1 attached hereto. Tenant (i) acknowledges that work depicted in Exhibit B-1 are intended to be examples of Building Standard improvements only and the completed improvements may not be identical to the work depicted in Exhibit B-1 and (ii) agrees that the same shall nevertheless be deemed Building Standard for purposes of this Lease.</w:t>
      </w:r>
    </w:p>
    <w:p>
      <w:pPr>
        <w:spacing w:after="0" w:line="187" w:lineRule="exact"/>
        <w:rPr>
          <w:rFonts w:ascii="Times New Roman" w:cs="Times New Roman" w:eastAsia="Times New Roman" w:hAnsi="Times New Roman"/>
          <w:sz w:val="18"/>
          <w:szCs w:val="18"/>
          <w:color w:val="auto"/>
        </w:rPr>
      </w:pPr>
    </w:p>
    <w:p>
      <w:pPr>
        <w:ind w:left="-20" w:right="20" w:firstLine="990"/>
        <w:spacing w:after="0" w:line="258" w:lineRule="auto"/>
        <w:tabs>
          <w:tab w:leader="none" w:pos="11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Telephone and Data Cabling, etc</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require Landlord to construct, install or provide, as part of the Tenant improvements, all or any of the following: office equipment (including, without limitation, computers and work stations), telephone and data equipment, wiring, cabling or furniture or furniture systems, all of which shall be constructed, installed or provided by Tenant at its sole cost and expense following the Commencement Date pursuant to the provisions of the Lease.</w:t>
      </w:r>
    </w:p>
    <w:p>
      <w:pPr>
        <w:spacing w:after="0" w:line="179" w:lineRule="exact"/>
        <w:rPr>
          <w:rFonts w:ascii="Times New Roman" w:cs="Times New Roman" w:eastAsia="Times New Roman" w:hAnsi="Times New Roman"/>
          <w:sz w:val="18"/>
          <w:szCs w:val="18"/>
          <w:color w:val="auto"/>
        </w:rPr>
      </w:pPr>
    </w:p>
    <w:p>
      <w:pPr>
        <w:ind w:left="-20" w:firstLine="990"/>
        <w:spacing w:after="0" w:line="251" w:lineRule="auto"/>
        <w:tabs>
          <w:tab w:leader="none" w:pos="11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Plans and Drawings.</w:t>
      </w:r>
      <w:r>
        <w:rPr>
          <w:rFonts w:ascii="Times New Roman" w:cs="Times New Roman" w:eastAsia="Times New Roman" w:hAnsi="Times New Roman"/>
          <w:sz w:val="18"/>
          <w:szCs w:val="18"/>
          <w:color w:val="auto"/>
        </w:rPr>
        <w:t xml:space="preserve"> Landlord shall deliver to Tenant for Tenant’s approval working drawings consisting of a floor plan, reflected ceiling plan, interior elevations, electrical plan, door schedule and finish schedule for the Premises (the “</w:t>
      </w:r>
      <w:r>
        <w:rPr>
          <w:rFonts w:ascii="Times New Roman" w:cs="Times New Roman" w:eastAsia="Times New Roman" w:hAnsi="Times New Roman"/>
          <w:sz w:val="18"/>
          <w:szCs w:val="18"/>
          <w:b w:val="1"/>
          <w:bCs w:val="1"/>
          <w:i w:val="1"/>
          <w:iCs w:val="1"/>
          <w:color w:val="auto"/>
        </w:rPr>
        <w:t>Working Drawings</w:t>
      </w:r>
      <w:r>
        <w:rPr>
          <w:rFonts w:ascii="Times New Roman" w:cs="Times New Roman" w:eastAsia="Times New Roman" w:hAnsi="Times New Roman"/>
          <w:sz w:val="18"/>
          <w:szCs w:val="18"/>
          <w:color w:val="auto"/>
        </w:rPr>
        <w:t xml:space="preserve">”), which Working Drawings shall be consistent with the conceptual space plans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Conceptual Plans</w:t>
      </w:r>
      <w:r>
        <w:rPr>
          <w:rFonts w:ascii="Times New Roman" w:cs="Times New Roman" w:eastAsia="Times New Roman" w:hAnsi="Times New Roman"/>
          <w:sz w:val="18"/>
          <w:szCs w:val="18"/>
          <w:color w:val="auto"/>
        </w:rPr>
        <w:t>”). Tenant shall on demand provide all the information reasonably requested from Tenant by Landlord or its employees, agents, architects, contractors, engineers or representatives in connection with the preparation of the Working Drawings. Tenant shall approve or disapprove the Working Drawings within ten (10) business days after delivery of the Working Drawings to Tenant, which approval shall only be withheld if such Working Drawings are materially inconsistent with the Conceptual Plans. If Tenant disapproves the Working Drawings pursuant to the preceding sentence, Tenant shall return the Working Drawings to Landlord with Tenant’s specific requested changes noted thereon. Landlord shall promptly revise and resubmit the Working Drawings to Tenant, and Tenant shall approve or disapprove such revised Working Drawings within five (5) business days after receipt (which approval shall only be withheld if such Working Drawings are again materially inconsistent with the Conceptual Plans). Such procedure shall be utilized until the Working Drawings are approved by Tenant. The Working Drawings as approved by Tenant are referred to as the “</w:t>
      </w:r>
      <w:r>
        <w:rPr>
          <w:rFonts w:ascii="Times New Roman" w:cs="Times New Roman" w:eastAsia="Times New Roman" w:hAnsi="Times New Roman"/>
          <w:sz w:val="18"/>
          <w:szCs w:val="18"/>
          <w:b w:val="1"/>
          <w:bCs w:val="1"/>
          <w:i w:val="1"/>
          <w:iCs w:val="1"/>
          <w:color w:val="auto"/>
        </w:rPr>
        <w:t>Final Plans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00"/>
          </w:cols>
          <w:pgMar w:left="500" w:top="264" w:right="499" w:bottom="1440" w:gutter="0" w:footer="0" w:header="0"/>
        </w:sectPr>
      </w:pPr>
    </w:p>
    <w:bookmarkStart w:id="646" w:name="page647"/>
    <w:bookmarkEnd w:id="646"/>
    <w:p>
      <w:pPr>
        <w:ind w:left="-7" w:firstLine="990"/>
        <w:spacing w:after="0" w:line="255" w:lineRule="auto"/>
        <w:tabs>
          <w:tab w:leader="none" w:pos="115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Permits and Approvals.</w:t>
      </w:r>
      <w:r>
        <w:rPr>
          <w:rFonts w:ascii="Times New Roman" w:cs="Times New Roman" w:eastAsia="Times New Roman" w:hAnsi="Times New Roman"/>
          <w:sz w:val="18"/>
          <w:szCs w:val="18"/>
          <w:color w:val="auto"/>
        </w:rPr>
        <w:t xml:space="preserve"> Landlord shall obtain all permits and approvals and construct or modify the Tenant improvements in accordance with the Final Plans, in a first-class workmanlike manner. If any modifications to the Final Plans are required to obtain any such permit or approval, Landlord may make such modifications as are reasonably required in the circumstances; provided, however, that Landlord shall consult with Tenant before agreeing to such modifications if it is evident to Landlord that the requested modifications could have a material adverse effect upon the use of the Tenant Improvements by Tenant for its regular business purposes.</w:t>
      </w:r>
    </w:p>
    <w:p>
      <w:pPr>
        <w:spacing w:after="0" w:line="184" w:lineRule="exact"/>
        <w:rPr>
          <w:rFonts w:ascii="Times New Roman" w:cs="Times New Roman" w:eastAsia="Times New Roman" w:hAnsi="Times New Roman"/>
          <w:sz w:val="18"/>
          <w:szCs w:val="18"/>
          <w:color w:val="auto"/>
        </w:rPr>
      </w:pPr>
    </w:p>
    <w:p>
      <w:pPr>
        <w:jc w:val="both"/>
        <w:ind w:left="-7" w:right="360" w:firstLine="990"/>
        <w:spacing w:after="0" w:line="258" w:lineRule="auto"/>
        <w:tabs>
          <w:tab w:leader="none" w:pos="115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Work.</w:t>
      </w:r>
      <w:r>
        <w:rPr>
          <w:rFonts w:ascii="Times New Roman" w:cs="Times New Roman" w:eastAsia="Times New Roman" w:hAnsi="Times New Roman"/>
          <w:sz w:val="18"/>
          <w:szCs w:val="18"/>
          <w:color w:val="auto"/>
        </w:rPr>
        <w:t xml:space="preserve"> Landlord shall administer the construction of the Tenant Improvements in accordance with the Final Plans using a general contractor, subcontractors, suppliers and vendors selected by Landlord in its sole and absolute discretion. Tenant acknowledges that Landlord is constructing the Tenant Improvements for the convenience of Tenant, and that Landlord shall not be the guarantor of such Tenant Improvements.</w:t>
      </w:r>
    </w:p>
    <w:p>
      <w:pPr>
        <w:spacing w:after="0" w:line="179" w:lineRule="exact"/>
        <w:rPr>
          <w:rFonts w:ascii="Times New Roman" w:cs="Times New Roman" w:eastAsia="Times New Roman" w:hAnsi="Times New Roman"/>
          <w:sz w:val="18"/>
          <w:szCs w:val="18"/>
          <w:color w:val="auto"/>
        </w:rPr>
      </w:pPr>
    </w:p>
    <w:p>
      <w:pPr>
        <w:ind w:left="-7" w:right="60" w:firstLine="990"/>
        <w:spacing w:after="0" w:line="271" w:lineRule="auto"/>
        <w:tabs>
          <w:tab w:leader="none" w:pos="1153"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Tenant Payments.</w:t>
      </w:r>
      <w:r>
        <w:rPr>
          <w:rFonts w:ascii="Times New Roman" w:cs="Times New Roman" w:eastAsia="Times New Roman" w:hAnsi="Times New Roman"/>
          <w:sz w:val="17"/>
          <w:szCs w:val="17"/>
          <w:color w:val="auto"/>
        </w:rPr>
        <w:t xml:space="preserve"> Any costs for materials selected by Tenant which are above Building Standard or any additional costs incurred by Landlord as a result of Tenant’s Delay shall be Tenant’s sole responsibility, and Tenant shall pay to Landlord any such amount within ten (10) business days of receipt of an invoice from Landlord. “</w:t>
      </w:r>
      <w:r>
        <w:rPr>
          <w:rFonts w:ascii="Times New Roman" w:cs="Times New Roman" w:eastAsia="Times New Roman" w:hAnsi="Times New Roman"/>
          <w:sz w:val="17"/>
          <w:szCs w:val="17"/>
          <w:b w:val="1"/>
          <w:bCs w:val="1"/>
          <w:i w:val="1"/>
          <w:iCs w:val="1"/>
          <w:color w:val="auto"/>
        </w:rPr>
        <w:t>Building Standard</w:t>
      </w:r>
      <w:r>
        <w:rPr>
          <w:rFonts w:ascii="Times New Roman" w:cs="Times New Roman" w:eastAsia="Times New Roman" w:hAnsi="Times New Roman"/>
          <w:sz w:val="17"/>
          <w:szCs w:val="17"/>
          <w:color w:val="auto"/>
        </w:rPr>
        <w:t>” means those minimum standard specifications established by Landlord governing the type, quality and quantity of materials and installation procedures for tenant spaces in the Building, including floor coverings, wall coverings, window treatments (if any), ceilings, doors, hardware, lighting, distribution of Building systems, and such other items as Landlord may determine, which specifications shall be supplied by Landlord to Tenant upon request. Landlord reserves the right to modify Building Standards from time to time.</w:t>
      </w:r>
    </w:p>
    <w:p>
      <w:pPr>
        <w:spacing w:after="0" w:line="173" w:lineRule="exact"/>
        <w:rPr>
          <w:rFonts w:ascii="Times New Roman" w:cs="Times New Roman" w:eastAsia="Times New Roman" w:hAnsi="Times New Roman"/>
          <w:sz w:val="17"/>
          <w:szCs w:val="17"/>
          <w:color w:val="auto"/>
        </w:rPr>
      </w:pPr>
    </w:p>
    <w:p>
      <w:pPr>
        <w:ind w:left="-7" w:right="20" w:firstLine="990"/>
        <w:spacing w:after="0" w:line="271" w:lineRule="auto"/>
        <w:tabs>
          <w:tab w:leader="none" w:pos="1153"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Substantial Completion.</w:t>
      </w:r>
      <w:r>
        <w:rPr>
          <w:rFonts w:ascii="Times New Roman" w:cs="Times New Roman" w:eastAsia="Times New Roman" w:hAnsi="Times New Roman"/>
          <w:sz w:val="17"/>
          <w:szCs w:val="17"/>
          <w:color w:val="auto"/>
        </w:rPr>
        <w:t xml:space="preserve"> Landlord shall use reasonable efforts to notify Tenant of the projected date of Substantial Completion of the Premises at least fifteen (15) days prior thereto. “</w:t>
      </w:r>
      <w:r>
        <w:rPr>
          <w:rFonts w:ascii="Times New Roman" w:cs="Times New Roman" w:eastAsia="Times New Roman" w:hAnsi="Times New Roman"/>
          <w:sz w:val="17"/>
          <w:szCs w:val="17"/>
          <w:b w:val="1"/>
          <w:bCs w:val="1"/>
          <w:i w:val="1"/>
          <w:iCs w:val="1"/>
          <w:color w:val="auto"/>
        </w:rPr>
        <w:t>Substantially Completion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Substantially Complete</w:t>
      </w:r>
      <w:r>
        <w:rPr>
          <w:rFonts w:ascii="Times New Roman" w:cs="Times New Roman" w:eastAsia="Times New Roman" w:hAnsi="Times New Roman"/>
          <w:sz w:val="17"/>
          <w:szCs w:val="17"/>
          <w:color w:val="auto"/>
        </w:rPr>
        <w:t>” means that the Tenant Improvements to the Premises have been completed in accordance with the Final Plans, even though minor details, adjustments or punch list items that do not materially interfere with Tenant’s use or occupancy of the Premises for normal business operations may remain to be completed. Landlord and Tenant shall inspect the Premises after the Premises is Substantially Complete, as that term is defined above, and shall together prepare a punchlist, and Landlord shall use commercially reasonable efforts to cause its contractors to remedy the items on the punchlist as promptly as is feasible in the circumstances</w:t>
      </w:r>
    </w:p>
    <w:p>
      <w:pPr>
        <w:spacing w:after="0" w:line="173" w:lineRule="exact"/>
        <w:rPr>
          <w:rFonts w:ascii="Times New Roman" w:cs="Times New Roman" w:eastAsia="Times New Roman" w:hAnsi="Times New Roman"/>
          <w:sz w:val="17"/>
          <w:szCs w:val="17"/>
          <w:color w:val="auto"/>
        </w:rPr>
      </w:pPr>
    </w:p>
    <w:p>
      <w:pPr>
        <w:ind w:left="1153" w:hanging="170"/>
        <w:spacing w:after="0"/>
        <w:tabs>
          <w:tab w:leader="none" w:pos="1153"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Delay.</w:t>
      </w:r>
      <w:r>
        <w:rPr>
          <w:rFonts w:ascii="Times New Roman" w:cs="Times New Roman" w:eastAsia="Times New Roman" w:hAnsi="Times New Roman"/>
          <w:sz w:val="18"/>
          <w:szCs w:val="18"/>
          <w:color w:val="auto"/>
        </w:rPr>
        <w:t xml:space="preserve"> If Landlord shall be delayed in Substantial Completion as a result of: (i) an Event of Default under the Lease; or</w:t>
      </w:r>
    </w:p>
    <w:p>
      <w:pPr>
        <w:spacing w:after="0" w:line="25" w:lineRule="exact"/>
        <w:rPr>
          <w:rFonts w:ascii="Times New Roman" w:cs="Times New Roman" w:eastAsia="Times New Roman" w:hAnsi="Times New Roman"/>
          <w:sz w:val="18"/>
          <w:szCs w:val="18"/>
          <w:color w:val="auto"/>
        </w:rPr>
      </w:pPr>
    </w:p>
    <w:p>
      <w:pPr>
        <w:ind w:left="-7" w:right="40" w:firstLine="7"/>
        <w:spacing w:after="0" w:line="249" w:lineRule="auto"/>
        <w:tabs>
          <w:tab w:leader="none" w:pos="25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Tenant in construction; or (iii) any other act or omission of Tenant which delays Substantial Completion (all of the foregoing being referred to herein collectively as “</w:t>
      </w:r>
      <w:r>
        <w:rPr>
          <w:rFonts w:ascii="Times New Roman" w:cs="Times New Roman" w:eastAsia="Times New Roman" w:hAnsi="Times New Roman"/>
          <w:sz w:val="18"/>
          <w:szCs w:val="18"/>
          <w:b w:val="1"/>
          <w:bCs w:val="1"/>
          <w:i w:val="1"/>
          <w:iCs w:val="1"/>
          <w:color w:val="auto"/>
        </w:rPr>
        <w:t>Tenant’s Delay</w:t>
      </w:r>
      <w:r>
        <w:rPr>
          <w:rFonts w:ascii="Times New Roman" w:cs="Times New Roman" w:eastAsia="Times New Roman" w:hAnsi="Times New Roman"/>
          <w:sz w:val="18"/>
          <w:szCs w:val="18"/>
          <w:color w:val="auto"/>
        </w:rPr>
        <w:t xml:space="preserve">”), then, notwithstanding anything to the contrary contained in the Lease or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date of Substantial Completion for purposes of determining the Commencement Date shall be deemed to be the date Substantial Completion would have occurred absent any Tenant’s Delay. Landlord shall provide Tenant with prompt written notice of any act, omission or condition which Landlord contends may constitute or result in a Tenant Delay; provided, however, that any failure by Landlord to provide Tenant with any such notice shall not operate to reduce or otherwise alter the duration of Tenant’s Delay.</w:t>
      </w:r>
    </w:p>
    <w:p>
      <w:pPr>
        <w:spacing w:after="0" w:line="36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93"/>
          </w:cols>
          <w:pgMar w:left="487" w:top="269" w:right="519" w:bottom="1440" w:gutter="0" w:footer="0" w:header="0"/>
        </w:sectPr>
      </w:pPr>
    </w:p>
    <w:bookmarkStart w:id="647" w:name="page648"/>
    <w:bookmarkEnd w:id="6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EXAMPLES OF BUILDING STANDARD</w:t>
      </w:r>
    </w:p>
    <w:p>
      <w:pPr>
        <w:sectPr>
          <w:pgSz w:w="11900" w:h="16838" w:orient="portrait"/>
          <w:cols w:equalWidth="0" w:num="1">
            <w:col w:w="9019"/>
          </w:cols>
          <w:pgMar w:left="1440" w:top="265" w:right="1440" w:bottom="1440" w:gutter="0" w:footer="0" w:header="0"/>
        </w:sectPr>
      </w:pPr>
    </w:p>
    <w:bookmarkStart w:id="648" w:name="page649"/>
    <w:bookmarkEnd w:id="6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ONCEPTUAL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019"/>
          </w:cols>
          <w:pgMar w:left="1440" w:top="264" w:right="1440" w:bottom="1440" w:gutter="0" w:footer="0" w:header="0"/>
        </w:sectPr>
      </w:pPr>
    </w:p>
    <w:bookmarkStart w:id="649" w:name="page650"/>
    <w:bookmarkEnd w:id="649"/>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60" w:type="dxa"/>
            <w:vAlign w:val="bottom"/>
            <w:gridSpan w:val="3"/>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9"/>
              </w:rPr>
              <w:t>EXHIBIT D</w:t>
            </w:r>
          </w:p>
        </w:tc>
      </w:tr>
      <w:tr>
        <w:trPr>
          <w:trHeight w:val="428"/>
        </w:trPr>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6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EASE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ATES</w:t>
            </w:r>
          </w:p>
        </w:tc>
      </w:tr>
      <w:tr>
        <w:trPr>
          <w:trHeight w:val="38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To:          </w:t>
            </w:r>
          </w:p>
        </w:tc>
        <w:tc>
          <w:tcPr>
            <w:tcW w:w="100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35"/>
        </w:trPr>
        <w:tc>
          <w:tcPr>
            <w:tcW w:w="4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w:t>
            </w:r>
          </w:p>
        </w:tc>
        <w:tc>
          <w:tcPr>
            <w:tcW w:w="100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500 Sansome Lease dated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between 500 Sansome Street Investors, LLC, a California limited liability company</w:t>
            </w:r>
          </w:p>
        </w:tc>
      </w:tr>
      <w:tr>
        <w:trPr>
          <w:trHeight w:val="20"/>
        </w:trPr>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4"/>
        </w:trPr>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40" w:type="dxa"/>
            <w:vAlign w:val="bottom"/>
            <w:gridSpan w:val="6"/>
          </w:tcPr>
          <w:p>
            <w:pPr>
              <w:ind w:left="100"/>
              <w:spacing w:after="0" w:line="194"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Landlord</w:t>
            </w:r>
            <w:r>
              <w:rPr>
                <w:rFonts w:ascii="Times New Roman" w:cs="Times New Roman" w:eastAsia="Times New Roman" w:hAnsi="Times New Roman"/>
                <w:sz w:val="18"/>
                <w:szCs w:val="18"/>
                <w:color w:val="auto"/>
                <w:w w:val="99"/>
              </w:rPr>
              <w:t>”), and Omada Health, Inc., a Delaware corporation (“</w:t>
            </w:r>
            <w:r>
              <w:rPr>
                <w:rFonts w:ascii="Times New Roman" w:cs="Times New Roman" w:eastAsia="Times New Roman" w:hAnsi="Times New Roman"/>
                <w:sz w:val="18"/>
                <w:szCs w:val="18"/>
                <w:b w:val="1"/>
                <w:bCs w:val="1"/>
                <w:color w:val="auto"/>
                <w:w w:val="99"/>
              </w:rPr>
              <w:t>Tenant</w:t>
            </w:r>
            <w:r>
              <w:rPr>
                <w:rFonts w:ascii="Times New Roman" w:cs="Times New Roman" w:eastAsia="Times New Roman" w:hAnsi="Times New Roman"/>
                <w:sz w:val="18"/>
                <w:szCs w:val="18"/>
                <w:color w:val="auto"/>
                <w:w w:val="99"/>
              </w:rPr>
              <w:t>”), concerning Suite                on the second floor of the office</w:t>
            </w:r>
          </w:p>
        </w:tc>
      </w:tr>
      <w:tr>
        <w:trPr>
          <w:trHeight w:val="235"/>
        </w:trPr>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building located at 500 Sansome Street, San Francisco, California</w:t>
            </w:r>
          </w:p>
        </w:tc>
        <w:tc>
          <w:tcPr>
            <w:tcW w:w="880" w:type="dxa"/>
            <w:vAlign w:val="bottom"/>
            <w:tcBorders>
              <w:top w:val="single" w:sz="8" w:color="auto"/>
            </w:tcBorders>
          </w:tcPr>
          <w:p>
            <w:pPr>
              <w:spacing w:after="0"/>
              <w:rPr>
                <w:sz w:val="20"/>
                <w:szCs w:val="20"/>
                <w:color w:val="auto"/>
              </w:rPr>
            </w:pPr>
          </w:p>
        </w:tc>
        <w:tc>
          <w:tcPr>
            <w:tcW w:w="2340" w:type="dxa"/>
            <w:vAlign w:val="bottom"/>
          </w:tcPr>
          <w:p>
            <w:pPr>
              <w:spacing w:after="0"/>
              <w:rPr>
                <w:sz w:val="20"/>
                <w:szCs w:val="20"/>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accordance with Lease, we wish to advise you and/or confirm as follows:</w:t>
      </w:r>
    </w:p>
    <w:p>
      <w:pPr>
        <w:spacing w:after="0" w:line="11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98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The Substantial Completion of the Premises has occurred, and the Term shall commence on or has commenced on                   for a</w:t>
            </w:r>
          </w:p>
        </w:tc>
      </w:tr>
      <w:tr>
        <w:trPr>
          <w:trHeight w:val="235"/>
        </w:trPr>
        <w:tc>
          <w:tcPr>
            <w:tcW w:w="320" w:type="dxa"/>
            <w:vAlign w:val="bottom"/>
          </w:tcPr>
          <w:p>
            <w:pPr>
              <w:spacing w:after="0"/>
              <w:rPr>
                <w:sz w:val="20"/>
                <w:szCs w:val="20"/>
                <w:color w:val="auto"/>
              </w:rPr>
            </w:pPr>
          </w:p>
        </w:tc>
        <w:tc>
          <w:tcPr>
            <w:tcW w:w="84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term of ______ Lease Months, ending on _______________.</w:t>
            </w:r>
          </w:p>
        </w:tc>
        <w:tc>
          <w:tcPr>
            <w:tcW w:w="10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9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8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 xml:space="preserve">Rent commenced to accrue on                   in the amount of $                     </w:t>
            </w:r>
            <w:r>
              <w:rPr>
                <w:rFonts w:ascii="Times New Roman" w:cs="Times New Roman" w:eastAsia="Times New Roman" w:hAnsi="Times New Roman"/>
                <w:sz w:val="18"/>
                <w:szCs w:val="18"/>
                <w:b w:val="1"/>
                <w:bCs w:val="1"/>
                <w:color w:val="auto"/>
              </w:rPr>
              <w:t>[INSERT BASIC RENT AND ADDITIONAL</w:t>
            </w:r>
          </w:p>
        </w:tc>
      </w:tr>
      <w:tr>
        <w:trPr>
          <w:trHeight w:val="235"/>
        </w:trPr>
        <w:tc>
          <w:tcPr>
            <w:tcW w:w="3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RENT].</w:t>
            </w:r>
          </w:p>
        </w:tc>
        <w:tc>
          <w:tcPr>
            <w:tcW w:w="108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760" w:type="dxa"/>
            <w:vAlign w:val="bottom"/>
            <w:gridSpan w:val="3"/>
          </w:tcPr>
          <w:p>
            <w:pPr>
              <w:spacing w:after="0"/>
              <w:rPr>
                <w:sz w:val="20"/>
                <w:szCs w:val="20"/>
                <w:color w:val="auto"/>
              </w:rPr>
            </w:pPr>
          </w:p>
        </w:tc>
      </w:tr>
    </w:tbl>
    <w:p>
      <w:pPr>
        <w:spacing w:after="0" w:line="102" w:lineRule="exact"/>
        <w:rPr>
          <w:sz w:val="20"/>
          <w:szCs w:val="20"/>
          <w:color w:val="auto"/>
        </w:rPr>
      </w:pPr>
    </w:p>
    <w:p>
      <w:pPr>
        <w:ind w:left="980" w:right="40" w:hanging="545"/>
        <w:spacing w:after="0" w:line="263" w:lineRule="auto"/>
        <w:tabs>
          <w:tab w:leader="none" w:pos="98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Commencement Date is other than the first day of a calendar month, the first billing will contain a pro rata adjustment as provided in the Lease, and each billing thereafter, with the exception of the final billing, shall be for the full amount of the monthly installment as provided in the Lease.</w:t>
      </w:r>
    </w:p>
    <w:p>
      <w:pPr>
        <w:spacing w:after="0" w:line="82" w:lineRule="exact"/>
        <w:rPr>
          <w:sz w:val="20"/>
          <w:szCs w:val="20"/>
          <w:color w:val="auto"/>
        </w:rPr>
      </w:pPr>
    </w:p>
    <w:p>
      <w:pPr>
        <w:ind w:left="440"/>
        <w:spacing w:after="0"/>
        <w:tabs>
          <w:tab w:leader="none" w:pos="960" w:val="left"/>
          <w:tab w:leader="none" w:pos="52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 xml:space="preserve">Your rent checks should be made payable to                 </w:t>
        <w:tab/>
        <w:t xml:space="preserve">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-8890</wp:posOffset>
            </wp:positionV>
            <wp:extent cx="137731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without definition herein shall have the respective meanings given such terms in the 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480" w:top="264" w:right="49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8"/>
          <w:szCs w:val="18"/>
          <w:b w:val="1"/>
          <w:bCs w:val="1"/>
          <w:i w:val="1"/>
          <w:iCs w:val="1"/>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to and Accepted as of 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w:t>
      </w:r>
    </w:p>
    <w:p>
      <w:pPr>
        <w:spacing w:after="0" w:line="20" w:lineRule="exact"/>
        <w:rPr>
          <w:sz w:val="20"/>
          <w:szCs w:val="20"/>
          <w:color w:val="auto"/>
        </w:rPr>
      </w:pPr>
      <w:r>
        <w:rPr>
          <w:sz w:val="20"/>
          <w:szCs w:val="20"/>
          <w:color w:val="auto"/>
        </w:rPr>
        <w:br w:type="column"/>
      </w:r>
    </w:p>
    <w:p>
      <w:pPr>
        <w:ind w:right="1099"/>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500 SANSOME STREET INVESTORS, LLC, </w:t>
      </w:r>
      <w:r>
        <w:rPr>
          <w:rFonts w:ascii="Times New Roman" w:cs="Times New Roman" w:eastAsia="Times New Roman" w:hAnsi="Times New Roman"/>
          <w:sz w:val="18"/>
          <w:szCs w:val="18"/>
          <w:color w:val="auto"/>
        </w:rPr>
        <w:t>a California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-387350</wp:posOffset>
            </wp:positionV>
            <wp:extent cx="717613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31165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3116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3116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2">
            <w:col w:w="4660" w:space="720"/>
            <w:col w:w="4599"/>
          </w:cols>
          <w:pgMar w:left="480" w:top="264" w:right="1440" w:bottom="1440" w:gutter="0" w:footer="0" w:header="0"/>
        </w:sectPr>
      </w:pPr>
    </w:p>
    <w:bookmarkStart w:id="651" w:name="page652"/>
    <w:bookmarkEnd w:id="6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ENANT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STOPPEL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TENANT ESTOPPEL CERTIFICATE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539365" cy="825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168910</wp:posOffset>
            </wp:positionV>
            <wp:extent cx="253936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539365" cy="825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321945</wp:posOffset>
            </wp:positionV>
            <wp:extent cx="253936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539365" cy="825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474980</wp:posOffset>
            </wp:positionV>
            <wp:extent cx="253936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OMADA HEALTH, INC.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hereby certifies as follows:</w:t>
      </w:r>
    </w:p>
    <w:p>
      <w:pPr>
        <w:spacing w:after="0" w:line="114" w:lineRule="exact"/>
        <w:rPr>
          <w:sz w:val="20"/>
          <w:szCs w:val="20"/>
          <w:color w:val="auto"/>
        </w:rPr>
      </w:pPr>
    </w:p>
    <w:p>
      <w:pPr>
        <w:ind w:right="340" w:firstLine="436"/>
        <w:spacing w:after="0" w:line="259" w:lineRule="auto"/>
        <w:rPr>
          <w:sz w:val="20"/>
          <w:szCs w:val="20"/>
          <w:color w:val="auto"/>
        </w:rPr>
      </w:pPr>
      <w:r>
        <w:rPr>
          <w:rFonts w:ascii="Times New Roman" w:cs="Times New Roman" w:eastAsia="Times New Roman" w:hAnsi="Times New Roman"/>
          <w:sz w:val="18"/>
          <w:szCs w:val="18"/>
          <w:color w:val="auto"/>
        </w:rPr>
        <w:t>1. The undersigned is the Tenant under that certain Office Lease dated 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executed by 500 SANSOME STREET INVESTORS, LLC, a California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as Landlord, and the undersigned, as Tenant, covering a portion of the building located at 500 Sansome Street, San Francisco, California designated as Suite and located on the second floor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Capitalized terms used herein without definition herein shall have the respective meanings given such terms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-441960</wp:posOffset>
            </wp:positionV>
            <wp:extent cx="56578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w w:val="94"/>
              </w:rPr>
              <w:t>2. The Premises consist of approximately </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7"/>
                <w:szCs w:val="17"/>
                <w:color w:val="auto"/>
              </w:rPr>
            </w:pPr>
          </w:p>
        </w:tc>
        <w:tc>
          <w:tcPr>
            <w:tcW w:w="66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w w:val="99"/>
              </w:rPr>
              <w:t>rentable square feet of space. Tenant has paid to Landlord a security deposit of $_________.</w:t>
            </w: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27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w w:val="97"/>
              </w:rPr>
              <w:t>The Term of the Lease commenced  </w:t>
            </w:r>
          </w:p>
        </w:tc>
        <w:tc>
          <w:tcPr>
            <w:tcW w:w="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6"/>
                <w:szCs w:val="16"/>
                <w:color w:val="auto"/>
              </w:rPr>
            </w:pPr>
          </w:p>
        </w:tc>
        <w:tc>
          <w:tcPr>
            <w:tcW w:w="7440" w:type="dxa"/>
            <w:vAlign w:val="bottom"/>
            <w:gridSpan w:val="11"/>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 on and the expiration of the Lease is               . Tenant has paid rent through                 The next</w:t>
            </w: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27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 xml:space="preserve">rental payment in the amount of $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6"/>
                <w:szCs w:val="16"/>
                <w:color w:val="auto"/>
              </w:rPr>
            </w:pPr>
          </w:p>
        </w:tc>
        <w:tc>
          <w:tcPr>
            <w:tcW w:w="860" w:type="dxa"/>
            <w:vAlign w:val="bottom"/>
            <w:gridSpan w:val="4"/>
          </w:tcPr>
          <w:p>
            <w:pPr>
              <w:ind w:left="40"/>
              <w:spacing w:after="0" w:line="194" w:lineRule="exact"/>
              <w:rPr>
                <w:sz w:val="20"/>
                <w:szCs w:val="20"/>
                <w:color w:val="auto"/>
              </w:rPr>
            </w:pPr>
            <w:r>
              <w:rPr>
                <w:rFonts w:ascii="Times New Roman" w:cs="Times New Roman" w:eastAsia="Times New Roman" w:hAnsi="Times New Roman"/>
                <w:sz w:val="18"/>
                <w:szCs w:val="18"/>
                <w:color w:val="auto"/>
                <w:w w:val="92"/>
              </w:rPr>
              <w:t>is due on  </w:t>
            </w:r>
          </w:p>
        </w:tc>
        <w:tc>
          <w:tcPr>
            <w:tcW w:w="6720" w:type="dxa"/>
            <w:vAlign w:val="bottom"/>
            <w:gridSpan w:val="9"/>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               . Tenant is required to pay                   percent (_%) of all annual operating</w:t>
            </w:r>
          </w:p>
        </w:tc>
      </w:tr>
      <w:tr>
        <w:trPr>
          <w:trHeight w:val="20"/>
        </w:trPr>
        <w:tc>
          <w:tcPr>
            <w:tcW w:w="24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27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w w:val="95"/>
              </w:rPr>
              <w:t>expenses for the Project in excess of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16"/>
                <w:szCs w:val="16"/>
                <w:color w:val="auto"/>
              </w:rPr>
            </w:pPr>
          </w:p>
        </w:tc>
        <w:tc>
          <w:tcPr>
            <w:tcW w:w="86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15"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3. Tenant does not have any right or option to renew or extend the Term of the Lease, to lease other space at the Project, nor any preferential right to purchase all or any part of the Premises, the Building or the Project, except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-45720</wp:posOffset>
            </wp:positionV>
            <wp:extent cx="67881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35"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4. True, correct and complete copies of the Lease and all amendments, modifications and supplements thereto are attached hereto and the Lease, as so amended, modified and supplemented is in full force and effect, and represents the entire agreement between Tenant and Landlord with respect to the Premises, the Building and the Project. There are no amendments, modifications or supplements to the Lease, whether oral or written, except as follows (include the date of such amendment, modification or supplement): 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-34925</wp:posOffset>
            </wp:positionV>
            <wp:extent cx="101854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3"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5. All space and improvements leased by the Tenant have been completed and furnished in accordance with the provisions of the Lease, and the Tenant has accepted and taken possession of the Premises.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00"/>
          </w:cols>
          <w:pgMar w:left="480" w:top="264" w:right="519" w:bottom="1440" w:gutter="0" w:footer="0" w:header="0"/>
        </w:sectPr>
      </w:pPr>
    </w:p>
    <w:bookmarkStart w:id="652" w:name="page653"/>
    <w:bookmarkEnd w:id="652"/>
    <w:p>
      <w:pPr>
        <w:jc w:val="both"/>
        <w:ind w:right="200" w:firstLine="444"/>
        <w:spacing w:after="0" w:line="263" w:lineRule="auto"/>
        <w:tabs>
          <w:tab w:leader="none" w:pos="61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Tenant’s actual knowledge, Landlord is not in any respect in default in the performance of the terms and provisions of the Lease. Tenant is not in any respect in default under the Lease and has not assigned, transferred or hypothecated the Lease or any interest therein or subleased all or any portion of the Premises.</w:t>
      </w:r>
    </w:p>
    <w:p>
      <w:pPr>
        <w:spacing w:after="0" w:line="68"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offsets or credits against rentals payable under the Lease and no free rent periods or rental concessions have been granted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Tenant, except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-20955</wp:posOffset>
            </wp:positionV>
            <wp:extent cx="147129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75"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 xml:space="preserve">8. Tenant has no actual knowledge of any processing, use, storage, disposal, release or treatment of any hazardous or toxic materials or substances on the Premises, the Building or the Project except as follows (if none, state “none”): 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-45720</wp:posOffset>
            </wp:positionV>
            <wp:extent cx="79248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92480" cy="8255"/>
                    </a:xfrm>
                    <a:prstGeom prst="rect">
                      <a:avLst/>
                    </a:prstGeom>
                    <a:noFill/>
                  </pic:spPr>
                </pic:pic>
              </a:graphicData>
            </a:graphic>
          </wp:anchor>
        </w:drawing>
      </w:r>
    </w:p>
    <w:p>
      <w:pPr>
        <w:spacing w:after="0" w:line="35" w:lineRule="exact"/>
        <w:rPr>
          <w:sz w:val="20"/>
          <w:szCs w:val="20"/>
          <w:color w:val="auto"/>
        </w:rPr>
      </w:pPr>
    </w:p>
    <w:p>
      <w:pPr>
        <w:ind w:left="620" w:hanging="176"/>
        <w:spacing w:after="0"/>
        <w:tabs>
          <w:tab w:leader="none" w:pos="62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against the Tenant under the bankruptcy or similar laws of the United States or any state.</w:t>
      </w:r>
    </w:p>
    <w:p>
      <w:pPr>
        <w:spacing w:after="0" w:line="113" w:lineRule="exact"/>
        <w:rPr>
          <w:rFonts w:ascii="Times New Roman" w:cs="Times New Roman" w:eastAsia="Times New Roman" w:hAnsi="Times New Roman"/>
          <w:sz w:val="18"/>
          <w:szCs w:val="18"/>
          <w:color w:val="auto"/>
        </w:rPr>
      </w:pPr>
    </w:p>
    <w:p>
      <w:pPr>
        <w:ind w:right="160" w:firstLine="444"/>
        <w:spacing w:after="0" w:line="263" w:lineRule="auto"/>
        <w:tabs>
          <w:tab w:leader="none" w:pos="70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 corporation or partnership, each individual executing this Certificate on behalf of Tenant hereby represents and warrants that Tenant is a duly formed and existing entity qualified to do business in the State of California and that Tenant has full right and authority to execute and deliver this Certificate and that each person signing on behalf of Tenant is authorized to do so.</w:t>
      </w:r>
    </w:p>
    <w:p>
      <w:pPr>
        <w:spacing w:after="0" w:line="68" w:lineRule="exact"/>
        <w:rPr>
          <w:sz w:val="20"/>
          <w:szCs w:val="20"/>
          <w:color w:val="auto"/>
        </w:rPr>
      </w:pPr>
    </w:p>
    <w:p>
      <w:pPr>
        <w:ind w:right="260" w:firstLine="436"/>
        <w:spacing w:after="0" w:line="255" w:lineRule="auto"/>
        <w:rPr>
          <w:sz w:val="20"/>
          <w:szCs w:val="20"/>
          <w:color w:val="auto"/>
        </w:rPr>
      </w:pPr>
      <w:r>
        <w:rPr>
          <w:rFonts w:ascii="Times New Roman" w:cs="Times New Roman" w:eastAsia="Times New Roman" w:hAnsi="Times New Roman"/>
          <w:sz w:val="18"/>
          <w:szCs w:val="18"/>
          <w:color w:val="auto"/>
        </w:rPr>
        <w:t>11. This Certificate is given to           with the understanding that will rely hereon in connection with the conveyance/financing of the Building or Project of which the Premises is a part. Following any such conveyance/financing, Tenant agrees that this Lease shall remain in full force and effect and shall bind and inure to the benefit of and its lenders, successors and assigns. Tenant hereby expressly acknowledges and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-296545</wp:posOffset>
            </wp:positionV>
            <wp:extent cx="56578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340" w:type="dxa"/>
            <w:vAlign w:val="bottom"/>
            <w:gridSpan w:val="2"/>
          </w:tcPr>
          <w:p>
            <w:pPr>
              <w:spacing w:after="0" w:line="175" w:lineRule="exact"/>
              <w:rPr>
                <w:sz w:val="20"/>
                <w:szCs w:val="20"/>
                <w:color w:val="auto"/>
              </w:rPr>
            </w:pPr>
            <w:r>
              <w:rPr>
                <w:rFonts w:ascii="Times New Roman" w:cs="Times New Roman" w:eastAsia="Times New Roman" w:hAnsi="Times New Roman"/>
                <w:sz w:val="18"/>
                <w:szCs w:val="18"/>
                <w:color w:val="auto"/>
                <w:w w:val="71"/>
              </w:rPr>
              <w:t>that 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60" w:type="dxa"/>
            <w:vAlign w:val="bottom"/>
          </w:tcPr>
          <w:p>
            <w:pPr>
              <w:ind w:left="40"/>
              <w:spacing w:after="0" w:line="175" w:lineRule="exact"/>
              <w:rPr>
                <w:sz w:val="20"/>
                <w:szCs w:val="20"/>
                <w:color w:val="auto"/>
              </w:rPr>
            </w:pPr>
            <w:r>
              <w:rPr>
                <w:rFonts w:ascii="Times New Roman" w:cs="Times New Roman" w:eastAsia="Times New Roman" w:hAnsi="Times New Roman"/>
                <w:sz w:val="18"/>
                <w:szCs w:val="18"/>
                <w:color w:val="auto"/>
              </w:rPr>
              <w:t>is relying upon this Certificate.</w:t>
            </w: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6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TENANT:</w:t>
            </w:r>
          </w:p>
        </w:tc>
        <w:tc>
          <w:tcPr>
            <w:tcW w:w="51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OMADAHEALTH, INC.,</w:t>
            </w:r>
          </w:p>
        </w:tc>
      </w:tr>
      <w:tr>
        <w:trPr>
          <w:trHeight w:val="233"/>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1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387"/>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1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w w:val="98"/>
              </w:rPr>
              <w:t>By:                                                                                                       </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94"/>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100" w:type="dxa"/>
            <w:vAlign w:val="bottom"/>
            <w:gridSpan w:val="6"/>
          </w:tcPr>
          <w:p>
            <w:pPr>
              <w:ind w:left="260"/>
              <w:spacing w:after="0" w:line="194" w:lineRule="exact"/>
              <w:rPr>
                <w:sz w:val="20"/>
                <w:szCs w:val="20"/>
                <w:color w:val="auto"/>
              </w:rPr>
            </w:pPr>
            <w:r>
              <w:rPr>
                <w:rFonts w:ascii="Times New Roman" w:cs="Times New Roman" w:eastAsia="Times New Roman" w:hAnsi="Times New Roman"/>
                <w:sz w:val="18"/>
                <w:szCs w:val="18"/>
                <w:color w:val="auto"/>
                <w:w w:val="99"/>
              </w:rPr>
              <w:t>Name:                                                                                                 </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100" w:type="dxa"/>
            <w:vAlign w:val="bottom"/>
            <w:gridSpan w:val="6"/>
          </w:tcPr>
          <w:p>
            <w:pPr>
              <w:ind w:left="260"/>
              <w:spacing w:after="0" w:line="194" w:lineRule="exact"/>
              <w:rPr>
                <w:sz w:val="20"/>
                <w:szCs w:val="20"/>
                <w:color w:val="auto"/>
              </w:rPr>
            </w:pPr>
            <w:r>
              <w:rPr>
                <w:rFonts w:ascii="Times New Roman" w:cs="Times New Roman" w:eastAsia="Times New Roman" w:hAnsi="Times New Roman"/>
                <w:sz w:val="18"/>
                <w:szCs w:val="18"/>
                <w:color w:val="auto"/>
                <w:w w:val="98"/>
              </w:rPr>
              <w:t>Title:                                                                                                    </w:t>
            </w:r>
          </w:p>
        </w:tc>
      </w:tr>
      <w:tr>
        <w:trPr>
          <w:trHeight w:val="38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20"/>
          </w:cols>
          <w:pgMar w:left="480" w:top="268" w:right="499" w:bottom="1440" w:gutter="0" w:footer="0" w:header="0"/>
        </w:sectPr>
      </w:pPr>
    </w:p>
    <w:bookmarkStart w:id="653" w:name="page654"/>
    <w:bookmarkEnd w:id="6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ULES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EGULATIONS</w:t>
      </w:r>
    </w:p>
    <w:p>
      <w:pPr>
        <w:spacing w:after="0" w:line="225" w:lineRule="exact"/>
        <w:rPr>
          <w:sz w:val="20"/>
          <w:szCs w:val="20"/>
          <w:color w:val="auto"/>
        </w:rPr>
      </w:pPr>
    </w:p>
    <w:p>
      <w:pPr>
        <w:ind w:left="-20" w:firstLine="444"/>
        <w:spacing w:after="0" w:line="251" w:lineRule="auto"/>
        <w:tabs>
          <w:tab w:leader="none" w:pos="59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access to the Building and the Premises at all times during the Term, except to the extent otherwise necessary for emergencies, maintenance or repairs, which maintenance and repairs shall be accomplished with as little interference to Tenant as commercially reasonable. On all hours other than 9 a.m. to 6 p.m. Monday through Friday, or such other hours as Landlord shall determine from time to time, access to the Project and/or to the passageways, entrances, exits, shipping areas, halls, corridors, elevators or stairways and other areas in the Project may be restricted and access gained by use of a key/card key to the outside doors of the Project, or pursuant to such security procedures as Landlord may from time to time impose. All such areas, and all roofs, are not for use of the general public, and Landlord shall in all cases retain the right to control and prevent access thereto by all persons whose presence in the judgment of Landlord shall be prejudicial to the safety, character, reputation and interests of the Project and its tenants, provided, however, that nothing herein contained shall be construed to prevent such access to persons with whom Tenant deals in the normal course of Tenant’s business unless such persons are engaged in activities which are illegal or violate these Rules. No Tenant Parties shall enter into areas reserved for the exclusive use of Landlord Parties. Tenant shall keep doors to corridors and lobbies closed except when persons are entering or leaving.</w:t>
      </w:r>
    </w:p>
    <w:p>
      <w:pPr>
        <w:spacing w:after="0" w:line="79" w:lineRule="exact"/>
        <w:rPr>
          <w:rFonts w:ascii="Times New Roman" w:cs="Times New Roman" w:eastAsia="Times New Roman" w:hAnsi="Times New Roman"/>
          <w:sz w:val="18"/>
          <w:szCs w:val="18"/>
          <w:color w:val="auto"/>
        </w:rPr>
      </w:pPr>
    </w:p>
    <w:p>
      <w:pPr>
        <w:ind w:left="-20" w:right="100" w:firstLine="444"/>
        <w:spacing w:after="0" w:line="254" w:lineRule="auto"/>
        <w:tabs>
          <w:tab w:leader="none" w:pos="59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paint, display, inscribe, maintain or affix any sign, placard, picture, advertisement, name, notice, lettering or direction on any part of the outside or inside of the Project, or on any part of the inside of the Premises which can be seen from the outside of the Premises, without the prior consent of Landlord, and then only such name or names or matter and in such color, size, style, character and material as may be first approved by Landlord in writing. Landlord shall prescribe the suite number and identification sign for the Premises (which shall be prepared and installed by Landlord at Tenant’s expense). Landlord reserves the right to remove at Tenant’s expense all matter not so installed or approved without notice to Tenant.</w:t>
      </w:r>
    </w:p>
    <w:p>
      <w:pPr>
        <w:spacing w:after="0" w:line="76" w:lineRule="exact"/>
        <w:rPr>
          <w:rFonts w:ascii="Times New Roman" w:cs="Times New Roman" w:eastAsia="Times New Roman" w:hAnsi="Times New Roman"/>
          <w:sz w:val="18"/>
          <w:szCs w:val="18"/>
          <w:color w:val="auto"/>
        </w:rPr>
      </w:pPr>
    </w:p>
    <w:p>
      <w:pPr>
        <w:ind w:left="-20" w:right="240" w:firstLine="444"/>
        <w:spacing w:after="0" w:line="263" w:lineRule="auto"/>
        <w:tabs>
          <w:tab w:leader="none" w:pos="59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 any manner use the name of the Project for any purpose other than that of the business address of the Tenant, or use any picture or likeness of the Project, in any letterheads, envelopes, circulars, notices, advertisements, containers or wrapping material without Landlord’s express written consent.</w:t>
      </w:r>
    </w:p>
    <w:p>
      <w:pPr>
        <w:spacing w:after="0" w:line="68" w:lineRule="exact"/>
        <w:rPr>
          <w:rFonts w:ascii="Times New Roman" w:cs="Times New Roman" w:eastAsia="Times New Roman" w:hAnsi="Times New Roman"/>
          <w:sz w:val="18"/>
          <w:szCs w:val="18"/>
          <w:color w:val="auto"/>
        </w:rPr>
      </w:pPr>
    </w:p>
    <w:p>
      <w:pPr>
        <w:ind w:left="-20" w:right="80" w:firstLine="444"/>
        <w:spacing w:after="0" w:line="255" w:lineRule="auto"/>
        <w:tabs>
          <w:tab w:leader="none" w:pos="59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place anything or allow anything to be placed in the Premises near the glass of any door, partition, wall or window which may be unsightly from outside the Premises, and Tenant shall not place or permit to be placed any article of any kind on any window ledge or on the exterior walls. Blinds, shades, awnings or other forms of inside or outside window ventilators or similar devices, shall not be placed in or about the outside windows in the Premises except to the extent, if any, that the character, shape, color, material and make thereof are first approved by Landlord in writing.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00"/>
          </w:cols>
          <w:pgMar w:left="500" w:top="264" w:right="499" w:bottom="1440" w:gutter="0" w:footer="0" w:header="0"/>
        </w:sectPr>
      </w:pPr>
    </w:p>
    <w:bookmarkStart w:id="654" w:name="page655"/>
    <w:bookmarkEnd w:id="654"/>
    <w:p>
      <w:pPr>
        <w:ind w:left="-20" w:firstLine="444"/>
        <w:spacing w:after="0" w:line="251" w:lineRule="auto"/>
        <w:tabs>
          <w:tab w:leader="none" w:pos="59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Furniture, freight and other large or heavy articles, and all other deliveries may be brought into the Project only at times and in the manner designated by Landlord, and always at Tenant’s sole responsibility and risk. Landlord may impose reasonable charges for use of freight elevators after or before normal business hours. All damage done to the Project by moving or maintaining such furniture, freight or articles shall be repaired by Landlord at Tenant’s expense. Landlord may inspect items brought into the Project or Premises with respect to weight or dangerous nature. Landlord may require that all furniture, equipment, cartons and similar articles removed from the Premises or the Project be listed and a removal permit therefor first be obtained from Landlord. Tenant shall not take or permit to be taken in or out of other entrances or elevators of the Project any item normally taken, or which Landlord otherwise reasonably requires to be taken, in or out through service doors or on freight elevators. Tenant shall not allow anything to remain in or obstruct in any way, any lobby, corridor, sidewalk, passageway, entrance, exit, hall, stairway, shipping area, or other such area. Tenant shall move all supplies, furniture and equipment as soon as received directly to the Premises, and shall move all such items and waste (other than waste customarily removed by Project employees) that are at any time being taken from the Premises directly to the areas designated for disposal. Any handcarts used at the Project shall have rubber wheels.</w:t>
      </w:r>
    </w:p>
    <w:p>
      <w:pPr>
        <w:spacing w:after="0" w:line="79" w:lineRule="exact"/>
        <w:rPr>
          <w:rFonts w:ascii="Times New Roman" w:cs="Times New Roman" w:eastAsia="Times New Roman" w:hAnsi="Times New Roman"/>
          <w:sz w:val="18"/>
          <w:szCs w:val="18"/>
          <w:color w:val="auto"/>
        </w:rPr>
      </w:pPr>
    </w:p>
    <w:p>
      <w:pPr>
        <w:ind w:left="-20" w:right="100" w:firstLine="444"/>
        <w:spacing w:after="0" w:line="263" w:lineRule="auto"/>
        <w:tabs>
          <w:tab w:leader="none" w:pos="59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overload any floor or part thereof in the Premises, or Project, including any public corridors or elevators therein bringing in or removing any large or heavy articles, and Landlord may direct and control the location of safes and all other heavy articles and require supplementary supports at Tenant’s expense of such material and dimensions as Landlord may deem necessary to properly distribute the weight.</w:t>
      </w:r>
    </w:p>
    <w:p>
      <w:pPr>
        <w:spacing w:after="0" w:line="68" w:lineRule="exact"/>
        <w:rPr>
          <w:rFonts w:ascii="Times New Roman" w:cs="Times New Roman" w:eastAsia="Times New Roman" w:hAnsi="Times New Roman"/>
          <w:sz w:val="18"/>
          <w:szCs w:val="18"/>
          <w:color w:val="auto"/>
        </w:rPr>
      </w:pPr>
    </w:p>
    <w:p>
      <w:pPr>
        <w:ind w:left="-20" w:right="140" w:firstLine="444"/>
        <w:spacing w:after="0" w:line="255" w:lineRule="auto"/>
        <w:tabs>
          <w:tab w:leader="none" w:pos="59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attach or permit to be attached additional locks or similar devices to any door or window, change existing locks or the mechanism thereof, or make or permit to be made any keys for any door other than those provided by Landlord. If more than two keys for one lock are desired, Landlord will provide them upon payment therefor by Tenant. Tenant, upon termination of its tenancy, shall deliver to Landlord all keys of offices, rooms and toilet rooms which have been furnished to Tenant or which Tenant shall have had made, and in the event of loss of any keys so furnished shall pay Landlord therefor.</w:t>
      </w:r>
    </w:p>
    <w:p>
      <w:pPr>
        <w:spacing w:after="0" w:line="77" w:lineRule="exact"/>
        <w:rPr>
          <w:rFonts w:ascii="Times New Roman" w:cs="Times New Roman" w:eastAsia="Times New Roman" w:hAnsi="Times New Roman"/>
          <w:sz w:val="18"/>
          <w:szCs w:val="18"/>
          <w:color w:val="auto"/>
        </w:rPr>
      </w:pPr>
    </w:p>
    <w:p>
      <w:pPr>
        <w:ind w:left="-20" w:right="160" w:firstLine="444"/>
        <w:spacing w:after="0" w:line="254" w:lineRule="auto"/>
        <w:tabs>
          <w:tab w:leader="none" w:pos="59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desires signal, communication, alarm or other utility or similar service connections installed or changed, Tenant shall not install or change the same without the prior approval of Landlord, and then only under Landlord’s direction at Tenant’s expense. Tenant shall not install in the Premises any equipment which requires more electric current than Landlord is required to provide under this Lease, without Landlord’s prior written approval, and Tenant shall ascertain from Landlord the maximum amount of load or demand for or use of electrical current which can safely be permitted in the Premises, taking into account the capacity of electric wiring in the Building and the Premises and the needs of tenants of the Building, and shall not in any event connect a greater load than such safe capacity.</w:t>
      </w:r>
    </w:p>
    <w:p>
      <w:pPr>
        <w:spacing w:after="0" w:line="76" w:lineRule="exact"/>
        <w:rPr>
          <w:rFonts w:ascii="Times New Roman" w:cs="Times New Roman" w:eastAsia="Times New Roman" w:hAnsi="Times New Roman"/>
          <w:sz w:val="18"/>
          <w:szCs w:val="18"/>
          <w:color w:val="auto"/>
        </w:rPr>
      </w:pPr>
    </w:p>
    <w:p>
      <w:pPr>
        <w:ind w:left="-20" w:right="60" w:firstLine="444"/>
        <w:spacing w:after="0" w:line="263" w:lineRule="auto"/>
        <w:tabs>
          <w:tab w:leader="none" w:pos="59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obtain for use upon the Premises ice, drinking water, towel, janitorial and other similar services, except from persons approved by Landlord in writing. Any Person engaged by Tenant to provide janitor or other services shall be subject to direction by the manager or security personnel of the Project.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880"/>
          </w:cols>
          <w:pgMar w:left="500" w:top="268" w:right="519" w:bottom="1440" w:gutter="0" w:footer="0" w:header="0"/>
        </w:sectPr>
      </w:pPr>
    </w:p>
    <w:bookmarkStart w:id="655" w:name="page656"/>
    <w:bookmarkEnd w:id="655"/>
    <w:p>
      <w:pPr>
        <w:ind w:left="-20" w:right="240" w:firstLine="444"/>
        <w:spacing w:after="0" w:line="277" w:lineRule="auto"/>
        <w:tabs>
          <w:tab w:leader="none" w:pos="684"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toilet rooms, urinals, washbowls and other such apparatus shall not be used for any purpose other than that for which they were constructed, and no foreign substance of any kind whatsoever shall be thrown therein, and the expense of any breakage, stoppage or damage resulting from the violation of this Rule shall be borne by Tenant who, or whose employees or invitees, shall have caused it. Tenant shall not cause any unnecessary labor by reason of Tenant’s carelessness or indifference in the preservation of good order and cleanliness in and around the Project.</w:t>
      </w:r>
    </w:p>
    <w:p>
      <w:pPr>
        <w:spacing w:after="0" w:line="60" w:lineRule="exact"/>
        <w:rPr>
          <w:rFonts w:ascii="Times New Roman" w:cs="Times New Roman" w:eastAsia="Times New Roman" w:hAnsi="Times New Roman"/>
          <w:sz w:val="17"/>
          <w:szCs w:val="17"/>
          <w:color w:val="auto"/>
        </w:rPr>
      </w:pPr>
    </w:p>
    <w:p>
      <w:pPr>
        <w:ind w:left="-20" w:right="380" w:firstLine="444"/>
        <w:spacing w:after="0" w:line="263" w:lineRule="auto"/>
        <w:tabs>
          <w:tab w:leader="none" w:pos="67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janitorial closets, utility closets, telephone closets, broom closets, electrical closets, storage closets, and other such closets, rooms and areas shall be used only for the purposes and in the manner designated by Landlord, and may not be used by tenants, or their contractors, agents, employees, or other parties, without Landlord’s prior written consent.</w:t>
      </w:r>
    </w:p>
    <w:p>
      <w:pPr>
        <w:spacing w:after="0" w:line="68" w:lineRule="exact"/>
        <w:rPr>
          <w:rFonts w:ascii="Times New Roman" w:cs="Times New Roman" w:eastAsia="Times New Roman" w:hAnsi="Times New Roman"/>
          <w:sz w:val="18"/>
          <w:szCs w:val="18"/>
          <w:color w:val="auto"/>
        </w:rPr>
      </w:pPr>
    </w:p>
    <w:p>
      <w:pPr>
        <w:ind w:left="-20" w:right="60" w:firstLine="444"/>
        <w:spacing w:after="0" w:line="253" w:lineRule="auto"/>
        <w:tabs>
          <w:tab w:leader="none" w:pos="68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exclude or expel from the Project any person who, in the judgment of Landlord, is intoxicated or under the influence of liquor or drugs, or who shall in any manner do any act in violation of any of these Rules. Tenant shall not at any time manufacture, sell, use or give away, any spirituous, fermented, intoxicating or alcoholic liquors on the Premises, nor permit any of the same to occur (except in connection with occasional social or business events conducted in the Premises which do not violate any laws nor bother or annoy any other tenants). Tenant shall not at any time sell, purchase or give away food in any form by or to any of the other Tenant Parties or any other parties on the Premises, nor permit any of the same to occur (other than in lunchrooms or kitchens for employees as may be permitted or installed by Landlord, which does not violate any laws or bother or annoy any other tenant).</w:t>
      </w:r>
    </w:p>
    <w:p>
      <w:pPr>
        <w:spacing w:after="0" w:line="77" w:lineRule="exact"/>
        <w:rPr>
          <w:rFonts w:ascii="Times New Roman" w:cs="Times New Roman" w:eastAsia="Times New Roman" w:hAnsi="Times New Roman"/>
          <w:sz w:val="18"/>
          <w:szCs w:val="18"/>
          <w:color w:val="auto"/>
        </w:rPr>
      </w:pPr>
    </w:p>
    <w:p>
      <w:pPr>
        <w:jc w:val="both"/>
        <w:ind w:left="-20" w:right="420" w:firstLine="444"/>
        <w:spacing w:after="0" w:line="263" w:lineRule="auto"/>
        <w:tabs>
          <w:tab w:leader="none" w:pos="68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make any room-to-room canvass to solicit business or information or to distribute any article or material to or from other tenants or occupants of the Project and shall not exhibit, sell or offer to sell, use, rent or exchange any products or services in or from the Premises unless ordinarily embraced within Tenant’s use of the Premises specified in the Lease.</w:t>
      </w:r>
    </w:p>
    <w:p>
      <w:pPr>
        <w:spacing w:after="0" w:line="68" w:lineRule="exact"/>
        <w:rPr>
          <w:rFonts w:ascii="Times New Roman" w:cs="Times New Roman" w:eastAsia="Times New Roman" w:hAnsi="Times New Roman"/>
          <w:sz w:val="18"/>
          <w:szCs w:val="18"/>
          <w:color w:val="auto"/>
        </w:rPr>
      </w:pPr>
    </w:p>
    <w:p>
      <w:pPr>
        <w:ind w:left="-20" w:right="260" w:firstLine="444"/>
        <w:spacing w:after="0" w:line="274" w:lineRule="auto"/>
        <w:tabs>
          <w:tab w:leader="none" w:pos="684"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waste electricity, water, heat or air conditioning or other utilities or services, and agrees to cooperate fully with Landlord to ensure the most effective and energy-efficient operation of the Project and shall not allow the adjustment (except by Landlord’s authorized Project personnel) of any controls. Tenant shall keep corridor doors closed and shall not open any windows, except that if the air circulation shall not be in operation, windows which are operable may be opened with Landlord’s consent. As a condition to claiming any deficiency in the air-conditioning or ventilation services provided by Landlord, Tenant shall close any blinds or drapes in the Premises to prevent or minimize direct sunlight.</w:t>
      </w:r>
    </w:p>
    <w:p>
      <w:pPr>
        <w:spacing w:after="0" w:line="61" w:lineRule="exact"/>
        <w:rPr>
          <w:rFonts w:ascii="Times New Roman" w:cs="Times New Roman" w:eastAsia="Times New Roman" w:hAnsi="Times New Roman"/>
          <w:sz w:val="17"/>
          <w:szCs w:val="17"/>
          <w:color w:val="auto"/>
        </w:rPr>
      </w:pPr>
    </w:p>
    <w:p>
      <w:pPr>
        <w:ind w:left="-20" w:right="360" w:firstLine="444"/>
        <w:spacing w:after="0" w:line="278" w:lineRule="auto"/>
        <w:tabs>
          <w:tab w:leader="none" w:pos="68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conduct no auction, fire or “going out of business” sale or bankruptcy sale in or from the Premises, and such prohibition shall apply to Tenant’s creditors.</w:t>
      </w:r>
    </w:p>
    <w:p>
      <w:pPr>
        <w:spacing w:after="0" w:line="55" w:lineRule="exact"/>
        <w:rPr>
          <w:rFonts w:ascii="Times New Roman" w:cs="Times New Roman" w:eastAsia="Times New Roman" w:hAnsi="Times New Roman"/>
          <w:sz w:val="18"/>
          <w:szCs w:val="18"/>
          <w:color w:val="auto"/>
        </w:rPr>
      </w:pPr>
    </w:p>
    <w:p>
      <w:pPr>
        <w:ind w:left="-20" w:firstLine="444"/>
        <w:spacing w:after="0" w:line="258" w:lineRule="auto"/>
        <w:tabs>
          <w:tab w:leader="none" w:pos="68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cooperate and comply with any reasonable safety or security programs, including fire drills and air raid drills, and the appointment of “fire wardens” developed by Landlord for the Project, or required by law. Before leaving the Premises unattended, Tenant shall close and securely lock all doors or other means of entry to the Premises and shut off all lights and water faucets in the Premises (except heat to the extent necessary to prevent the freezing or bursting of pipes).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00"/>
          </w:cols>
          <w:pgMar w:left="500" w:top="268" w:right="499" w:bottom="1440" w:gutter="0" w:footer="0" w:header="0"/>
        </w:sectPr>
      </w:pPr>
    </w:p>
    <w:bookmarkStart w:id="656" w:name="page657"/>
    <w:bookmarkEnd w:id="656"/>
    <w:p>
      <w:pPr>
        <w:jc w:val="both"/>
        <w:ind w:left="-7" w:right="140" w:firstLine="444"/>
        <w:spacing w:after="0" w:line="263" w:lineRule="auto"/>
        <w:tabs>
          <w:tab w:leader="none" w:pos="696"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will comply with all municipal, county, state, federal or other governmental laws, statutes, codes, regulations and other requirements, including without limitation, environmental health, safety and police requirements and regulations respecting the Premises, now or hereinafter in force, at its sole cost, and will not use the Premises for any immoral purposes.</w:t>
      </w:r>
    </w:p>
    <w:p>
      <w:pPr>
        <w:spacing w:after="0" w:line="68" w:lineRule="exact"/>
        <w:rPr>
          <w:rFonts w:ascii="Times New Roman" w:cs="Times New Roman" w:eastAsia="Times New Roman" w:hAnsi="Times New Roman"/>
          <w:sz w:val="18"/>
          <w:szCs w:val="18"/>
          <w:color w:val="auto"/>
        </w:rPr>
      </w:pPr>
    </w:p>
    <w:p>
      <w:pPr>
        <w:ind w:left="-7" w:right="40" w:firstLine="444"/>
        <w:spacing w:after="0" w:line="267" w:lineRule="auto"/>
        <w:tabs>
          <w:tab w:leader="none" w:pos="696" w:val="left"/>
        </w:tabs>
        <w:numPr>
          <w:ilvl w:val="1"/>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carry on any business, activity or service except those ordinarily embraced within the permitted use of the Premises specified in the Lease and more particularly, but without limiting the generality of the foregoing, shall not (i) install or operate any internal combustion engine, boiler, machinery, refrigerating, heating or air conditioning equipment in or about the Premises, (ii) use the Premises for housing, lodging or sleeping purposes or for the washing of clothes, (iii) place any radio or television antennae other than inside of the Premises, (iv) operate or permit to be operated any musical or sound producing instrument or device which may be heard outside the Premises, (v) use any source of power other than electricity,</w:t>
      </w:r>
    </w:p>
    <w:p>
      <w:pPr>
        <w:spacing w:after="0" w:line="1" w:lineRule="exact"/>
        <w:rPr>
          <w:rFonts w:ascii="Times New Roman" w:cs="Times New Roman" w:eastAsia="Times New Roman" w:hAnsi="Times New Roman"/>
          <w:sz w:val="17"/>
          <w:szCs w:val="17"/>
          <w:color w:val="auto"/>
        </w:rPr>
      </w:pPr>
    </w:p>
    <w:p>
      <w:pPr>
        <w:ind w:left="-7" w:firstLine="7"/>
        <w:spacing w:after="0" w:line="249" w:lineRule="auto"/>
        <w:tabs>
          <w:tab w:leader="none" w:pos="29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any electrical or other device from which may emanate electrical or other waves which may interfere with or impair radio, television, microwave, or other broadcasting or reception from or in the Project or elsewhere, (vii) [intentionally omitted], (viii) make or permit objectionable noise or odor to emanate from the Premises, (ix) do anything in or about the Premises tending to create or maintain a nuisance or do any act tending to injure the reputation of the Project, (x) throw or permit to be thrown or dropped any article from any window or other opening in the Building, (xi) use or permit upon the Premises anything that will invalidate or increase the rate of insurance on any policies of insurance now or hereafter carried on the Project or violate the certificates of occupancy issued for the Premises or the Project, (xii) use the Premises for any purpose, or permit upon the Premises anything, that may be dangerous to persons or property (including but not limited to flammable oils, fluids, paints, chemicals, firearms or any explosive articles or materials), (xiii) do or permit anything to be done upon the Premises in any way tending to disturb any other tenant at the Project or the occupants of neighboring property, or (xiv) at any time go upon the roof of the Building without prior approval from Landlord.</w:t>
      </w:r>
    </w:p>
    <w:p>
      <w:pPr>
        <w:spacing w:after="0" w:line="81" w:lineRule="exact"/>
        <w:rPr>
          <w:rFonts w:ascii="Times New Roman" w:cs="Times New Roman" w:eastAsia="Times New Roman" w:hAnsi="Times New Roman"/>
          <w:sz w:val="18"/>
          <w:szCs w:val="18"/>
          <w:color w:val="auto"/>
        </w:rPr>
      </w:pPr>
    </w:p>
    <w:p>
      <w:pPr>
        <w:ind w:left="713" w:hanging="276"/>
        <w:spacing w:after="0"/>
        <w:tabs>
          <w:tab w:leader="none" w:pos="713"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3" w:lineRule="exact"/>
        <w:rPr>
          <w:rFonts w:ascii="Times New Roman" w:cs="Times New Roman" w:eastAsia="Times New Roman" w:hAnsi="Times New Roman"/>
          <w:sz w:val="18"/>
          <w:szCs w:val="18"/>
          <w:color w:val="auto"/>
        </w:rPr>
      </w:pPr>
    </w:p>
    <w:p>
      <w:pPr>
        <w:ind w:left="-7" w:right="260" w:firstLine="444"/>
        <w:spacing w:after="0" w:line="263" w:lineRule="auto"/>
        <w:tabs>
          <w:tab w:leader="none" w:pos="69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directory of the building will be provided for the display of the name and location of tenants only, and Landlord reserves the right to exclude any other names therefrom. Any additional name that Tenant shall desire to be placed upon the directory must first be approved by Landlord, and if so approved, a charge will be made therefor.</w:t>
      </w:r>
    </w:p>
    <w:p>
      <w:pPr>
        <w:spacing w:after="0" w:line="68" w:lineRule="exact"/>
        <w:rPr>
          <w:rFonts w:ascii="Times New Roman" w:cs="Times New Roman" w:eastAsia="Times New Roman" w:hAnsi="Times New Roman"/>
          <w:sz w:val="18"/>
          <w:szCs w:val="18"/>
          <w:color w:val="auto"/>
        </w:rPr>
      </w:pPr>
    </w:p>
    <w:p>
      <w:pPr>
        <w:jc w:val="both"/>
        <w:ind w:left="-7" w:firstLine="444"/>
        <w:spacing w:after="0" w:line="263" w:lineRule="auto"/>
        <w:tabs>
          <w:tab w:leader="none" w:pos="69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waive any one or more of these Rules for the benefit of a particular tenant, but no such waiver by Landlord shall be construed as a waiver of these Rules in favor of any other tenant nor prevent Landlord from thereafter enforcing any such Rules against any or all of the tenants of the building.</w:t>
      </w:r>
    </w:p>
    <w:p>
      <w:pPr>
        <w:spacing w:after="0" w:line="68" w:lineRule="exact"/>
        <w:rPr>
          <w:rFonts w:ascii="Times New Roman" w:cs="Times New Roman" w:eastAsia="Times New Roman" w:hAnsi="Times New Roman"/>
          <w:sz w:val="18"/>
          <w:szCs w:val="18"/>
          <w:color w:val="auto"/>
        </w:rPr>
      </w:pPr>
    </w:p>
    <w:p>
      <w:pPr>
        <w:ind w:left="-7" w:right="20" w:firstLine="444"/>
        <w:spacing w:after="0" w:line="278" w:lineRule="auto"/>
        <w:tabs>
          <w:tab w:leader="none" w:pos="69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make such other and reasonable rules as, in its sole and absolute discretion, may from time to time be needed for the safety, care, efficiency, cleanliness, management and operation of the building, and for the preservation of good order therein.</w:t>
      </w:r>
    </w:p>
    <w:p>
      <w:pPr>
        <w:spacing w:after="0" w:line="9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13"/>
          </w:cols>
          <w:pgMar w:left="487" w:top="269" w:right="499" w:bottom="1440" w:gutter="0" w:footer="0" w:header="0"/>
        </w:sectPr>
      </w:pPr>
    </w:p>
    <w:bookmarkStart w:id="657" w:name="page658"/>
    <w:bookmarkEnd w:id="6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DISABILITY ACCESS OBLIGATIONS UNDER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ADMINISTRATIVE CODE CHAPTER 38</w:t>
      </w:r>
    </w:p>
    <w:p>
      <w:pPr>
        <w:spacing w:after="0" w:line="202"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Before you, as the Tenant, enter into a lease with us, the Landlord, for the property identified below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please be aware of following important information about the lease:</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You May Be Held Liable for Disability Access Violations on the Property</w:t>
      </w:r>
      <w:r>
        <w:rPr>
          <w:rFonts w:ascii="Times New Roman" w:cs="Times New Roman" w:eastAsia="Times New Roman" w:hAnsi="Times New Roman"/>
          <w:sz w:val="18"/>
          <w:szCs w:val="18"/>
          <w:color w:val="auto"/>
        </w:rPr>
        <w:t>. Even though you are not the owner of the Property, you, as the tenant,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Property owner, may still be subject to legal and financial liabilities if the lease Property does not comply with the applicable Federal and State disability access laws. You may wish to consult with an attorney prior to entering this lease to make sure that you understand your obligation under Federal and State disability access laws. The Landlord may provide you with a copy of the Small Business Commission Access Information Notice under Section 38.6 of the San Francisco Administrative Code in your requested language. For more information about disability access laws applicable to small businesses, you may wish to visit the website of the San Francisco Office of Small Business or call 415.554,6134.</w:t>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Lease Must Specify Who Is Responsible for Making Any Required Disability Access Improvements to the Property. </w:t>
      </w:r>
      <w:r>
        <w:rPr>
          <w:rFonts w:ascii="Times New Roman" w:cs="Times New Roman" w:eastAsia="Times New Roman" w:hAnsi="Times New Roman"/>
          <w:sz w:val="18"/>
          <w:szCs w:val="18"/>
          <w:color w:val="auto"/>
        </w:rPr>
        <w:t>Under City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must include a provision in which, the Tenant, and the Landlord agree upon your respective obligations and liabilities for making and paying for required disability access improvements on the leased Property. The lease must also require you and the Landlord to use reasonable efforts to notify each other if they make alterations to the leased Property that might impact accessibility under federal and state disability access laws. You may wish to review those provisions with your attorney prior to entering this lease to make sure that you understand your obligations under the 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subject to your lease is: Suite 200, 500 Sansome Street, San Francisco, California.</w:t>
      </w:r>
    </w:p>
    <w:p>
      <w:pPr>
        <w:spacing w:after="0" w:line="221"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By signing below I confirm that I have read and understood this Disability Access Obligations Notice and have been provide a copy of the Small Business Commission’s Access Information Notice in the tenant’s requested language.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w:t>
            </w: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Tenant:</w:t>
            </w:r>
          </w:p>
        </w:tc>
        <w:tc>
          <w:tcPr>
            <w:tcW w:w="5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09"/>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 LLC</w:t>
            </w:r>
            <w:r>
              <w:rPr>
                <w:rFonts w:ascii="Times New Roman" w:cs="Times New Roman" w:eastAsia="Times New Roman" w:hAnsi="Times New Roman"/>
                <w:sz w:val="18"/>
                <w:szCs w:val="18"/>
                <w:color w:val="auto"/>
              </w:rPr>
              <w:t>, a California limited</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3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Omada Health Inc.</w:t>
            </w:r>
            <w:r>
              <w:rPr>
                <w:rFonts w:ascii="Times New Roman" w:cs="Times New Roman" w:eastAsia="Times New Roman" w:hAnsi="Times New Roman"/>
                <w:sz w:val="18"/>
                <w:szCs w:val="18"/>
                <w:color w:val="auto"/>
              </w:rPr>
              <w:t>, a California corporation</w:t>
            </w:r>
          </w:p>
        </w:tc>
      </w:tr>
      <w:tr>
        <w:trPr>
          <w:trHeight w:val="23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 company</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Bruce W. Jones</w:t>
            </w:r>
          </w:p>
        </w:tc>
        <w:tc>
          <w:tcPr>
            <w:tcW w:w="34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Sean Duffy</w:t>
            </w:r>
          </w:p>
        </w:tc>
      </w:tr>
      <w:tr>
        <w:trPr>
          <w:trHeight w:val="202"/>
        </w:trPr>
        <w:tc>
          <w:tcPr>
            <w:tcW w:w="540" w:type="dxa"/>
            <w:vAlign w:val="bottom"/>
          </w:tcPr>
          <w:p>
            <w:pPr>
              <w:spacing w:after="0"/>
              <w:rPr>
                <w:sz w:val="17"/>
                <w:szCs w:val="17"/>
                <w:color w:val="auto"/>
              </w:rPr>
            </w:pPr>
          </w:p>
        </w:tc>
        <w:tc>
          <w:tcPr>
            <w:tcW w:w="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Bruce W. Jones</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Sean Duffy</w:t>
            </w:r>
          </w:p>
        </w:tc>
      </w:tr>
      <w:tr>
        <w:trPr>
          <w:trHeight w:val="233"/>
        </w:trPr>
        <w:tc>
          <w:tcPr>
            <w:tcW w:w="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agent</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r>
        <w:trPr>
          <w:trHeight w:val="4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4/30/14</w:t>
            </w: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4/28/2014</w:t>
            </w:r>
          </w:p>
        </w:tc>
      </w:tr>
    </w:tbl>
    <w:p>
      <w:pPr>
        <w:sectPr>
          <w:pgSz w:w="11900" w:h="16838" w:orient="portrait"/>
          <w:cols w:equalWidth="0" w:num="1">
            <w:col w:w="10920"/>
          </w:cols>
          <w:pgMar w:left="480" w:top="264" w:right="499" w:bottom="1440" w:gutter="0" w:footer="0" w:header="0"/>
        </w:sectPr>
      </w:pPr>
    </w:p>
    <w:bookmarkStart w:id="658" w:name="page659"/>
    <w:bookmarkEnd w:id="6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340" w:type="dxa"/>
            <w:vAlign w:val="bottom"/>
          </w:tcPr>
          <w:p>
            <w:pPr>
              <w:spacing w:after="0"/>
              <w:rPr>
                <w:sz w:val="17"/>
                <w:szCs w:val="17"/>
                <w:color w:val="auto"/>
              </w:rPr>
            </w:pPr>
          </w:p>
        </w:tc>
      </w:tr>
      <w:tr>
        <w:trPr>
          <w:trHeight w:val="47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PREMISES; RENTABLE AREA.</w:t>
            </w:r>
          </w:p>
        </w:tc>
        <w:tc>
          <w:tcPr>
            <w:tcW w:w="180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OPTION TO EXTEND THE TERM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BASIC RENT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RENT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USE OF THE PREMISES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IMPROVEMENT AND ACCEPTANCE OF PREMISES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MAINTENANCE AND REPAIRS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ALTERATIONS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COMPLIANCE WITH LAWS AND INSURANCE STANDARDS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LIENS AND INSOLVENCY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SIGNS AND ADVERTISING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ASSIGNMENT OR SUBLETTING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TENANT’S PROPERTY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ENTRY BY LANDLORD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TENANT’S 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WAIVER OF SUBROGATION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DAMAGE AND DESTRUCTION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CONDEMNATION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DAMAGE TO TENANT’S PROPERTY AND EXCULPATION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HAZARDOUS MATERIALS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SUBORDINATION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0860"/>
          </w:cols>
          <w:pgMar w:left="480" w:top="254" w:right="559" w:bottom="1440" w:gutter="0" w:footer="0" w:header="0"/>
        </w:sectPr>
      </w:pPr>
    </w:p>
    <w:bookmarkStart w:id="659" w:name="page660"/>
    <w:bookmarkEnd w:id="6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00" w:type="dxa"/>
            <w:vAlign w:val="bottom"/>
            <w:gridSpan w:val="2"/>
          </w:tcPr>
          <w:p>
            <w:pPr>
              <w:jc w:val="right"/>
              <w:ind w:right="4411"/>
              <w:spacing w:after="0"/>
              <w:rPr>
                <w:sz w:val="20"/>
                <w:szCs w:val="20"/>
                <w:color w:val="auto"/>
              </w:rPr>
            </w:pPr>
            <w:r>
              <w:rPr>
                <w:rFonts w:ascii="Times New Roman" w:cs="Times New Roman" w:eastAsia="Times New Roman" w:hAnsi="Times New Roman"/>
                <w:sz w:val="18"/>
                <w:szCs w:val="18"/>
                <w:color w:val="auto"/>
                <w:w w:val="96"/>
              </w:rPr>
              <w:t>TABLE OF CONTENTS</w:t>
            </w:r>
          </w:p>
        </w:tc>
      </w:tr>
      <w:tr>
        <w:trPr>
          <w:trHeight w:val="382"/>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ESTOPPEL CERTIFICATE</w:t>
            </w:r>
          </w:p>
        </w:tc>
        <w:tc>
          <w:tcPr>
            <w:tcW w:w="48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RULES AND REGULATIONS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DEPOSIT</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DEFAULTS AND REMEDIES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CHARGE</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QUIET ENJOYMENT</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LANDLORD’S INTEREST</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PERFORM</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RIGHT TO JURY TRIAL.</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36.</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ATTORNEYS’ FEES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37.</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SURRENDER OF PREMISES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 OVER.</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39.</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NON-WAIVER</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40.</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MORTGAGEE PROTECTION</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41.</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42.</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PROJECT</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1"/>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PROVISIONS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61"/>
        </w:trPr>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2"/>
          </w:tcPr>
          <w:p>
            <w:pPr>
              <w:jc w:val="right"/>
              <w:ind w:right="5251"/>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860"/>
          </w:cols>
          <w:pgMar w:left="480" w:top="254" w:right="559" w:bottom="1440" w:gutter="0" w:footer="0" w:header="0"/>
        </w:sectPr>
      </w:pPr>
    </w:p>
    <w:bookmarkStart w:id="660" w:name="page661"/>
    <w:bookmarkEnd w:id="660"/>
    <w:p>
      <w:pPr>
        <w:jc w:val="right"/>
        <w:spacing w:after="0"/>
        <w:rPr>
          <w:sz w:val="20"/>
          <w:szCs w:val="20"/>
          <w:color w:val="auto"/>
        </w:rPr>
      </w:pPr>
      <w:r>
        <w:rPr>
          <w:rFonts w:ascii="Times New Roman" w:cs="Times New Roman" w:eastAsia="Times New Roman" w:hAnsi="Times New Roman"/>
          <w:sz w:val="18"/>
          <w:szCs w:val="18"/>
          <w:b w:val="1"/>
          <w:bCs w:val="1"/>
          <w:color w:val="auto"/>
        </w:rPr>
        <w:t>Exhibit 10.2(b)</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OFFICE LEASE</w:t>
      </w:r>
    </w:p>
    <w:p>
      <w:pPr>
        <w:spacing w:after="0" w:line="221" w:lineRule="exact"/>
        <w:rPr>
          <w:sz w:val="20"/>
          <w:szCs w:val="20"/>
          <w:color w:val="auto"/>
        </w:rPr>
      </w:pPr>
    </w:p>
    <w:p>
      <w:pPr>
        <w:jc w:val="both"/>
        <w:ind w:right="540" w:firstLine="436"/>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OFFICE 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this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2016, is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500 SANSOME STREET INVESTORS, LLC,</w:t>
      </w:r>
      <w:r>
        <w:rPr>
          <w:rFonts w:ascii="Times New Roman" w:cs="Times New Roman" w:eastAsia="Times New Roman" w:hAnsi="Times New Roman"/>
          <w:sz w:val="18"/>
          <w:szCs w:val="18"/>
          <w:color w:val="auto"/>
        </w:rPr>
        <w:t xml:space="preserve"> a California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OMADA HEALTH, INC.,</w:t>
      </w:r>
      <w:r>
        <w:rPr>
          <w:rFonts w:ascii="Times New Roman" w:cs="Times New Roman" w:eastAsia="Times New Roman" w:hAnsi="Times New Roman"/>
          <w:sz w:val="18"/>
          <w:szCs w:val="18"/>
          <w:color w:val="auto"/>
        </w:rPr>
        <w:t xml:space="preserve">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with reference to the following:</w:t>
      </w:r>
    </w:p>
    <w:p>
      <w:pPr>
        <w:spacing w:after="0" w:line="86" w:lineRule="exact"/>
        <w:rPr>
          <w:sz w:val="20"/>
          <w:szCs w:val="20"/>
          <w:color w:val="auto"/>
        </w:rPr>
      </w:pPr>
    </w:p>
    <w:p>
      <w:pPr>
        <w:ind w:right="38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Landlord and Tenant entered into that certain 500 Sansome Lease dated April 30, 2014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for the lease of certain premises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Premises</w:t>
      </w:r>
      <w:r>
        <w:rPr>
          <w:rFonts w:ascii="Times New Roman" w:cs="Times New Roman" w:eastAsia="Times New Roman" w:hAnsi="Times New Roman"/>
          <w:sz w:val="18"/>
          <w:szCs w:val="18"/>
          <w:color w:val="auto"/>
        </w:rPr>
        <w:t>”) known as Suite 200 consisting of approximately 13,606 square feet of Rentable Area in the building located at 500 Sansome Street, San Francisco, California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as more particularly described in the Lease.</w:t>
      </w:r>
    </w:p>
    <w:p>
      <w:pPr>
        <w:spacing w:after="0" w:line="63" w:lineRule="exact"/>
        <w:rPr>
          <w:sz w:val="20"/>
          <w:szCs w:val="20"/>
          <w:color w:val="auto"/>
        </w:rPr>
      </w:pPr>
    </w:p>
    <w:p>
      <w:pPr>
        <w:ind w:right="2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Landlord and Tenant desire by this Amendment to amend the Lease in order to (i) expand the Existing Premises to include the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as defined below, (ii) provide for an adjusted Basic Rent schedule to account for such expansion, (iii) extend the current Term of the Lease, and (iv) further amend the Lease as set forth herein.</w:t>
      </w:r>
    </w:p>
    <w:p>
      <w:pPr>
        <w:spacing w:after="0" w:line="17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Landlord and Tenant hereby agree as follows:</w:t>
      </w:r>
    </w:p>
    <w:p>
      <w:pPr>
        <w:spacing w:after="0" w:line="53" w:lineRule="exact"/>
        <w:rPr>
          <w:sz w:val="20"/>
          <w:szCs w:val="20"/>
          <w:color w:val="auto"/>
        </w:rPr>
      </w:pPr>
    </w:p>
    <w:p>
      <w:pPr>
        <w:ind w:firstLine="444"/>
        <w:spacing w:after="0" w:line="263" w:lineRule="auto"/>
        <w:tabs>
          <w:tab w:leader="none" w:pos="61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ascribed to such terms in the Lease. Unless the context clearly indicates otherwise, all references to the “Lease” in the Lease and in this Amendment shall hereinafter be deemed to refer to the Lease, as amended hereby.</w:t>
      </w:r>
    </w:p>
    <w:p>
      <w:pPr>
        <w:spacing w:after="0" w:line="68" w:lineRule="exact"/>
        <w:rPr>
          <w:rFonts w:ascii="Times New Roman" w:cs="Times New Roman" w:eastAsia="Times New Roman" w:hAnsi="Times New Roman"/>
          <w:sz w:val="18"/>
          <w:szCs w:val="18"/>
          <w:color w:val="auto"/>
        </w:rPr>
      </w:pPr>
    </w:p>
    <w:p>
      <w:pPr>
        <w:ind w:right="40" w:firstLine="444"/>
        <w:spacing w:after="0" w:line="254" w:lineRule="auto"/>
        <w:tabs>
          <w:tab w:leader="none" w:pos="61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Contingency</w:t>
      </w:r>
      <w:r>
        <w:rPr>
          <w:rFonts w:ascii="Times New Roman" w:cs="Times New Roman" w:eastAsia="Times New Roman" w:hAnsi="Times New Roman"/>
          <w:sz w:val="18"/>
          <w:szCs w:val="18"/>
          <w:color w:val="auto"/>
        </w:rPr>
        <w:t>. Tenant acknowledges that the effectiveness of this Amendment is expressly conditioned upon the vacation and surrender of the Expansion Premises by the existing tenant therein (“</w:t>
      </w:r>
      <w:r>
        <w:rPr>
          <w:rFonts w:ascii="Times New Roman" w:cs="Times New Roman" w:eastAsia="Times New Roman" w:hAnsi="Times New Roman"/>
          <w:sz w:val="18"/>
          <w:szCs w:val="18"/>
          <w:u w:val="single" w:color="auto"/>
          <w:color w:val="auto"/>
        </w:rPr>
        <w:t>Existing Tenant</w:t>
      </w:r>
      <w:r>
        <w:rPr>
          <w:rFonts w:ascii="Times New Roman" w:cs="Times New Roman" w:eastAsia="Times New Roman" w:hAnsi="Times New Roman"/>
          <w:sz w:val="18"/>
          <w:szCs w:val="18"/>
          <w:color w:val="auto"/>
        </w:rPr>
        <w:t>”) in accordance with the terms and conditions of a separate written agreement between Landlord and Existing Tenant (“</w:t>
      </w:r>
      <w:r>
        <w:rPr>
          <w:rFonts w:ascii="Times New Roman" w:cs="Times New Roman" w:eastAsia="Times New Roman" w:hAnsi="Times New Roman"/>
          <w:sz w:val="18"/>
          <w:szCs w:val="18"/>
          <w:u w:val="single" w:color="auto"/>
          <w:color w:val="auto"/>
        </w:rPr>
        <w:t>Termination Agreement</w:t>
      </w:r>
      <w:r>
        <w:rPr>
          <w:rFonts w:ascii="Times New Roman" w:cs="Times New Roman" w:eastAsia="Times New Roman" w:hAnsi="Times New Roman"/>
          <w:sz w:val="18"/>
          <w:szCs w:val="18"/>
          <w:color w:val="auto"/>
        </w:rPr>
        <w:t>”). If Existing Tenant fails to vacate and surrender the Expansion Premises on or before June 1, 2016 and otherwise in accordance with the Termination Agreement, then either party shall have the right to terminate this Amendment in its entirety upon notice to the other party. Upon such termination, Tenant shall continue to lease the Existing Premises in accordance with the terms and conditions of the Lease, without modification.</w:t>
      </w:r>
    </w:p>
    <w:p>
      <w:pPr>
        <w:spacing w:after="0" w:line="76"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Expansion Premises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20" w:firstLine="990"/>
        <w:spacing w:after="0" w:line="234" w:lineRule="auto"/>
        <w:tabs>
          <w:tab w:leader="none" w:pos="1225"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Existing Premises, effective as of the earlier to occur of (i) the date on which Landlord delivers possession of that certain premises consisting of approximately 7,684 square feet of Rentable Area located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of the Building, as shown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Expansion Premises</w:t>
      </w:r>
      <w:r>
        <w:rPr>
          <w:rFonts w:ascii="Times New Roman" w:cs="Times New Roman" w:eastAsia="Times New Roman" w:hAnsi="Times New Roman"/>
          <w:sz w:val="18"/>
          <w:szCs w:val="18"/>
          <w:color w:val="auto"/>
        </w:rPr>
        <w:t>”) with the Tenant Improvements Substantially Completed (as such terms are defined elsewhere in the Lease, as amended hereby), and (ii) the date on which Tenant occupies the Expansion Premises for the conduct of its business (in either event, the “</w:t>
      </w:r>
      <w:r>
        <w:rPr>
          <w:rFonts w:ascii="Times New Roman" w:cs="Times New Roman" w:eastAsia="Times New Roman" w:hAnsi="Times New Roman"/>
          <w:sz w:val="18"/>
          <w:szCs w:val="18"/>
          <w:u w:val="single" w:color="auto"/>
          <w:color w:val="auto"/>
        </w:rPr>
        <w:t>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 Commencement Date</w:t>
      </w:r>
      <w:r>
        <w:rPr>
          <w:rFonts w:ascii="Times New Roman" w:cs="Times New Roman" w:eastAsia="Times New Roman" w:hAnsi="Times New Roman"/>
          <w:sz w:val="18"/>
          <w:szCs w:val="18"/>
          <w:color w:val="auto"/>
        </w:rPr>
        <w:t>”), which is estimated to occur on June 1, 2016, Landlord shall lease to Tenant and Tenant shall lease from Landlord the Expansion Premises upon all of the terms and conditions of the Lease, as amended hereby.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8" w:right="499" w:bottom="1440" w:gutter="0" w:footer="0" w:header="0"/>
        </w:sectPr>
      </w:pPr>
    </w:p>
    <w:bookmarkStart w:id="661" w:name="page662"/>
    <w:bookmarkEnd w:id="661"/>
    <w:p>
      <w:pPr>
        <w:ind w:left="-20" w:right="20" w:firstLine="990"/>
        <w:spacing w:after="0" w:line="251" w:lineRule="auto"/>
        <w:tabs>
          <w:tab w:leader="none" w:pos="121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Condition of Expansion Premises</w:t>
      </w:r>
      <w:r>
        <w:rPr>
          <w:rFonts w:ascii="Times New Roman" w:cs="Times New Roman" w:eastAsia="Times New Roman" w:hAnsi="Times New Roman"/>
          <w:sz w:val="18"/>
          <w:szCs w:val="18"/>
          <w:color w:val="auto"/>
        </w:rPr>
        <w:t xml:space="preserve">. Tenant acknowledges that Tenant shall lease the Expansion Premises on an “as is, where is” basis, provided that, prior to delivery, Landlord shall, at its sole cost using materials and methods consistent with the Existing Premises, demise and provide for certain improvements more particularly described in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xml:space="preserve">”) in accordance with the terms and conditions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 the Lease, except that (i) references to the “Premises” shall mean and refer to the “Expansion Premises”, (ii) references to the “Commencement Date” shall mean and refer to the “Expansion Premises Commencement Date”, and (iii) the working drawings of the Tenant Improvements which have been approved by the parties are attached hereto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Tenant’s taking possession of the Expansion Premises shall be deemed conclusive evidence that, as of the date of taking possession, the Expansion Premises is in satisfactory condition, subject to punch list items relating to the Tenant Improvements and any defects of the Tenant Improvements covered by the warranties provided by the contractors or subcontractors therefor. Tenant agrees that, except for the Tenant Improvements, Landlord has no obligation to make or pay for any improvements or renovations in or to the Expansion Premises or to otherwise prepare the same for Tenant’s use or occupancy.</w:t>
      </w:r>
    </w:p>
    <w:p>
      <w:pPr>
        <w:spacing w:after="0" w:line="82" w:lineRule="exact"/>
        <w:rPr>
          <w:sz w:val="20"/>
          <w:szCs w:val="20"/>
          <w:color w:val="auto"/>
        </w:rPr>
      </w:pPr>
    </w:p>
    <w:p>
      <w:pPr>
        <w:ind w:left="-20" w:firstLine="990"/>
        <w:spacing w:after="0" w:line="270" w:lineRule="auto"/>
        <w:tabs>
          <w:tab w:leader="none" w:pos="1204"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Delivery</w:t>
      </w:r>
      <w:r>
        <w:rPr>
          <w:rFonts w:ascii="Times New Roman" w:cs="Times New Roman" w:eastAsia="Times New Roman" w:hAnsi="Times New Roman"/>
          <w:sz w:val="17"/>
          <w:szCs w:val="17"/>
          <w:color w:val="auto"/>
        </w:rPr>
        <w:t xml:space="preserve">. Tenant acknowledges that Landlord’s delivery of possession of the Expansion Premises to Tenant may be delayed due to a delay in the vacation and surrender of any portion thereof by Existing Tenant. Without limiting the generality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above, If Landlord is unable to deliver possession of the Expansion Premises to Tenant by June 1, 2016, then, subject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above: (i) the validity of this Amendment shall not be affected or impaired thereby; (ii) Landlord shall not be in default under the Lease or be liable for damages therefor; (iii) the Expansion Premises Commencement Date shall not occur (and the Basic Rent for the Expansion Premises shall not commence) until such time as Landlord actually delivers possession of the Expansion Premises with the Tenant Improvements substantially completed; and (iv) Tenant shall accept delivery of possession of the Expansion Premises when Landlord actually delivers possession thereof to Tenant in accordance with the terms of this Amendment.</w:t>
      </w:r>
    </w:p>
    <w:p>
      <w:pPr>
        <w:spacing w:after="0" w:line="65" w:lineRule="exact"/>
        <w:rPr>
          <w:sz w:val="20"/>
          <w:szCs w:val="20"/>
          <w:color w:val="auto"/>
        </w:rPr>
      </w:pPr>
    </w:p>
    <w:p>
      <w:pPr>
        <w:ind w:left="-20" w:right="280" w:firstLine="990"/>
        <w:spacing w:after="0" w:line="258" w:lineRule="auto"/>
        <w:tabs>
          <w:tab w:leader="none" w:pos="120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Defined Terms</w:t>
      </w:r>
      <w:r>
        <w:rPr>
          <w:rFonts w:ascii="Times New Roman" w:cs="Times New Roman" w:eastAsia="Times New Roman" w:hAnsi="Times New Roman"/>
          <w:sz w:val="18"/>
          <w:szCs w:val="18"/>
          <w:color w:val="auto"/>
        </w:rPr>
        <w:t xml:space="preserve">. Accordingly, effective on the Expansion Premises Commencement Date, (i) all references to the “Premises” contained in the Lease, as amended hereby, shall mean and refer to the entirety of the space in the Existing Premises and Expansion Premises, which together is approximately 21,290 square feet of Rentable Area, (ii) all references in the Lease to “Exhibit A” shall mean and refer to Exhibit A of the Lease as modified by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 and (iii) “Tenant’s Proportionate Share” shall mean and refer to 13.80%.</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8" w:right="499" w:bottom="1440" w:gutter="0" w:footer="0" w:header="0"/>
        </w:sectPr>
      </w:pPr>
    </w:p>
    <w:bookmarkStart w:id="662" w:name="page663"/>
    <w:bookmarkEnd w:id="662"/>
    <w:p>
      <w:pPr>
        <w:ind w:left="620" w:hanging="176"/>
        <w:spacing w:after="0"/>
        <w:tabs>
          <w:tab w:leader="none" w:pos="62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Extension of Term</w:t>
      </w:r>
      <w:r>
        <w:rPr>
          <w:rFonts w:ascii="Times New Roman" w:cs="Times New Roman" w:eastAsia="Times New Roman" w:hAnsi="Times New Roman"/>
          <w:sz w:val="18"/>
          <w:szCs w:val="18"/>
          <w:color w:val="auto"/>
        </w:rPr>
        <w:t>. Landlord and Tenant acknowledge that the current Term of the Lease is scheduled to expire on October 31, 2018.</w:t>
      </w:r>
    </w:p>
    <w:p>
      <w:pPr>
        <w:spacing w:after="0" w:line="25" w:lineRule="exact"/>
        <w:rPr>
          <w:rFonts w:ascii="Times New Roman" w:cs="Times New Roman" w:eastAsia="Times New Roman" w:hAnsi="Times New Roman"/>
          <w:sz w:val="18"/>
          <w:szCs w:val="18"/>
          <w:color w:val="auto"/>
        </w:rPr>
      </w:pPr>
    </w:p>
    <w:p>
      <w:pPr>
        <w:ind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parties hereby agree to extend the current Term of the Lease so that the Term Expiration Date (the “</w:t>
      </w:r>
      <w:r>
        <w:rPr>
          <w:rFonts w:ascii="Times New Roman" w:cs="Times New Roman" w:eastAsia="Times New Roman" w:hAnsi="Times New Roman"/>
          <w:sz w:val="18"/>
          <w:szCs w:val="18"/>
          <w:u w:val="single" w:color="auto"/>
          <w:color w:val="auto"/>
        </w:rPr>
        <w:t>TED</w:t>
      </w:r>
      <w:r>
        <w:rPr>
          <w:rFonts w:ascii="Times New Roman" w:cs="Times New Roman" w:eastAsia="Times New Roman" w:hAnsi="Times New Roman"/>
          <w:sz w:val="18"/>
          <w:szCs w:val="18"/>
          <w:color w:val="auto"/>
        </w:rPr>
        <w:t>”), as used in the Lease, shall mean the last day of the 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full calendar month following the Expansion Premises Commencement Date.</w:t>
      </w:r>
    </w:p>
    <w:p>
      <w:pPr>
        <w:ind w:firstLine="444"/>
        <w:spacing w:after="0" w:line="251" w:lineRule="auto"/>
        <w:tabs>
          <w:tab w:leader="none" w:pos="615"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Extend</w:t>
      </w:r>
      <w:r>
        <w:rPr>
          <w:rFonts w:ascii="Times New Roman" w:cs="Times New Roman" w:eastAsia="Times New Roman" w:hAnsi="Times New Roman"/>
          <w:sz w:val="18"/>
          <w:szCs w:val="18"/>
          <w:color w:val="auto"/>
        </w:rPr>
        <w:t xml:space="preserve">. Tenant shall continue to have an option to extend the Term for one (1) additional consecutive term of two (2) years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Lease, provided that any reference to the “Initial Term”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Lease shall mean and refer to the Initial Term, as extended hereby.</w:t>
      </w:r>
    </w:p>
    <w:p>
      <w:pPr>
        <w:spacing w:after="0" w:line="79"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Rent Payments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June 1, 2016, Tenant shall pay Basic Rent for the Existing Premises as follows:</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9"/>
              </w:rPr>
              <w:t>Annual Rate</w:t>
            </w: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Monthly</w:t>
            </w:r>
          </w:p>
        </w:tc>
        <w:tc>
          <w:tcPr>
            <w:tcW w:w="0" w:type="dxa"/>
            <w:vAlign w:val="bottom"/>
          </w:tcPr>
          <w:p>
            <w:pPr>
              <w:spacing w:after="0"/>
              <w:rPr>
                <w:sz w:val="1"/>
                <w:szCs w:val="1"/>
                <w:color w:val="auto"/>
              </w:rPr>
            </w:pPr>
          </w:p>
        </w:tc>
      </w:tr>
      <w:tr>
        <w:trPr>
          <w:trHeight w:val="147"/>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334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7" w:lineRule="exact"/>
              <w:rPr>
                <w:sz w:val="20"/>
                <w:szCs w:val="20"/>
                <w:color w:val="auto"/>
              </w:rPr>
            </w:pPr>
            <w:r>
              <w:rPr>
                <w:rFonts w:ascii="Times New Roman" w:cs="Times New Roman" w:eastAsia="Times New Roman" w:hAnsi="Times New Roman"/>
                <w:sz w:val="14"/>
                <w:szCs w:val="14"/>
                <w:color w:val="auto"/>
              </w:rPr>
              <w:t>per SF of</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13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color w:val="auto"/>
              </w:rPr>
              <w:t>Rentable Area</w:t>
            </w:r>
          </w:p>
        </w:tc>
        <w:tc>
          <w:tcPr>
            <w:tcW w:w="86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Basic Rent</w:t>
            </w:r>
          </w:p>
        </w:tc>
        <w:tc>
          <w:tcPr>
            <w:tcW w:w="0" w:type="dxa"/>
            <w:vAlign w:val="bottom"/>
          </w:tcPr>
          <w:p>
            <w:pPr>
              <w:spacing w:after="0"/>
              <w:rPr>
                <w:sz w:val="1"/>
                <w:szCs w:val="1"/>
                <w:color w:val="auto"/>
              </w:rPr>
            </w:pPr>
          </w:p>
        </w:tc>
      </w:tr>
      <w:tr>
        <w:trPr>
          <w:trHeight w:val="201"/>
        </w:trPr>
        <w:tc>
          <w:tcPr>
            <w:tcW w:w="37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6/1/16 – 10/31/16</w:t>
            </w: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45.00</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$51,022.50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11/1/16 –10/31/17</w:t>
            </w:r>
          </w:p>
        </w:tc>
        <w:tc>
          <w:tcPr>
            <w:tcW w:w="24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52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$52,156.33</w:t>
            </w:r>
          </w:p>
        </w:tc>
        <w:tc>
          <w:tcPr>
            <w:tcW w:w="0" w:type="dxa"/>
            <w:vAlign w:val="bottom"/>
          </w:tcPr>
          <w:p>
            <w:pPr>
              <w:spacing w:after="0"/>
              <w:rPr>
                <w:sz w:val="1"/>
                <w:szCs w:val="1"/>
                <w:color w:val="auto"/>
              </w:rPr>
            </w:pPr>
          </w:p>
        </w:tc>
      </w:tr>
      <w:tr>
        <w:trPr>
          <w:trHeight w:val="21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11/1/17 – 10/31/18</w:t>
            </w:r>
          </w:p>
        </w:tc>
        <w:tc>
          <w:tcPr>
            <w:tcW w:w="248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$53,290.17</w:t>
            </w:r>
          </w:p>
        </w:tc>
        <w:tc>
          <w:tcPr>
            <w:tcW w:w="0" w:type="dxa"/>
            <w:vAlign w:val="bottom"/>
          </w:tcPr>
          <w:p>
            <w:pPr>
              <w:spacing w:after="0"/>
              <w:rPr>
                <w:sz w:val="1"/>
                <w:szCs w:val="1"/>
                <w:color w:val="auto"/>
              </w:rPr>
            </w:pPr>
          </w:p>
        </w:tc>
      </w:tr>
      <w:tr>
        <w:trPr>
          <w:trHeight w:val="2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11/1/18 –10/31/19</w:t>
            </w:r>
          </w:p>
        </w:tc>
        <w:tc>
          <w:tcPr>
            <w:tcW w:w="24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52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$54,424.00</w:t>
            </w:r>
          </w:p>
        </w:tc>
        <w:tc>
          <w:tcPr>
            <w:tcW w:w="0" w:type="dxa"/>
            <w:vAlign w:val="bottom"/>
          </w:tcPr>
          <w:p>
            <w:pPr>
              <w:spacing w:after="0"/>
              <w:rPr>
                <w:sz w:val="1"/>
                <w:szCs w:val="1"/>
                <w:color w:val="auto"/>
              </w:rPr>
            </w:pPr>
          </w:p>
        </w:tc>
      </w:tr>
      <w:tr>
        <w:trPr>
          <w:trHeight w:val="21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11/1/19 – TED</w:t>
            </w:r>
          </w:p>
        </w:tc>
        <w:tc>
          <w:tcPr>
            <w:tcW w:w="248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$55,557.83</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100" w:firstLine="990"/>
        <w:spacing w:after="0" w:line="263" w:lineRule="auto"/>
        <w:tabs>
          <w:tab w:leader="none" w:pos="123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Expansion Premises Commencement Date (the “</w:t>
      </w:r>
      <w:r>
        <w:rPr>
          <w:rFonts w:ascii="Times New Roman" w:cs="Times New Roman" w:eastAsia="Times New Roman" w:hAnsi="Times New Roman"/>
          <w:sz w:val="18"/>
          <w:szCs w:val="18"/>
          <w:u w:val="single" w:color="auto"/>
          <w:color w:val="auto"/>
        </w:rPr>
        <w:t>EPCD</w:t>
      </w:r>
      <w:r>
        <w:rPr>
          <w:rFonts w:ascii="Times New Roman" w:cs="Times New Roman" w:eastAsia="Times New Roman" w:hAnsi="Times New Roman"/>
          <w:sz w:val="18"/>
          <w:szCs w:val="18"/>
          <w:color w:val="auto"/>
        </w:rPr>
        <w:t>”), in addition to the Basic Rent for the Existing Premises and all other rent required to be paid by Tenant under the Lease, as amended hereby, Tenant shall pay Basic Rent for the Expansion Premises in accordance with the following schedule:</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Monthly Rate</w:t>
            </w: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Monthly</w:t>
            </w:r>
          </w:p>
        </w:tc>
        <w:tc>
          <w:tcPr>
            <w:tcW w:w="0" w:type="dxa"/>
            <w:vAlign w:val="bottom"/>
          </w:tcPr>
          <w:p>
            <w:pPr>
              <w:spacing w:after="0"/>
              <w:rPr>
                <w:sz w:val="1"/>
                <w:szCs w:val="1"/>
                <w:color w:val="auto"/>
              </w:rPr>
            </w:pPr>
          </w:p>
        </w:tc>
      </w:tr>
      <w:tr>
        <w:trPr>
          <w:trHeight w:val="147"/>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334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per SF of</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13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color w:val="auto"/>
              </w:rPr>
              <w:t>Rentable Area</w:t>
            </w:r>
          </w:p>
        </w:tc>
        <w:tc>
          <w:tcPr>
            <w:tcW w:w="86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Basic Rent</w:t>
            </w:r>
          </w:p>
        </w:tc>
        <w:tc>
          <w:tcPr>
            <w:tcW w:w="0" w:type="dxa"/>
            <w:vAlign w:val="bottom"/>
          </w:tcPr>
          <w:p>
            <w:pPr>
              <w:spacing w:after="0"/>
              <w:rPr>
                <w:sz w:val="1"/>
                <w:szCs w:val="1"/>
                <w:color w:val="auto"/>
              </w:rPr>
            </w:pPr>
          </w:p>
        </w:tc>
      </w:tr>
      <w:tr>
        <w:trPr>
          <w:trHeight w:val="201"/>
        </w:trPr>
        <w:tc>
          <w:tcPr>
            <w:tcW w:w="37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EPCD – 10/31/16</w:t>
            </w: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49.00</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$31,376.33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11/1/16 – 10/31/17</w:t>
            </w:r>
          </w:p>
        </w:tc>
        <w:tc>
          <w:tcPr>
            <w:tcW w:w="24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2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$32,016.67</w:t>
            </w:r>
          </w:p>
        </w:tc>
        <w:tc>
          <w:tcPr>
            <w:tcW w:w="0" w:type="dxa"/>
            <w:vAlign w:val="bottom"/>
          </w:tcPr>
          <w:p>
            <w:pPr>
              <w:spacing w:after="0"/>
              <w:rPr>
                <w:sz w:val="1"/>
                <w:szCs w:val="1"/>
                <w:color w:val="auto"/>
              </w:rPr>
            </w:pPr>
          </w:p>
        </w:tc>
      </w:tr>
      <w:tr>
        <w:trPr>
          <w:trHeight w:val="21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11/1/17 – 10/31/18</w:t>
            </w:r>
          </w:p>
        </w:tc>
        <w:tc>
          <w:tcPr>
            <w:tcW w:w="248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$32.657.00</w:t>
            </w:r>
          </w:p>
        </w:tc>
        <w:tc>
          <w:tcPr>
            <w:tcW w:w="0" w:type="dxa"/>
            <w:vAlign w:val="bottom"/>
          </w:tcPr>
          <w:p>
            <w:pPr>
              <w:spacing w:after="0"/>
              <w:rPr>
                <w:sz w:val="1"/>
                <w:szCs w:val="1"/>
                <w:color w:val="auto"/>
              </w:rPr>
            </w:pPr>
          </w:p>
        </w:tc>
      </w:tr>
      <w:tr>
        <w:trPr>
          <w:trHeight w:val="2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1l/1/18 – 10/31/19</w:t>
            </w:r>
          </w:p>
        </w:tc>
        <w:tc>
          <w:tcPr>
            <w:tcW w:w="24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52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$33,297.33</w:t>
            </w:r>
          </w:p>
        </w:tc>
        <w:tc>
          <w:tcPr>
            <w:tcW w:w="0" w:type="dxa"/>
            <w:vAlign w:val="bottom"/>
          </w:tcPr>
          <w:p>
            <w:pPr>
              <w:spacing w:after="0"/>
              <w:rPr>
                <w:sz w:val="1"/>
                <w:szCs w:val="1"/>
                <w:color w:val="auto"/>
              </w:rPr>
            </w:pPr>
          </w:p>
        </w:tc>
      </w:tr>
      <w:tr>
        <w:trPr>
          <w:trHeight w:val="21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11/1/19 – TED</w:t>
            </w:r>
          </w:p>
        </w:tc>
        <w:tc>
          <w:tcPr>
            <w:tcW w:w="248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$33,937.67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8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The schedule shall be appropriately adjusted, so that Tenant’s obligation to pay Basic Rent for the Expansion Premises commences on the Expansion Premises Commencement Date. In the event the Expansion Premises Commencement Date occurs on a day other than the first day of the calendar month, the Basic Rent for such partial month provided above shall be prorated based on the number of days in such partial month.</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9" w:right="539" w:bottom="1440" w:gutter="0" w:footer="0" w:header="0"/>
        </w:sectPr>
      </w:pPr>
    </w:p>
    <w:bookmarkStart w:id="663" w:name="page664"/>
    <w:bookmarkEnd w:id="663"/>
    <w:p>
      <w:pPr>
        <w:ind w:left="-20" w:firstLine="444"/>
        <w:spacing w:after="0" w:line="235" w:lineRule="auto"/>
        <w:tabs>
          <w:tab w:leader="none" w:pos="59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Option</w:t>
      </w:r>
      <w:r>
        <w:rPr>
          <w:rFonts w:ascii="Times New Roman" w:cs="Times New Roman" w:eastAsia="Times New Roman" w:hAnsi="Times New Roman"/>
          <w:sz w:val="18"/>
          <w:szCs w:val="18"/>
          <w:color w:val="auto"/>
        </w:rPr>
        <w:t>. Tenant shall have the option to terminate the Lease with respect to the Expansion Premises (but not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which termination shall be effective on or after the first day of the twenty-fifth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month following the Expansion Premises Commencement Date (the “</w:t>
      </w:r>
      <w:r>
        <w:rPr>
          <w:rFonts w:ascii="Times New Roman" w:cs="Times New Roman" w:eastAsia="Times New Roman" w:hAnsi="Times New Roman"/>
          <w:sz w:val="18"/>
          <w:szCs w:val="18"/>
          <w:b w:val="1"/>
          <w:bCs w:val="1"/>
          <w:u w:val="single" w:color="auto"/>
          <w:color w:val="auto"/>
        </w:rPr>
        <w:t>Earliest Termination Date</w:t>
      </w:r>
      <w:r>
        <w:rPr>
          <w:rFonts w:ascii="Times New Roman" w:cs="Times New Roman" w:eastAsia="Times New Roman" w:hAnsi="Times New Roman"/>
          <w:sz w:val="18"/>
          <w:szCs w:val="18"/>
          <w:color w:val="auto"/>
        </w:rPr>
        <w:t>”), provided that Tenant gives notice thereof to Landlord not less than six (6) months prior to the Earliest Termination Date and provided Tenant is not in default under the Lease beyond the applicable notice and cure period at the time of the giving of such notice nor on the Actual Termination Date (defined below). Such notice must specify the date (which cannot be prior to the first day of the twenty-fifth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month following the Expansion Premises Commencement Date) on which Tenant desires the termination to become effective (the “</w:t>
      </w:r>
      <w:r>
        <w:rPr>
          <w:rFonts w:ascii="Times New Roman" w:cs="Times New Roman" w:eastAsia="Times New Roman" w:hAnsi="Times New Roman"/>
          <w:sz w:val="18"/>
          <w:szCs w:val="18"/>
          <w:b w:val="1"/>
          <w:bCs w:val="1"/>
          <w:u w:val="single" w:color="auto"/>
          <w:color w:val="auto"/>
        </w:rPr>
        <w:t>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Additionally, Tenant’s right to terminate hereunder is conditioned upon the payment in full by Tenant, with fifty percent (50%)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Tenant delivers notice to Landlord that it is exercising its termination right hereunder and fifty percent (50%) due on or before the Actual Termination Date, of: (i) all rent through and including the Actual Termination Date; and (ii) the unamortized cost of all tenant improvement costs and allowances, leasing commissions and other transaction costs incurred by Landlord in connection with the Expansion Premises and this Amendment at a rate of eight percent (8%) per annum (collectively, the “</w:t>
      </w:r>
      <w:r>
        <w:rPr>
          <w:rFonts w:ascii="Times New Roman" w:cs="Times New Roman" w:eastAsia="Times New Roman" w:hAnsi="Times New Roman"/>
          <w:sz w:val="18"/>
          <w:szCs w:val="18"/>
          <w:b w:val="1"/>
          <w:bCs w:val="1"/>
          <w:u w:val="single" w:color="auto"/>
          <w:color w:val="auto"/>
        </w:rPr>
        <w:t>Termination Payment</w:t>
      </w:r>
      <w:r>
        <w:rPr>
          <w:rFonts w:ascii="Times New Roman" w:cs="Times New Roman" w:eastAsia="Times New Roman" w:hAnsi="Times New Roman"/>
          <w:sz w:val="18"/>
          <w:szCs w:val="18"/>
          <w:color w:val="auto"/>
        </w:rPr>
        <w:t>”). After Landlord’s receipt of the Termination Payment, and so long as Tenant has vacated and surrendered the Expansion Premises in the condition required by Landlord, neither party shall have any rights, liabilities or obligations under the Lea e with respect to the Expansion Premises for the period accruing after the Actual Termination Date, except those which, by the provisions of the Lease, expressly survive the termination of the Lease.</w:t>
      </w:r>
    </w:p>
    <w:p>
      <w:pPr>
        <w:spacing w:after="0" w:line="89" w:lineRule="exact"/>
        <w:rPr>
          <w:rFonts w:ascii="Times New Roman" w:cs="Times New Roman" w:eastAsia="Times New Roman" w:hAnsi="Times New Roman"/>
          <w:sz w:val="18"/>
          <w:szCs w:val="18"/>
          <w:color w:val="auto"/>
        </w:rPr>
      </w:pPr>
    </w:p>
    <w:p>
      <w:pPr>
        <w:ind w:left="-20" w:right="300" w:firstLine="444"/>
        <w:spacing w:after="0" w:line="263" w:lineRule="auto"/>
        <w:tabs>
          <w:tab w:leader="none" w:pos="59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Landlord is holding a security deposit in the amount of $99,777.33. Effective as of the date of mutual execution of this Amendment, the amount of the Security Deposit shall be increased to $131,153.33. Tenant shall, concurrently with its execution of this Amendment, deposit with Landlord $31,376.00 to hold as part of the Security Deposit.</w:t>
      </w:r>
    </w:p>
    <w:p>
      <w:pPr>
        <w:spacing w:after="0" w:line="68" w:lineRule="exact"/>
        <w:rPr>
          <w:rFonts w:ascii="Times New Roman" w:cs="Times New Roman" w:eastAsia="Times New Roman" w:hAnsi="Times New Roman"/>
          <w:sz w:val="18"/>
          <w:szCs w:val="18"/>
          <w:color w:val="auto"/>
        </w:rPr>
      </w:pPr>
    </w:p>
    <w:p>
      <w:pPr>
        <w:ind w:left="-20" w:right="180" w:firstLine="444"/>
        <w:spacing w:after="0" w:line="255" w:lineRule="auto"/>
        <w:tabs>
          <w:tab w:leader="none" w:pos="59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Premises</w:t>
      </w:r>
      <w:r>
        <w:rPr>
          <w:rFonts w:ascii="Times New Roman" w:cs="Times New Roman" w:eastAsia="Times New Roman" w:hAnsi="Times New Roman"/>
          <w:sz w:val="18"/>
          <w:szCs w:val="18"/>
          <w:color w:val="auto"/>
        </w:rPr>
        <w:t>. Tenant acknowledges that (a) it has been occupying and continues to occupy the Existing Premises, (b) it is familiar with the condition of the Existing Premises and, subject to the provisions of the Lease, accepts the same in its “as-is, where-is and with all faults” condition, (c) the taking of possession of the Expansion Premises by Tenant shall be conclusive evidence that Tenant accepts the same and the Tenant Improvements (subject to this Amendment) in “as-is, where-is and with all faults” condition, and (d) Landlord has made no representation or warranty regarding the condition of any portion of the Premises, the Building, or the Project or the suitability thereof for Tenant’s business.</w:t>
      </w:r>
    </w:p>
    <w:p>
      <w:pPr>
        <w:spacing w:after="0" w:line="77" w:lineRule="exact"/>
        <w:rPr>
          <w:rFonts w:ascii="Times New Roman" w:cs="Times New Roman" w:eastAsia="Times New Roman" w:hAnsi="Times New Roman"/>
          <w:sz w:val="18"/>
          <w:szCs w:val="18"/>
          <w:color w:val="auto"/>
        </w:rPr>
      </w:pPr>
    </w:p>
    <w:p>
      <w:pPr>
        <w:ind w:left="-20" w:right="140" w:firstLine="444"/>
        <w:spacing w:after="0" w:line="285" w:lineRule="auto"/>
        <w:tabs>
          <w:tab w:leader="none" w:pos="684" w:val="left"/>
        </w:tabs>
        <w:numPr>
          <w:ilvl w:val="0"/>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Tenant shall provide Landlord with evidence of insurance coverage with respect to the Expansion Premises, in the form and with the coverages required by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of the Lease; provided, however, any delay in providing or the failure to provide such evidence of insurance shall not affect the delivery or acceptance of delivery of possession of the Expansion Premises in accordance with the terms of this Amendment.</w:t>
      </w:r>
    </w:p>
    <w:p>
      <w:pPr>
        <w:spacing w:after="0" w:line="52" w:lineRule="exact"/>
        <w:rPr>
          <w:rFonts w:ascii="Times New Roman" w:cs="Times New Roman" w:eastAsia="Times New Roman" w:hAnsi="Times New Roman"/>
          <w:sz w:val="17"/>
          <w:szCs w:val="17"/>
          <w:color w:val="auto"/>
        </w:rPr>
      </w:pPr>
    </w:p>
    <w:p>
      <w:pPr>
        <w:jc w:val="both"/>
        <w:ind w:left="-20" w:right="100" w:firstLine="444"/>
        <w:spacing w:after="0" w:line="274" w:lineRule="auto"/>
        <w:tabs>
          <w:tab w:leader="none" w:pos="677" w:val="left"/>
        </w:tabs>
        <w:numPr>
          <w:ilvl w:val="0"/>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Inspection By A CASp In Accordance With Civil Code § 1938</w:t>
      </w:r>
      <w:r>
        <w:rPr>
          <w:rFonts w:ascii="Times New Roman" w:cs="Times New Roman" w:eastAsia="Times New Roman" w:hAnsi="Times New Roman"/>
          <w:sz w:val="17"/>
          <w:szCs w:val="17"/>
          <w:color w:val="auto"/>
        </w:rPr>
        <w:t>. To Landlord’s actual knowledge, the property being leased or rented pursuant to the Lease, as amended hereby, has not undergone inspection by a Certified Access Specialist (“</w:t>
      </w:r>
      <w:r>
        <w:rPr>
          <w:rFonts w:ascii="Times New Roman" w:cs="Times New Roman" w:eastAsia="Times New Roman" w:hAnsi="Times New Roman"/>
          <w:sz w:val="17"/>
          <w:szCs w:val="17"/>
          <w:u w:val="single" w:color="auto"/>
          <w:color w:val="auto"/>
        </w:rPr>
        <w:t>CASp</w:t>
      </w:r>
      <w:r>
        <w:rPr>
          <w:rFonts w:ascii="Times New Roman" w:cs="Times New Roman" w:eastAsia="Times New Roman" w:hAnsi="Times New Roman"/>
          <w:sz w:val="17"/>
          <w:szCs w:val="17"/>
          <w:color w:val="auto"/>
        </w:rPr>
        <w:t xml:space="preserve">”). The foregoing verification is included in this Amendment solely for the purpose of complying with California Civil Code Section 1938 and shall not in any manner affect Landlord’s and Tenant’s respective responsibilities for compliance with construction-related accessibility standards as provided under the Lease, as amended hereby. Landlord also makes the disclosure required by the City and County of San Francisco regarding handicapped access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attached hereto.</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4" w:right="499" w:bottom="1440" w:gutter="0" w:footer="0" w:header="0"/>
        </w:sectPr>
      </w:pPr>
    </w:p>
    <w:bookmarkStart w:id="664" w:name="page665"/>
    <w:bookmarkEnd w:id="664"/>
    <w:p>
      <w:pPr>
        <w:ind w:left="-20" w:firstLine="444"/>
        <w:spacing w:after="0" w:line="251" w:lineRule="auto"/>
        <w:tabs>
          <w:tab w:leader="none" w:pos="68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Tenant’s Estoppel</w:t>
      </w:r>
      <w:r>
        <w:rPr>
          <w:rFonts w:ascii="Times New Roman" w:cs="Times New Roman" w:eastAsia="Times New Roman" w:hAnsi="Times New Roman"/>
          <w:sz w:val="18"/>
          <w:szCs w:val="18"/>
          <w:color w:val="auto"/>
        </w:rPr>
        <w:t xml:space="preserve">. Tenant hereby certifies, as of the date of the execution of this Amendment by Tenant, that: (a) to Tenant’s actual knowledge, Landlord is not in default in any respect under the Lease; (b) Tenant does not have any defenses to its obligations under the Lease; (c) there are no offsets against rent or any other amount payable in connection with the Lease; and (d) Landlord is holding a security deposit in the amount of $99,777.33 under the Lease. Without limiting the generality of the foregoing, Tenant acknowledges and agrees that it has received year-end statements providing Landlord’s reconciliation of additional rent payable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Lease for all applicable calendar years of the Term through and including calendar year 2014, and all amounts shown on such statements are deemed final and binding on Tenant. Tenant waives any right to challenge or assert any Claims (as defined herein) based on any such additional rent chargeable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Lease for said prior years of the Term. Tenant acknowledges and agrees that: (i) the representations set forth in this Amendment constitute a material consideration to Landlord in entering into this Amendment; (ii) such representations are being made by Tenant for purposes of inducing Landlord to enter into this Amendment; and (iii) Landlord is relying on such representations in entering into this Amendment.</w:t>
      </w:r>
    </w:p>
    <w:p>
      <w:pPr>
        <w:spacing w:after="0" w:line="82" w:lineRule="exact"/>
        <w:rPr>
          <w:rFonts w:ascii="Times New Roman" w:cs="Times New Roman" w:eastAsia="Times New Roman" w:hAnsi="Times New Roman"/>
          <w:sz w:val="18"/>
          <w:szCs w:val="18"/>
          <w:color w:val="auto"/>
        </w:rPr>
      </w:pPr>
    </w:p>
    <w:p>
      <w:pPr>
        <w:jc w:val="both"/>
        <w:ind w:left="-20" w:right="40" w:firstLine="444"/>
        <w:spacing w:after="0" w:line="263" w:lineRule="auto"/>
        <w:tabs>
          <w:tab w:leader="none" w:pos="68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contains the entire agreement and understanding between the parties concerning the subject matter of this Amendment and supersedes all prior agreements, terms, understandings, conditions, representations and warranties, whether written or oral, concerning the matters that are the subject of this Amendment.</w:t>
      </w:r>
    </w:p>
    <w:p>
      <w:pPr>
        <w:spacing w:after="0" w:line="68" w:lineRule="exact"/>
        <w:rPr>
          <w:rFonts w:ascii="Times New Roman" w:cs="Times New Roman" w:eastAsia="Times New Roman" w:hAnsi="Times New Roman"/>
          <w:sz w:val="18"/>
          <w:szCs w:val="18"/>
          <w:color w:val="auto"/>
        </w:rPr>
      </w:pPr>
    </w:p>
    <w:p>
      <w:pPr>
        <w:ind w:left="-20" w:right="280" w:firstLine="444"/>
        <w:spacing w:after="0" w:line="278" w:lineRule="auto"/>
        <w:tabs>
          <w:tab w:leader="none" w:pos="68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of this Amendment is held by a court of competent jurisdiction to be invalid, void or unenforceable, the remaining terms of this Amendment shall remain in full force and effect and shall in no way be affected, impaired or invalidated.</w:t>
      </w:r>
    </w:p>
    <w:p>
      <w:pPr>
        <w:spacing w:after="0" w:line="55" w:lineRule="exact"/>
        <w:rPr>
          <w:rFonts w:ascii="Times New Roman" w:cs="Times New Roman" w:eastAsia="Times New Roman" w:hAnsi="Times New Roman"/>
          <w:sz w:val="18"/>
          <w:szCs w:val="18"/>
          <w:color w:val="auto"/>
        </w:rPr>
      </w:pPr>
    </w:p>
    <w:p>
      <w:pPr>
        <w:ind w:left="-20" w:right="160" w:firstLine="444"/>
        <w:spacing w:after="0" w:line="271" w:lineRule="auto"/>
        <w:tabs>
          <w:tab w:leader="none" w:pos="684"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Brokers</w:t>
      </w:r>
      <w:r>
        <w:rPr>
          <w:rFonts w:ascii="Times New Roman" w:cs="Times New Roman" w:eastAsia="Times New Roman" w:hAnsi="Times New Roman"/>
          <w:sz w:val="17"/>
          <w:szCs w:val="17"/>
          <w:color w:val="auto"/>
        </w:rPr>
        <w:t>. Tenant hereby represents and warrants to Landlord that Tenant has not entered into any agreement or taken any other action that might result in any obligation on the part of Landlord or Tenant to pay any brokerage commission, finder’s fee or other compensation with respect to this Amendment, and Tenant agrees to protect, defend, indemnify and hold Landlord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in any way arising or resulting from, or in connection with or related to any breach or inaccuracy of such representation and warranty.</w:t>
      </w:r>
    </w:p>
    <w:p>
      <w:pPr>
        <w:spacing w:after="0" w:line="66" w:lineRule="exact"/>
        <w:rPr>
          <w:rFonts w:ascii="Times New Roman" w:cs="Times New Roman" w:eastAsia="Times New Roman" w:hAnsi="Times New Roman"/>
          <w:sz w:val="17"/>
          <w:szCs w:val="17"/>
          <w:color w:val="auto"/>
        </w:rPr>
      </w:pPr>
    </w:p>
    <w:p>
      <w:pPr>
        <w:ind w:left="-20" w:right="200" w:firstLine="444"/>
        <w:spacing w:after="0" w:line="263" w:lineRule="auto"/>
        <w:tabs>
          <w:tab w:leader="none" w:pos="68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Landlord and Tenant hereby ratify and confirm their respective rights and obligations under the Lease, as amended hereby. Except as specifically herein amended, the Lease is and shall remain in full force and effect according to the terms thereof. In the event of any conflict between the terms of the Lease and the terms of this Amendment, the terms of this Amendment shall control.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9" w:right="499" w:bottom="1440" w:gutter="0" w:footer="0" w:header="0"/>
        </w:sectPr>
      </w:pPr>
    </w:p>
    <w:bookmarkStart w:id="665" w:name="page666"/>
    <w:bookmarkEnd w:id="665"/>
    <w:p>
      <w:pPr>
        <w:ind w:left="-20" w:right="20" w:firstLine="444"/>
        <w:spacing w:after="0" w:line="308" w:lineRule="auto"/>
        <w:tabs>
          <w:tab w:leader="none" w:pos="684"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Authority</w:t>
      </w:r>
      <w:r>
        <w:rPr>
          <w:rFonts w:ascii="Times New Roman" w:cs="Times New Roman" w:eastAsia="Times New Roman" w:hAnsi="Times New Roman"/>
          <w:sz w:val="17"/>
          <w:szCs w:val="17"/>
          <w:color w:val="auto"/>
        </w:rPr>
        <w:t>. Tenant warrants and represents to Landlord that Tenant has the right and power to enter into this Amendment and that the execution and performance by Tenant of its obligations under this Amendment have been duly authorized by Tenant and no further authorizations are required.</w:t>
      </w:r>
    </w:p>
    <w:p>
      <w:pPr>
        <w:spacing w:after="0" w:line="33" w:lineRule="exact"/>
        <w:rPr>
          <w:rFonts w:ascii="Times New Roman" w:cs="Times New Roman" w:eastAsia="Times New Roman" w:hAnsi="Times New Roman"/>
          <w:sz w:val="17"/>
          <w:szCs w:val="17"/>
          <w:color w:val="auto"/>
        </w:rPr>
      </w:pPr>
    </w:p>
    <w:p>
      <w:pPr>
        <w:jc w:val="both"/>
        <w:ind w:left="-20" w:firstLine="444"/>
        <w:spacing w:after="0" w:line="263" w:lineRule="auto"/>
        <w:tabs>
          <w:tab w:leader="none" w:pos="6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Neither Tenant nor its agents, employees or any other parties acting on behalf of Tenant shall disclose any matters set forth in this Amendment or disseminate or distribute any information concerning the terms, details or conditions hereof to any person, firm or entity without first obtaining the express written consent of Landlord.</w:t>
      </w:r>
    </w:p>
    <w:p>
      <w:pPr>
        <w:spacing w:after="0" w:line="68" w:lineRule="exact"/>
        <w:rPr>
          <w:rFonts w:ascii="Times New Roman" w:cs="Times New Roman" w:eastAsia="Times New Roman" w:hAnsi="Times New Roman"/>
          <w:sz w:val="18"/>
          <w:szCs w:val="18"/>
          <w:color w:val="auto"/>
        </w:rPr>
      </w:pPr>
    </w:p>
    <w:p>
      <w:pPr>
        <w:ind w:left="-20" w:right="160" w:firstLine="444"/>
        <w:spacing w:after="0" w:line="278" w:lineRule="auto"/>
        <w:tabs>
          <w:tab w:leader="none" w:pos="6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If an action is commenced between the parties in connection with the enforcement of any provision of this Amendment, the prevailing party in that action shall be entitled to recover its costs and expenses, including reasonable attorneys’ fees.</w:t>
      </w:r>
    </w:p>
    <w:p>
      <w:pPr>
        <w:spacing w:after="0" w:line="55" w:lineRule="exact"/>
        <w:rPr>
          <w:rFonts w:ascii="Times New Roman" w:cs="Times New Roman" w:eastAsia="Times New Roman" w:hAnsi="Times New Roman"/>
          <w:sz w:val="18"/>
          <w:szCs w:val="18"/>
          <w:color w:val="auto"/>
        </w:rPr>
      </w:pPr>
    </w:p>
    <w:p>
      <w:pPr>
        <w:ind w:left="-20" w:right="180" w:firstLine="444"/>
        <w:spacing w:after="0" w:line="278" w:lineRule="auto"/>
        <w:tabs>
          <w:tab w:leader="none" w:pos="6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Tenant agrees to perform, execute and deliver or cause to be performed, executed and delivered any and all such further acts, deeds and assurances as may be necessary to consummate the actions contemplated in this Amendment.</w:t>
      </w:r>
    </w:p>
    <w:p>
      <w:pPr>
        <w:spacing w:after="0" w:line="55" w:lineRule="exact"/>
        <w:rPr>
          <w:rFonts w:ascii="Times New Roman" w:cs="Times New Roman" w:eastAsia="Times New Roman" w:hAnsi="Times New Roman"/>
          <w:sz w:val="18"/>
          <w:szCs w:val="18"/>
          <w:color w:val="auto"/>
        </w:rPr>
      </w:pPr>
    </w:p>
    <w:p>
      <w:pPr>
        <w:ind w:left="-20" w:right="740" w:firstLine="444"/>
        <w:spacing w:after="0" w:line="278" w:lineRule="auto"/>
        <w:tabs>
          <w:tab w:leader="none" w:pos="6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upon and inure to the benefit of Landlord and Tenant and their respective successors and assigns.</w:t>
      </w:r>
    </w:p>
    <w:p>
      <w:pPr>
        <w:spacing w:after="0" w:line="55" w:lineRule="exact"/>
        <w:rPr>
          <w:rFonts w:ascii="Times New Roman" w:cs="Times New Roman" w:eastAsia="Times New Roman" w:hAnsi="Times New Roman"/>
          <w:sz w:val="18"/>
          <w:szCs w:val="18"/>
          <w:color w:val="auto"/>
        </w:rPr>
      </w:pPr>
    </w:p>
    <w:p>
      <w:pPr>
        <w:ind w:left="-20" w:right="60" w:firstLine="444"/>
        <w:spacing w:after="0" w:line="278" w:lineRule="auto"/>
        <w:tabs>
          <w:tab w:leader="none" w:pos="6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California Law</w:t>
      </w:r>
      <w:r>
        <w:rPr>
          <w:rFonts w:ascii="Times New Roman" w:cs="Times New Roman" w:eastAsia="Times New Roman" w:hAnsi="Times New Roman"/>
          <w:sz w:val="18"/>
          <w:szCs w:val="18"/>
          <w:color w:val="auto"/>
        </w:rPr>
        <w:t>. This Amendment and the obligations under this Amendment shall be construed in accordance with, governed by, and shall be subject to, the laws of the State of California.</w:t>
      </w:r>
    </w:p>
    <w:p>
      <w:pPr>
        <w:spacing w:after="0" w:line="55"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 The parties hereto agree that time is of the essence with respect to all covenants and agreements herein.</w:t>
      </w:r>
    </w:p>
    <w:p>
      <w:pPr>
        <w:spacing w:after="0" w:line="113" w:lineRule="exact"/>
        <w:rPr>
          <w:rFonts w:ascii="Times New Roman" w:cs="Times New Roman" w:eastAsia="Times New Roman" w:hAnsi="Times New Roman"/>
          <w:sz w:val="18"/>
          <w:szCs w:val="18"/>
          <w:color w:val="auto"/>
        </w:rPr>
      </w:pPr>
    </w:p>
    <w:p>
      <w:pPr>
        <w:ind w:left="-20" w:right="100" w:firstLine="444"/>
        <w:spacing w:after="0" w:line="278" w:lineRule="auto"/>
        <w:tabs>
          <w:tab w:leader="none" w:pos="6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identical counterparts each of which shall be deemed to be an original and all, when taken together, shall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9" w:right="519" w:bottom="1440" w:gutter="0" w:footer="0" w:header="0"/>
        </w:sectPr>
      </w:pPr>
    </w:p>
    <w:bookmarkStart w:id="666" w:name="page667"/>
    <w:bookmarkEnd w:id="666"/>
    <w:p>
      <w:pPr>
        <w:ind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Landlord and Tenant have caused their duly authorized representatives to execute this Amendment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 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Bruce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Bruce W. Jones</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Sean Duffy</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CEO</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480" w:top="268" w:right="639" w:bottom="1440" w:gutter="0" w:footer="0" w:header="0"/>
        </w:sectPr>
      </w:pPr>
    </w:p>
    <w:bookmarkStart w:id="667" w:name="page668"/>
    <w:bookmarkEnd w:id="66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A-1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EXPANSION PREMISES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265" w:right="1440" w:bottom="1440" w:gutter="0" w:footer="0" w:header="0"/>
        </w:sectPr>
      </w:pPr>
    </w:p>
    <w:bookmarkStart w:id="668" w:name="page669"/>
    <w:bookmarkEnd w:id="66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DISABILITY ACCESS OBLIGATIONS UNDER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ADMINISTRATIVE CODE CHAPTER 38</w:t>
      </w:r>
    </w:p>
    <w:p>
      <w:pPr>
        <w:spacing w:after="0" w:line="202"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Before you, as the Tenant, enter into a lease with us, Landlord, for the property identified below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please be aware of the following important information about the lease:</w:t>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 May Be Held Liable for Disability Access Violations on the Property. </w:t>
      </w:r>
      <w:r>
        <w:rPr>
          <w:rFonts w:ascii="Times New Roman" w:cs="Times New Roman" w:eastAsia="Times New Roman" w:hAnsi="Times New Roman"/>
          <w:sz w:val="18"/>
          <w:szCs w:val="18"/>
          <w:color w:val="auto"/>
        </w:rPr>
        <w:t>Even though you are not the owner of the Property, you, as the tenant,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Property owner, may still be subject to legal and financial liabilities if the leased Property does not comply with applicable Federal and State disability access laws. You may wish to consult with an attorney prior to entering this lease to make sure that you understand your obligations under Federal and State disability access laws. The Landlord must provide you with a copy of the Small Business Commission Access Information Notice under Section 38.6 of the San Francisco Administrative Code in your requested language. For more information about disability access laws applicable to small businesses, you may wish to visit the website of the San Francisco Office of Small Business or call 415-554-6134.</w:t>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Lease Must Specify Who Is Responsible for Making Any Required Disability Access Improvements to the Property. </w:t>
      </w:r>
      <w:r>
        <w:rPr>
          <w:rFonts w:ascii="Times New Roman" w:cs="Times New Roman" w:eastAsia="Times New Roman" w:hAnsi="Times New Roman"/>
          <w:sz w:val="18"/>
          <w:szCs w:val="18"/>
          <w:color w:val="auto"/>
        </w:rPr>
        <w:t>Under City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must include a provision in which you, the Tenant, and the Landlord agree upon your respective obligations and liabilities for making and paying for required disability access improvements on the leased Property. The lease must also require you and the Landlord to use reasonable efforts to notify each other if they make alterations to the leased Property that might impact accessibility under federal and state disability access laws. You may wish to review those provisions with your attorney prior to entering this lease to make sure that you understand your obligations under the 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subject to your lease is: Suite 200 and Suite 350, 500 Sansome Street, San Francisco, California.</w:t>
      </w:r>
    </w:p>
    <w:p>
      <w:pPr>
        <w:spacing w:after="0" w:line="221"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By signing below I confirm that I have read and understood this Disability Access Obligations Notice and have been provided a copy of the Small Business Commission’s Access Information Notice in the tenant’s requested language.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w:t>
            </w:r>
          </w:p>
        </w:tc>
        <w:tc>
          <w:tcPr>
            <w:tcW w:w="32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 xml:space="preserve">                                              </w:t>
            </w:r>
          </w:p>
        </w:tc>
        <w:tc>
          <w:tcPr>
            <w:tcW w:w="4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Tenant:</w:t>
            </w:r>
          </w:p>
        </w:tc>
      </w:tr>
      <w:tr>
        <w:trPr>
          <w:trHeight w:val="40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 LLC,</w:t>
            </w:r>
          </w:p>
        </w:tc>
        <w:tc>
          <w:tcPr>
            <w:tcW w:w="3200" w:type="dxa"/>
            <w:vAlign w:val="bottom"/>
          </w:tcPr>
          <w:p>
            <w:pPr>
              <w:spacing w:after="0"/>
              <w:rPr>
                <w:sz w:val="24"/>
                <w:szCs w:val="24"/>
                <w:color w:val="auto"/>
              </w:rPr>
            </w:pPr>
          </w:p>
        </w:tc>
        <w:tc>
          <w:tcPr>
            <w:tcW w:w="4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OMADA HEALTH, INC</w:t>
            </w:r>
          </w:p>
        </w:tc>
      </w:tr>
      <w:tr>
        <w:trPr>
          <w:trHeight w:val="233"/>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tc>
        <w:tc>
          <w:tcPr>
            <w:tcW w:w="3200" w:type="dxa"/>
            <w:vAlign w:val="bottom"/>
          </w:tcPr>
          <w:p>
            <w:pPr>
              <w:spacing w:after="0"/>
              <w:rPr>
                <w:sz w:val="20"/>
                <w:szCs w:val="20"/>
                <w:color w:val="auto"/>
              </w:rPr>
            </w:pPr>
          </w:p>
        </w:tc>
        <w:tc>
          <w:tcPr>
            <w:tcW w:w="4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1"/>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Bruce W. Jones</w:t>
            </w:r>
          </w:p>
        </w:tc>
        <w:tc>
          <w:tcPr>
            <w:tcW w:w="3200" w:type="dxa"/>
            <w:vAlign w:val="bottom"/>
          </w:tcPr>
          <w:p>
            <w:pPr>
              <w:spacing w:after="0"/>
              <w:rPr>
                <w:sz w:val="24"/>
                <w:szCs w:val="24"/>
                <w:color w:val="auto"/>
              </w:rPr>
            </w:pPr>
          </w:p>
        </w:tc>
        <w:tc>
          <w:tcPr>
            <w:tcW w:w="4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  /s/ Sean Duffy</w:t>
            </w:r>
          </w:p>
        </w:tc>
      </w:tr>
      <w:tr>
        <w:trPr>
          <w:trHeight w:val="202"/>
        </w:trPr>
        <w:tc>
          <w:tcPr>
            <w:tcW w:w="440" w:type="dxa"/>
            <w:vAlign w:val="bottom"/>
          </w:tcPr>
          <w:p>
            <w:pPr>
              <w:spacing w:after="0"/>
              <w:rPr>
                <w:sz w:val="17"/>
                <w:szCs w:val="17"/>
                <w:color w:val="auto"/>
              </w:rPr>
            </w:pPr>
          </w:p>
        </w:tc>
        <w:tc>
          <w:tcPr>
            <w:tcW w:w="32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 Bruce W. Jones</w:t>
            </w:r>
          </w:p>
        </w:tc>
        <w:tc>
          <w:tcPr>
            <w:tcW w:w="3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 Sean Duffy</w:t>
            </w:r>
          </w:p>
        </w:tc>
      </w:tr>
      <w:tr>
        <w:trPr>
          <w:trHeight w:val="233"/>
        </w:trPr>
        <w:tc>
          <w:tcPr>
            <w:tcW w:w="4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agent</w:t>
            </w:r>
          </w:p>
        </w:tc>
        <w:tc>
          <w:tcPr>
            <w:tcW w:w="3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Title: CEO</w:t>
            </w:r>
          </w:p>
        </w:tc>
      </w:tr>
      <w:tr>
        <w:trPr>
          <w:trHeight w:val="42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___________________</w:t>
            </w:r>
          </w:p>
        </w:tc>
        <w:tc>
          <w:tcPr>
            <w:tcW w:w="3200" w:type="dxa"/>
            <w:vAlign w:val="bottom"/>
          </w:tcPr>
          <w:p>
            <w:pPr>
              <w:spacing w:after="0"/>
              <w:rPr>
                <w:sz w:val="24"/>
                <w:szCs w:val="24"/>
                <w:color w:val="auto"/>
              </w:rPr>
            </w:pPr>
          </w:p>
        </w:tc>
        <w:tc>
          <w:tcPr>
            <w:tcW w:w="4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Date: 03/10/2016</w:t>
            </w:r>
          </w:p>
        </w:tc>
      </w:tr>
      <w:tr>
        <w:trPr>
          <w:trHeight w:val="361"/>
        </w:trPr>
        <w:tc>
          <w:tcPr>
            <w:tcW w:w="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0920"/>
          </w:cols>
          <w:pgMar w:left="480" w:top="265" w:right="499" w:bottom="1440" w:gutter="0" w:footer="0" w:header="0"/>
        </w:sectPr>
      </w:pPr>
    </w:p>
    <w:bookmarkStart w:id="669" w:name="page670"/>
    <w:bookmarkEnd w:id="6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C-1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THE TENANT IMPROVEMENTS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264" w:right="1440" w:bottom="1440" w:gutter="0" w:footer="0" w:header="0"/>
        </w:sectPr>
      </w:pPr>
    </w:p>
    <w:bookmarkStart w:id="670" w:name="page671"/>
    <w:bookmarkEnd w:id="670"/>
    <w:p>
      <w:pPr>
        <w:jc w:val="right"/>
        <w:spacing w:after="0"/>
        <w:rPr>
          <w:sz w:val="20"/>
          <w:szCs w:val="20"/>
          <w:color w:val="auto"/>
        </w:rPr>
      </w:pPr>
      <w:r>
        <w:rPr>
          <w:rFonts w:ascii="Times New Roman" w:cs="Times New Roman" w:eastAsia="Times New Roman" w:hAnsi="Times New Roman"/>
          <w:sz w:val="18"/>
          <w:szCs w:val="18"/>
          <w:b w:val="1"/>
          <w:bCs w:val="1"/>
          <w:color w:val="auto"/>
        </w:rPr>
        <w:t>Exhibit 10.2(c)</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OFFICE LEASE</w:t>
      </w:r>
    </w:p>
    <w:p>
      <w:pPr>
        <w:spacing w:after="0" w:line="221" w:lineRule="exact"/>
        <w:rPr>
          <w:sz w:val="20"/>
          <w:szCs w:val="20"/>
          <w:color w:val="auto"/>
        </w:rPr>
      </w:pPr>
    </w:p>
    <w:p>
      <w:pPr>
        <w:jc w:val="both"/>
        <w:ind w:right="460" w:firstLine="436"/>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THIS SECOND AMENDMENT TO OFFICE 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dated as of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July, 2019, is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500 SANSOME STREET INVESTORS, LLC</w:t>
      </w:r>
      <w:r>
        <w:rPr>
          <w:rFonts w:ascii="Times New Roman" w:cs="Times New Roman" w:eastAsia="Times New Roman" w:hAnsi="Times New Roman"/>
          <w:sz w:val="18"/>
          <w:szCs w:val="18"/>
          <w:color w:val="auto"/>
        </w:rPr>
        <w:t>, a California limited liability company (“</w:t>
      </w: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OMADA HEALTH,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color w:val="auto"/>
        </w:rPr>
        <w:t>”), with reference to the following:</w:t>
      </w:r>
    </w:p>
    <w:p>
      <w:pPr>
        <w:spacing w:after="0" w:line="193" w:lineRule="exact"/>
        <w:rPr>
          <w:sz w:val="20"/>
          <w:szCs w:val="20"/>
          <w:color w:val="auto"/>
        </w:rPr>
      </w:pPr>
    </w:p>
    <w:p>
      <w:pPr>
        <w:ind w:right="16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Landlord and Tenant entered into that certain 500 Sansome Lease dated April 30, 2014 (the “</w:t>
      </w:r>
      <w:r>
        <w:rPr>
          <w:rFonts w:ascii="Times New Roman" w:cs="Times New Roman" w:eastAsia="Times New Roman" w:hAnsi="Times New Roman"/>
          <w:sz w:val="18"/>
          <w:szCs w:val="18"/>
          <w:b w:val="1"/>
          <w:bCs w:val="1"/>
          <w:u w:val="single" w:color="auto"/>
          <w:color w:val="auto"/>
        </w:rPr>
        <w:t>Original Lease</w:t>
      </w:r>
      <w:r>
        <w:rPr>
          <w:rFonts w:ascii="Times New Roman" w:cs="Times New Roman" w:eastAsia="Times New Roman" w:hAnsi="Times New Roman"/>
          <w:sz w:val="18"/>
          <w:szCs w:val="18"/>
          <w:color w:val="auto"/>
        </w:rPr>
        <w:t>”), as amended by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Amendment to Office Lease dated as of March 10, 2016 (the “</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color w:val="auto"/>
        </w:rPr>
        <w:t>”; the Original Lease, as amended by the First Amendment, is hereinafter referred to as the “</w:t>
      </w:r>
      <w:r>
        <w:rPr>
          <w:rFonts w:ascii="Times New Roman" w:cs="Times New Roman" w:eastAsia="Times New Roman" w:hAnsi="Times New Roman"/>
          <w:sz w:val="18"/>
          <w:szCs w:val="18"/>
          <w:b w:val="1"/>
          <w:bCs w:val="1"/>
          <w:u w:val="single" w:color="auto"/>
          <w:color w:val="auto"/>
        </w:rPr>
        <w:t>Lease</w:t>
      </w:r>
      <w:r>
        <w:rPr>
          <w:rFonts w:ascii="Times New Roman" w:cs="Times New Roman" w:eastAsia="Times New Roman" w:hAnsi="Times New Roman"/>
          <w:sz w:val="18"/>
          <w:szCs w:val="18"/>
          <w:color w:val="auto"/>
        </w:rPr>
        <w:t>”), for the lease of certain premises comprised of (i) approximately 13,606 square feet of Rentable Area designated as Suite 200 and (ii) approximately 7,684 square feet of Rentable Area designated as Suite 350 (collectively, the “</w:t>
      </w:r>
      <w:r>
        <w:rPr>
          <w:rFonts w:ascii="Times New Roman" w:cs="Times New Roman" w:eastAsia="Times New Roman" w:hAnsi="Times New Roman"/>
          <w:sz w:val="18"/>
          <w:szCs w:val="18"/>
          <w:b w:val="1"/>
          <w:bCs w:val="1"/>
          <w:u w:val="single" w:color="auto"/>
          <w:color w:val="auto"/>
        </w:rPr>
        <w:t>Existing Premises</w:t>
      </w:r>
      <w:r>
        <w:rPr>
          <w:rFonts w:ascii="Times New Roman" w:cs="Times New Roman" w:eastAsia="Times New Roman" w:hAnsi="Times New Roman"/>
          <w:sz w:val="18"/>
          <w:szCs w:val="18"/>
          <w:color w:val="auto"/>
        </w:rPr>
        <w:t>”) in the building located at 500 Sansome Street, San Francisco, California (the “</w:t>
      </w:r>
      <w:r>
        <w:rPr>
          <w:rFonts w:ascii="Times New Roman" w:cs="Times New Roman" w:eastAsia="Times New Roman" w:hAnsi="Times New Roman"/>
          <w:sz w:val="18"/>
          <w:szCs w:val="18"/>
          <w:b w:val="1"/>
          <w:bCs w:val="1"/>
          <w:u w:val="single" w:color="auto"/>
          <w:color w:val="auto"/>
        </w:rPr>
        <w:t>Building</w:t>
      </w:r>
      <w:r>
        <w:rPr>
          <w:rFonts w:ascii="Times New Roman" w:cs="Times New Roman" w:eastAsia="Times New Roman" w:hAnsi="Times New Roman"/>
          <w:sz w:val="18"/>
          <w:szCs w:val="18"/>
          <w:color w:val="auto"/>
        </w:rPr>
        <w:t>”), as more particularly described in the Lease.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Term of the Lease with respect to the Existing Premises is scheduled to expire on July 31, 2020.</w:t>
      </w:r>
    </w:p>
    <w:p>
      <w:pPr>
        <w:spacing w:after="0" w:line="221"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Tenant desires to extend the Term of the Lease and to lease additional space in the Building, and Landlord is willing to accommodate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therefor, subject to certain terms and conditions.</w:t>
      </w:r>
    </w:p>
    <w:p>
      <w:pPr>
        <w:spacing w:after="0" w:line="156"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Landlord and Tenant now enter into this Amendment to amend the Lease in order to (i) expand the Existing Premises to include the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as defined below, (ii) extend the current Term of the Lease, (iii) provide for new Basic Rent schedules to account for such expansion and extension, and (iv) further amend the Lease as set forth herein.</w:t>
      </w:r>
    </w:p>
    <w:p>
      <w:pPr>
        <w:spacing w:after="0" w:line="17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Landlord and Tenant hereby agree as follows:</w:t>
      </w:r>
    </w:p>
    <w:p>
      <w:pPr>
        <w:spacing w:after="0" w:line="156" w:lineRule="exact"/>
        <w:rPr>
          <w:sz w:val="20"/>
          <w:szCs w:val="20"/>
          <w:color w:val="auto"/>
        </w:rPr>
      </w:pPr>
    </w:p>
    <w:p>
      <w:pPr>
        <w:ind w:firstLine="444"/>
        <w:spacing w:after="0" w:line="265" w:lineRule="auto"/>
        <w:tabs>
          <w:tab w:leader="none" w:pos="61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and not otherwise defined herein shall have the meanings ascribed to such terms in the Lease.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context clearly indicates otherwise, all references to the “Lease” in the Lease and in this Amendment shall hereinafter be deemed to refer to the Lease, as amended hereby.</w:t>
      </w:r>
    </w:p>
    <w:p>
      <w:pPr>
        <w:spacing w:after="0" w:line="170" w:lineRule="exact"/>
        <w:rPr>
          <w:rFonts w:ascii="Times New Roman" w:cs="Times New Roman" w:eastAsia="Times New Roman" w:hAnsi="Times New Roman"/>
          <w:sz w:val="18"/>
          <w:szCs w:val="18"/>
          <w:color w:val="auto"/>
        </w:rPr>
      </w:pPr>
    </w:p>
    <w:p>
      <w:pPr>
        <w:ind w:right="20" w:firstLine="444"/>
        <w:spacing w:after="0" w:line="253" w:lineRule="auto"/>
        <w:tabs>
          <w:tab w:leader="none" w:pos="61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Contingency</w:t>
      </w:r>
      <w:r>
        <w:rPr>
          <w:rFonts w:ascii="Times New Roman" w:cs="Times New Roman" w:eastAsia="Times New Roman" w:hAnsi="Times New Roman"/>
          <w:sz w:val="18"/>
          <w:szCs w:val="18"/>
          <w:color w:val="auto"/>
        </w:rPr>
        <w:t>. Tenant acknowledges that the effectiveness of this Amendment is expressly conditioned upon the vacation and surrender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Expansion Premises by the existing tenant therein (“</w:t>
      </w:r>
      <w:r>
        <w:rPr>
          <w:rFonts w:ascii="Times New Roman" w:cs="Times New Roman" w:eastAsia="Times New Roman" w:hAnsi="Times New Roman"/>
          <w:sz w:val="18"/>
          <w:szCs w:val="18"/>
          <w:b w:val="1"/>
          <w:bCs w:val="1"/>
          <w:u w:val="single" w:color="auto"/>
          <w:color w:val="auto"/>
        </w:rPr>
        <w:t>Existing Tenant</w:t>
      </w:r>
      <w:r>
        <w:rPr>
          <w:rFonts w:ascii="Times New Roman" w:cs="Times New Roman" w:eastAsia="Times New Roman" w:hAnsi="Times New Roman"/>
          <w:sz w:val="18"/>
          <w:szCs w:val="18"/>
          <w:color w:val="auto"/>
        </w:rPr>
        <w:t>”) in accordance with the terms and conditions of a separate written agreement between Landlord and Existing Tenant (the “</w:t>
      </w:r>
      <w:r>
        <w:rPr>
          <w:rFonts w:ascii="Times New Roman" w:cs="Times New Roman" w:eastAsia="Times New Roman" w:hAnsi="Times New Roman"/>
          <w:sz w:val="18"/>
          <w:szCs w:val="18"/>
          <w:b w:val="1"/>
          <w:bCs w:val="1"/>
          <w:u w:val="single" w:color="auto"/>
          <w:color w:val="auto"/>
        </w:rPr>
        <w:t>Termination Agreement</w:t>
      </w:r>
      <w:r>
        <w:rPr>
          <w:rFonts w:ascii="Times New Roman" w:cs="Times New Roman" w:eastAsia="Times New Roman" w:hAnsi="Times New Roman"/>
          <w:sz w:val="18"/>
          <w:szCs w:val="18"/>
          <w:color w:val="auto"/>
        </w:rPr>
        <w:t xml:space="preserve">”). If Existing Tenant fails to vacate and surrender the Expansion Premises by October 1, 2019 (as the same may be extended by the parties in writing) in accordance with the Termination Agreement, then either party shall have the right to terminate this Amendment in its entirety except with respect to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which shall survive such termination. Upon such termination, Tenant shall continue to lease the Existing Premises in accordance with the terms and conditions of the Lease without any modification, and the Term with respect thereto shall expire on July 31, 2020 as scheduled prior to this Amendment.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6" w:right="499" w:bottom="1440" w:gutter="0" w:footer="0" w:header="0"/>
        </w:sectPr>
      </w:pPr>
    </w:p>
    <w:bookmarkStart w:id="671" w:name="page672"/>
    <w:bookmarkEnd w:id="671"/>
    <w:p>
      <w:pPr>
        <w:ind w:left="613" w:hanging="176"/>
        <w:spacing w:after="0"/>
        <w:tabs>
          <w:tab w:leader="none" w:pos="613"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Addition of Expansion Premises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7" w:right="20" w:firstLine="990"/>
        <w:spacing w:after="0" w:line="253" w:lineRule="auto"/>
        <w:tabs>
          <w:tab w:leader="none" w:pos="1217" w:val="left"/>
        </w:tabs>
        <w:numPr>
          <w:ilvl w:val="2"/>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Delivery of Expansion Premises</w:t>
      </w:r>
      <w:r>
        <w:rPr>
          <w:rFonts w:ascii="Times New Roman" w:cs="Times New Roman" w:eastAsia="Times New Roman" w:hAnsi="Times New Roman"/>
          <w:sz w:val="17"/>
          <w:szCs w:val="17"/>
          <w:color w:val="auto"/>
        </w:rPr>
        <w:t>. In addition to the Existing Premises, effective as of the earliest to occur of (i) the date on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delivers possession of that certain premises consisting of approximately 7,223 square feet of Rentable Area designated as Suite 450 (the “</w:t>
      </w:r>
      <w:r>
        <w:rPr>
          <w:rFonts w:ascii="Times New Roman" w:cs="Times New Roman" w:eastAsia="Times New Roman" w:hAnsi="Times New Roman"/>
          <w:sz w:val="17"/>
          <w:szCs w:val="17"/>
          <w:b w:val="1"/>
          <w:bCs w:val="1"/>
          <w:u w:val="single" w:color="auto"/>
          <w:color w:val="auto"/>
        </w:rPr>
        <w:t>Expansion Premises</w:t>
      </w:r>
      <w:r>
        <w:rPr>
          <w:rFonts w:ascii="Times New Roman" w:cs="Times New Roman" w:eastAsia="Times New Roman" w:hAnsi="Times New Roman"/>
          <w:sz w:val="17"/>
          <w:szCs w:val="17"/>
          <w:color w:val="auto"/>
        </w:rPr>
        <w:t>”) located on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of the Building, as shown on </w:t>
      </w:r>
      <w:r>
        <w:rPr>
          <w:rFonts w:ascii="Times New Roman" w:cs="Times New Roman" w:eastAsia="Times New Roman" w:hAnsi="Times New Roman"/>
          <w:sz w:val="17"/>
          <w:szCs w:val="17"/>
          <w:u w:val="single" w:color="auto"/>
          <w:color w:val="auto"/>
        </w:rPr>
        <w:t>Exhibit A-1</w:t>
      </w:r>
      <w:r>
        <w:rPr>
          <w:rFonts w:ascii="Times New Roman" w:cs="Times New Roman" w:eastAsia="Times New Roman" w:hAnsi="Times New Roman"/>
          <w:sz w:val="17"/>
          <w:szCs w:val="17"/>
          <w:color w:val="auto"/>
        </w:rPr>
        <w:t xml:space="preserve"> attached hereto, with the Tenant Improvements Substantially Completed (as such terms are defined elsewhere in the Lease, as amended hereby), (ii) the date delivery would have occurred but for any delay caused by or attributable to Tenant (and for purposes of determining the number of days of such delay, Landlord shall look solely to the impact that any act or failure to act by Tenant, its employees, agents or representatives had on causing such delay); and (iii) the date on which Tenant occupies the Expansion Premises for the conduct of its business (in either event, the “</w:t>
      </w:r>
      <w:r>
        <w:rPr>
          <w:rFonts w:ascii="Times New Roman" w:cs="Times New Roman" w:eastAsia="Times New Roman" w:hAnsi="Times New Roman"/>
          <w:sz w:val="17"/>
          <w:szCs w:val="17"/>
          <w:b w:val="1"/>
          <w:bCs w:val="1"/>
          <w:u w:val="single" w:color="auto"/>
          <w:color w:val="auto"/>
        </w:rPr>
        <w:t>Expansion Premises Commencement Date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u w:val="single" w:color="auto"/>
          <w:color w:val="auto"/>
        </w:rPr>
        <w:t>EPCD</w:t>
      </w:r>
      <w:r>
        <w:rPr>
          <w:rFonts w:ascii="Times New Roman" w:cs="Times New Roman" w:eastAsia="Times New Roman" w:hAnsi="Times New Roman"/>
          <w:sz w:val="17"/>
          <w:szCs w:val="17"/>
          <w:color w:val="auto"/>
        </w:rPr>
        <w:t xml:space="preserve">” as used in the Basic Rent schedule in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below), Landlord shall lease to Tenant and Tenant shall lease from Landlord the Expansion Premises upon all of the terms and conditions of the Lease, as amended hereby. Upon Landlord’s request, Tenant shall execute and deliver to Landlord a document prepared by Landlord confirming, among other things: (1) the Expansion Space Commencement Date; (2) that Tenant has accepted the Expansion Premises; and</w:t>
      </w:r>
    </w:p>
    <w:p>
      <w:pPr>
        <w:spacing w:after="0" w:line="4" w:lineRule="exact"/>
        <w:rPr>
          <w:rFonts w:ascii="Times New Roman" w:cs="Times New Roman" w:eastAsia="Times New Roman" w:hAnsi="Times New Roman"/>
          <w:sz w:val="17"/>
          <w:szCs w:val="17"/>
          <w:color w:val="auto"/>
        </w:rPr>
      </w:pPr>
    </w:p>
    <w:p>
      <w:pPr>
        <w:ind w:left="-7" w:firstLine="7"/>
        <w:spacing w:after="0" w:line="250" w:lineRule="auto"/>
        <w:tabs>
          <w:tab w:leader="none" w:pos="24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Landlord has performed all of its obligations with respect to the Premises (except for punch list items specified in such document, if any); provided, however, that the failure of Tenant to execute such document shall not defer the Expansion Space Commencement Date or otherwise invalidate this Amendment. Tenant’s failure to execute such document within ten (10) business days of receipt thereof from Landlord shall be deemed to constitute Tenant’s agreement to the contents of such document.</w:t>
      </w:r>
    </w:p>
    <w:p>
      <w:pPr>
        <w:spacing w:after="0" w:line="184" w:lineRule="exact"/>
        <w:rPr>
          <w:rFonts w:ascii="Times New Roman" w:cs="Times New Roman" w:eastAsia="Times New Roman" w:hAnsi="Times New Roman"/>
          <w:sz w:val="18"/>
          <w:szCs w:val="18"/>
          <w:color w:val="auto"/>
        </w:rPr>
      </w:pPr>
    </w:p>
    <w:p>
      <w:pPr>
        <w:ind w:left="-7" w:firstLine="990"/>
        <w:spacing w:after="0" w:line="253" w:lineRule="auto"/>
        <w:tabs>
          <w:tab w:leader="none" w:pos="1227" w:val="left"/>
        </w:tabs>
        <w:numPr>
          <w:ilvl w:val="2"/>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 of Expansion Premises</w:t>
      </w:r>
      <w:r>
        <w:rPr>
          <w:rFonts w:ascii="Times New Roman" w:cs="Times New Roman" w:eastAsia="Times New Roman" w:hAnsi="Times New Roman"/>
          <w:sz w:val="18"/>
          <w:szCs w:val="18"/>
          <w:color w:val="auto"/>
        </w:rPr>
        <w:t>. Tenant acknowledges that Tenant shall lease the Expansion Premises on an “as is, where is”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prior to delivery, Landlord shall have (i) repainted the Expansion Premises, including accent walls with colors selected by Tenant and reasonably approved by Landlord; and (ii) replaced carpet in the previously carpeted areas (collectively, the “</w:t>
      </w:r>
      <w:r>
        <w:rPr>
          <w:rFonts w:ascii="Times New Roman" w:cs="Times New Roman" w:eastAsia="Times New Roman" w:hAnsi="Times New Roman"/>
          <w:sz w:val="18"/>
          <w:szCs w:val="18"/>
          <w:b w:val="1"/>
          <w:bCs w:val="1"/>
          <w:u w:val="single" w:color="auto"/>
          <w:color w:val="auto"/>
        </w:rPr>
        <w:t>Tenant Improvements</w:t>
      </w:r>
      <w:r>
        <w:rPr>
          <w:rFonts w:ascii="Times New Roman" w:cs="Times New Roman" w:eastAsia="Times New Roman" w:hAnsi="Times New Roman"/>
          <w:sz w:val="18"/>
          <w:szCs w:val="18"/>
          <w:color w:val="auto"/>
        </w:rPr>
        <w:t>”). Tenant’s taking possession of the Expansion Premises shall be deemed conclusive evidence that, as of the date of taking possession, the Expansion Premises is in satisfactory condition, subject to punch list items relating to the Tenant Improvements and any defects of the Tenant Improvements covered by the warranties provided by the contractors or subcontractors therefor. Tenant agrees that, except for the Tenant Improvements, Landlord has no obligation to make or pay for any improvements or renovations in or to the Existing Premises, the Expansion Premises or to otherwise prepare the same for Tenant’s use or occupancy.</w:t>
      </w:r>
    </w:p>
    <w:p>
      <w:pPr>
        <w:spacing w:after="0" w:line="180" w:lineRule="exact"/>
        <w:rPr>
          <w:rFonts w:ascii="Times New Roman" w:cs="Times New Roman" w:eastAsia="Times New Roman" w:hAnsi="Times New Roman"/>
          <w:sz w:val="18"/>
          <w:szCs w:val="18"/>
          <w:color w:val="auto"/>
        </w:rPr>
      </w:pPr>
    </w:p>
    <w:p>
      <w:pPr>
        <w:ind w:left="-7" w:right="100" w:firstLine="990"/>
        <w:spacing w:after="0" w:line="256" w:lineRule="auto"/>
        <w:tabs>
          <w:tab w:leader="none" w:pos="1217" w:val="left"/>
        </w:tabs>
        <w:numPr>
          <w:ilvl w:val="2"/>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Delay in Delivery</w:t>
      </w:r>
      <w:r>
        <w:rPr>
          <w:rFonts w:ascii="Times New Roman" w:cs="Times New Roman" w:eastAsia="Times New Roman" w:hAnsi="Times New Roman"/>
          <w:sz w:val="18"/>
          <w:szCs w:val="18"/>
          <w:color w:val="auto"/>
        </w:rPr>
        <w:t>. Landlord estimates that it shall deliver possession of the Expansion Premises to Tenant in the condition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on or about September 1, 2019 (the “</w:t>
      </w:r>
      <w:r>
        <w:rPr>
          <w:rFonts w:ascii="Times New Roman" w:cs="Times New Roman" w:eastAsia="Times New Roman" w:hAnsi="Times New Roman"/>
          <w:sz w:val="18"/>
          <w:szCs w:val="18"/>
          <w:b w:val="1"/>
          <w:bCs w:val="1"/>
          <w:u w:val="single" w:color="auto"/>
          <w:color w:val="auto"/>
        </w:rPr>
        <w:t>Estimated Delivery Date</w:t>
      </w:r>
      <w:r>
        <w:rPr>
          <w:rFonts w:ascii="Times New Roman" w:cs="Times New Roman" w:eastAsia="Times New Roman" w:hAnsi="Times New Roman"/>
          <w:sz w:val="18"/>
          <w:szCs w:val="18"/>
          <w:color w:val="auto"/>
        </w:rPr>
        <w:t xml:space="preserve">”). Without limiting Landlord’s right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if Landlord is unable to deliver possession of the Expansion Premises to Tenant in the condition required hereunder by the Estimated Delivery Date, then, subject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(i) the validity of this Amendment shall not be affected or impaired thereby; (ii) Landlord shall not be in default under the Lease or be liable for damages therefor; (iii) the Expansion</w:t>
      </w:r>
    </w:p>
    <w:p>
      <w:pPr>
        <w:spacing w:after="0" w:line="11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73"/>
          </w:cols>
          <w:pgMar w:left="487" w:top="264" w:right="539" w:bottom="1440" w:gutter="0" w:footer="0" w:header="0"/>
        </w:sectPr>
      </w:pPr>
    </w:p>
    <w:bookmarkStart w:id="672" w:name="page673"/>
    <w:bookmarkEnd w:id="672"/>
    <w:p>
      <w:pPr>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Premises Commencement Date shall not occur (and the Basic Rent for the Expansion Premises shall not commence) until such time as Landlord actually delivers possession of the Expansion Premises with the Tenant Improvements Substantially Completed; and (iv) Tenant shall accept delivery of possession of the Expansion Premises when Landlord actually delivers possession thereof to Tenant in accordance with the terms of this Amendment.</w:t>
      </w:r>
    </w:p>
    <w:p>
      <w:pPr>
        <w:spacing w:after="0" w:line="156" w:lineRule="exact"/>
        <w:rPr>
          <w:sz w:val="20"/>
          <w:szCs w:val="20"/>
          <w:color w:val="auto"/>
        </w:rPr>
      </w:pPr>
    </w:p>
    <w:p>
      <w:pPr>
        <w:ind w:right="180" w:firstLine="990"/>
        <w:spacing w:after="0" w:line="251" w:lineRule="auto"/>
        <w:tabs>
          <w:tab w:leader="none" w:pos="1234"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Early Access</w:t>
      </w:r>
      <w:r>
        <w:rPr>
          <w:rFonts w:ascii="Times New Roman" w:cs="Times New Roman" w:eastAsia="Times New Roman" w:hAnsi="Times New Roman"/>
          <w:sz w:val="18"/>
          <w:szCs w:val="18"/>
          <w:color w:val="auto"/>
        </w:rPr>
        <w:t>. Subject to Tenant’s delivery of an executed original of this Amendment, and the insurance certificates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insurance policies as required in the Lease, Landlord shall provide Tenant with early access to the Expansion Premises following the date on which Landlord determines the Premises is free and clear of any existing tenancy (the “</w:t>
      </w:r>
      <w:r>
        <w:rPr>
          <w:rFonts w:ascii="Times New Roman" w:cs="Times New Roman" w:eastAsia="Times New Roman" w:hAnsi="Times New Roman"/>
          <w:sz w:val="18"/>
          <w:szCs w:val="18"/>
          <w:b w:val="1"/>
          <w:bCs w:val="1"/>
          <w:u w:val="single" w:color="auto"/>
          <w:color w:val="auto"/>
        </w:rPr>
        <w:t>Access Date</w:t>
      </w:r>
      <w:r>
        <w:rPr>
          <w:rFonts w:ascii="Times New Roman" w:cs="Times New Roman" w:eastAsia="Times New Roman" w:hAnsi="Times New Roman"/>
          <w:sz w:val="18"/>
          <w:szCs w:val="18"/>
          <w:color w:val="auto"/>
        </w:rPr>
        <w:t>”). Such period of early access shall commence on the Access Date and continue through the date immediately preceding the Expansion Premises Commencement Date (the “</w:t>
      </w:r>
      <w:r>
        <w:rPr>
          <w:rFonts w:ascii="Times New Roman" w:cs="Times New Roman" w:eastAsia="Times New Roman" w:hAnsi="Times New Roman"/>
          <w:sz w:val="18"/>
          <w:szCs w:val="18"/>
          <w:b w:val="1"/>
          <w:bCs w:val="1"/>
          <w:u w:val="single" w:color="auto"/>
          <w:color w:val="auto"/>
        </w:rPr>
        <w:t>Early Access Period</w:t>
      </w:r>
      <w:r>
        <w:rPr>
          <w:rFonts w:ascii="Times New Roman" w:cs="Times New Roman" w:eastAsia="Times New Roman" w:hAnsi="Times New Roman"/>
          <w:sz w:val="18"/>
          <w:szCs w:val="18"/>
          <w:color w:val="auto"/>
        </w:rPr>
        <w:t>”). Tenant’s access to the Expansion Premises during the Early Access Period shall be subject to all of the terms and conditions of the Lease, as amended hereby, except for Tenant’s obligation to pay Rent (which obligation shall commence upon the Expansion Premises Commencement Date). During the Early Access Period, Tenant may enter the Expansion Premises for the sole purpose of installing telephones, electronic communication equipment, fixtures and furniture, provided that Tenant shall be solely responsible for all of the foregoing and for any loss or damage thereto from any cause whatsoever. Such early access and such installation shall be permitted only to the extent that such early access and installation activities will not materially interfere with Landlord’s performance of the Tenant Improvements.</w:t>
      </w:r>
    </w:p>
    <w:p>
      <w:pPr>
        <w:spacing w:after="0" w:line="189" w:lineRule="exact"/>
        <w:rPr>
          <w:rFonts w:ascii="Times New Roman" w:cs="Times New Roman" w:eastAsia="Times New Roman" w:hAnsi="Times New Roman"/>
          <w:sz w:val="18"/>
          <w:szCs w:val="18"/>
          <w:color w:val="auto"/>
        </w:rPr>
      </w:pPr>
    </w:p>
    <w:p>
      <w:pPr>
        <w:ind w:firstLine="990"/>
        <w:spacing w:after="0" w:line="259" w:lineRule="auto"/>
        <w:tabs>
          <w:tab w:leader="none" w:pos="1224"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Changes to Defined Terms</w:t>
      </w:r>
      <w:r>
        <w:rPr>
          <w:rFonts w:ascii="Times New Roman" w:cs="Times New Roman" w:eastAsia="Times New Roman" w:hAnsi="Times New Roman"/>
          <w:sz w:val="18"/>
          <w:szCs w:val="18"/>
          <w:color w:val="auto"/>
        </w:rPr>
        <w:t>. Effective on the Expansion Premises Commencement Date, (i) all references to the “Premises”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Lease shall mean and refer to the entirety of the space in the Existing Premises and the Expansion Premises, which together contain approximately 28,513 square feet of Rentable Area, (ii) all references in the Lease to “Exhibit A” shall mean and refer to Exhibit A of the Lease as modified by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 xml:space="preserve"> attached hereto, and (iii) “Tenant’s Proportionate Share” shall mean and refer to 18.49%.</w:t>
      </w:r>
    </w:p>
    <w:p>
      <w:pPr>
        <w:spacing w:after="0" w:line="176" w:lineRule="exact"/>
        <w:rPr>
          <w:rFonts w:ascii="Times New Roman" w:cs="Times New Roman" w:eastAsia="Times New Roman" w:hAnsi="Times New Roman"/>
          <w:sz w:val="18"/>
          <w:szCs w:val="18"/>
          <w:color w:val="auto"/>
        </w:rPr>
      </w:pPr>
    </w:p>
    <w:p>
      <w:pPr>
        <w:ind w:right="120" w:firstLine="444"/>
        <w:spacing w:after="0" w:line="255" w:lineRule="auto"/>
        <w:tabs>
          <w:tab w:leader="none" w:pos="61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Extension of Term</w:t>
      </w:r>
      <w:r>
        <w:rPr>
          <w:rFonts w:ascii="Times New Roman" w:cs="Times New Roman" w:eastAsia="Times New Roman" w:hAnsi="Times New Roman"/>
          <w:sz w:val="18"/>
          <w:szCs w:val="18"/>
          <w:color w:val="auto"/>
        </w:rPr>
        <w:t>. Notwithstanding anything to the contrary contained in the Lease, the Term of the Lease with respect to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shall be extended for a two (2) year period (the “</w:t>
      </w:r>
      <w:r>
        <w:rPr>
          <w:rFonts w:ascii="Times New Roman" w:cs="Times New Roman" w:eastAsia="Times New Roman" w:hAnsi="Times New Roman"/>
          <w:sz w:val="18"/>
          <w:szCs w:val="18"/>
          <w:b w:val="1"/>
          <w:bCs w:val="1"/>
          <w:u w:val="single" w:color="auto"/>
          <w:color w:val="auto"/>
        </w:rPr>
        <w:t>Existing Premises Extension Term</w:t>
      </w:r>
      <w:r>
        <w:rPr>
          <w:rFonts w:ascii="Times New Roman" w:cs="Times New Roman" w:eastAsia="Times New Roman" w:hAnsi="Times New Roman"/>
          <w:sz w:val="18"/>
          <w:szCs w:val="18"/>
          <w:color w:val="auto"/>
        </w:rPr>
        <w:t xml:space="preserve">”) commencing on August 1, 2020 and expiring on July 31, 2022, and all references to the Term Expiration Date, as used in the Lease, shall mean and refer to July 31, 2022. For the avoidance of doubt, the Term of the Lease with respect to the Existing Premises and the Term of the Lease with respect to the Expansion Premises shall expire concurrently on July 31, 2022.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Amendment, Tenant shall not have any right to extend the Term of the Lease beyond the Existing Premises Extension Term.</w:t>
      </w:r>
    </w:p>
    <w:p>
      <w:pPr>
        <w:spacing w:after="0" w:line="178" w:lineRule="exact"/>
        <w:rPr>
          <w:rFonts w:ascii="Times New Roman" w:cs="Times New Roman" w:eastAsia="Times New Roman" w:hAnsi="Times New Roman"/>
          <w:sz w:val="18"/>
          <w:szCs w:val="18"/>
          <w:color w:val="auto"/>
        </w:rPr>
      </w:pPr>
    </w:p>
    <w:p>
      <w:pPr>
        <w:ind w:firstLine="444"/>
        <w:spacing w:after="0" w:line="232" w:lineRule="auto"/>
        <w:tabs>
          <w:tab w:leader="none" w:pos="61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to Extend</w:t>
      </w:r>
      <w:r>
        <w:rPr>
          <w:rFonts w:ascii="Times New Roman" w:cs="Times New Roman" w:eastAsia="Times New Roman" w:hAnsi="Times New Roman"/>
          <w:sz w:val="18"/>
          <w:szCs w:val="18"/>
          <w:color w:val="auto"/>
        </w:rPr>
        <w:t>. Tenant shall have one (1) option to extend the Term of the Lease with respect to the entire Premises for a two (2) year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and in accordance with the terms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Original Lease, except that: (i) all references to “Initial Term” shall be deleted and replaced with “then-current Term”; (ii) the phrase “the day immediately preceding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Commencement Date” in the penultimate sentence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shall be deleted and replaced with “July 31, 2022”; and (iii) reference to “ninety-five percent (95%)” shall be deleted and replaced with “one hundred percent (100%)”.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9" w:right="499" w:bottom="1440" w:gutter="0" w:footer="0" w:header="0"/>
        </w:sectPr>
      </w:pPr>
    </w:p>
    <w:bookmarkStart w:id="673" w:name="page674"/>
    <w:bookmarkEnd w:id="673"/>
    <w:p>
      <w:pPr>
        <w:ind w:left="620" w:hanging="176"/>
        <w:spacing w:after="0"/>
        <w:tabs>
          <w:tab w:leader="none" w:pos="62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Basic Rent Payments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20" w:firstLine="990"/>
        <w:spacing w:after="0" w:line="265" w:lineRule="auto"/>
        <w:tabs>
          <w:tab w:leader="none" w:pos="1224"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Existing Premises</w:t>
      </w:r>
      <w:r>
        <w:rPr>
          <w:rFonts w:ascii="Times New Roman" w:cs="Times New Roman" w:eastAsia="Times New Roman" w:hAnsi="Times New Roman"/>
          <w:sz w:val="18"/>
          <w:szCs w:val="18"/>
          <w:color w:val="auto"/>
        </w:rPr>
        <w:t>. Prior to August 1, 2020, Tenant shall pay Basic Rent for the Existing Premises and all other rent required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 in accordance with the terms of the Lease. Commencing on August 1, 2020, in addition to all other rent required to be paid by Tenant under the Lease, as amended hereby, Tenant shall pay Basic Rent for the Existing Premises as follows:</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30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Annual Rate/SF of</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Monthly Basic</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Rentable Area</w:t>
            </w:r>
          </w:p>
        </w:tc>
        <w:tc>
          <w:tcPr>
            <w:tcW w:w="94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w w:val="98"/>
              </w:rPr>
              <w:t>Rent</w:t>
            </w:r>
          </w:p>
        </w:tc>
        <w:tc>
          <w:tcPr>
            <w:tcW w:w="0" w:type="dxa"/>
            <w:vAlign w:val="bottom"/>
          </w:tcPr>
          <w:p>
            <w:pPr>
              <w:spacing w:after="0"/>
              <w:rPr>
                <w:sz w:val="1"/>
                <w:szCs w:val="1"/>
                <w:color w:val="auto"/>
              </w:rPr>
            </w:pPr>
          </w:p>
        </w:tc>
      </w:tr>
      <w:tr>
        <w:trPr>
          <w:trHeight w:val="201"/>
        </w:trPr>
        <w:tc>
          <w:tcPr>
            <w:tcW w:w="34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8/1/20 – 7/31/21</w:t>
            </w:r>
          </w:p>
        </w:tc>
        <w:tc>
          <w:tcPr>
            <w:tcW w:w="2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65.00</w:t>
            </w:r>
          </w:p>
        </w:tc>
        <w:tc>
          <w:tcPr>
            <w:tcW w:w="6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$115,320.83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8/1/21 – 7/31/22</w:t>
            </w:r>
          </w:p>
        </w:tc>
        <w:tc>
          <w:tcPr>
            <w:tcW w:w="2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640" w:type="dxa"/>
            <w:vAlign w:val="bottom"/>
          </w:tcPr>
          <w:p>
            <w:pPr>
              <w:spacing w:after="0"/>
              <w:rPr>
                <w:sz w:val="20"/>
                <w:szCs w:val="20"/>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$118,780.46</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firstLine="990"/>
        <w:spacing w:after="0" w:line="265" w:lineRule="auto"/>
        <w:tabs>
          <w:tab w:leader="none" w:pos="123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Expansion Premises</w:t>
      </w:r>
      <w:r>
        <w:rPr>
          <w:rFonts w:ascii="Times New Roman" w:cs="Times New Roman" w:eastAsia="Times New Roman" w:hAnsi="Times New Roman"/>
          <w:sz w:val="18"/>
          <w:szCs w:val="18"/>
          <w:color w:val="auto"/>
        </w:rPr>
        <w:t>. Commencing on the Expansion Premises Commencement Date, in addition to the Basic Rent for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and all other rent required to be paid by Tenant under the Lease, as amended hereby, Tenant shall pay Basic Rent for the Expansion Premises in accordance with the following schedule:</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5320" w:type="dxa"/>
            <w:vAlign w:val="bottom"/>
            <w:vMerge w:val="restart"/>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Annual Rate/SF of</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Monthly</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Rentable Area</w:t>
            </w:r>
          </w:p>
        </w:tc>
        <w:tc>
          <w:tcPr>
            <w:tcW w:w="86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Basic Rent</w:t>
            </w:r>
          </w:p>
        </w:tc>
        <w:tc>
          <w:tcPr>
            <w:tcW w:w="0" w:type="dxa"/>
            <w:vAlign w:val="bottom"/>
          </w:tcPr>
          <w:p>
            <w:pPr>
              <w:spacing w:after="0"/>
              <w:rPr>
                <w:sz w:val="1"/>
                <w:szCs w:val="1"/>
                <w:color w:val="auto"/>
              </w:rPr>
            </w:pPr>
          </w:p>
        </w:tc>
      </w:tr>
      <w:tr>
        <w:trPr>
          <w:trHeight w:val="201"/>
        </w:trPr>
        <w:tc>
          <w:tcPr>
            <w:tcW w:w="57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EPCD – 7/31/21</w:t>
            </w: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65.00</w:t>
            </w: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$39,124.58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8/1/21 – 7/31/22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66.95</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$40,298.32</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In the event the Expansion Premises Commencement Date occurs on a day other than the first day of the calendar month, the Basic Rent for such partial month provided above shall be prorated based on the number of days in such partial month.</w:t>
      </w:r>
    </w:p>
    <w:p>
      <w:pPr>
        <w:spacing w:after="0" w:line="158" w:lineRule="exact"/>
        <w:rPr>
          <w:sz w:val="20"/>
          <w:szCs w:val="20"/>
          <w:color w:val="auto"/>
        </w:rPr>
      </w:pPr>
    </w:p>
    <w:p>
      <w:pPr>
        <w:ind w:left="620" w:hanging="176"/>
        <w:spacing w:after="0"/>
        <w:tabs>
          <w:tab w:leader="none" w:pos="62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Year</w:t>
      </w:r>
      <w:r>
        <w:rPr>
          <w:rFonts w:ascii="Times New Roman" w:cs="Times New Roman" w:eastAsia="Times New Roman" w:hAnsi="Times New Roman"/>
          <w:sz w:val="18"/>
          <w:szCs w:val="18"/>
          <w:color w:val="auto"/>
        </w:rPr>
        <w:t>. Effective as of August 1, 2020, the Base Year with respect to the entire Premises shall be calendar year 2020.</w:t>
      </w:r>
    </w:p>
    <w:p>
      <w:pPr>
        <w:spacing w:after="0" w:line="220" w:lineRule="exact"/>
        <w:rPr>
          <w:rFonts w:ascii="Times New Roman" w:cs="Times New Roman" w:eastAsia="Times New Roman" w:hAnsi="Times New Roman"/>
          <w:sz w:val="18"/>
          <w:szCs w:val="18"/>
          <w:color w:val="auto"/>
        </w:rPr>
      </w:pPr>
    </w:p>
    <w:p>
      <w:pPr>
        <w:ind w:right="380" w:firstLine="444"/>
        <w:spacing w:after="0" w:line="282" w:lineRule="auto"/>
        <w:tabs>
          <w:tab w:leader="none" w:pos="615"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 Landlord is holding a security deposit in the amount of $131,153.33. Landlord shall continue to hold such amount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Deposit during the remainder of the Term, as extended hereby.</w:t>
      </w:r>
    </w:p>
    <w:p>
      <w:pPr>
        <w:spacing w:after="0" w:line="155" w:lineRule="exact"/>
        <w:rPr>
          <w:rFonts w:ascii="Times New Roman" w:cs="Times New Roman" w:eastAsia="Times New Roman" w:hAnsi="Times New Roman"/>
          <w:sz w:val="18"/>
          <w:szCs w:val="18"/>
          <w:color w:val="auto"/>
        </w:rPr>
      </w:pPr>
    </w:p>
    <w:p>
      <w:pPr>
        <w:ind w:right="200" w:firstLine="444"/>
        <w:spacing w:after="0" w:line="269" w:lineRule="auto"/>
        <w:tabs>
          <w:tab w:leader="none" w:pos="615" w:val="left"/>
        </w:tabs>
        <w:numPr>
          <w:ilvl w:val="1"/>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Condition of Premises</w:t>
      </w:r>
      <w:r>
        <w:rPr>
          <w:rFonts w:ascii="Times New Roman" w:cs="Times New Roman" w:eastAsia="Times New Roman" w:hAnsi="Times New Roman"/>
          <w:sz w:val="17"/>
          <w:szCs w:val="17"/>
          <w:color w:val="auto"/>
        </w:rPr>
        <w:t>. Tenant acknowledges that (a) it has been occupying and continues to occupy the Existing Premises, (b) it is familiar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 the condition of the Existing Premises and, subject to the provisions of the Lease, accepts the same in its “as-is, where-is and with all faults” condition, (c) the taking of possession of the Expansion Premises by Tenant shall be conclusive evidence that Tenant accepts the same and the Tenant Improvements (subject to this Amendment, including the warranty set forth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below) in “as-is, where-is and with all faults” condition, and</w:t>
      </w:r>
    </w:p>
    <w:p>
      <w:pPr>
        <w:spacing w:after="0" w:line="2" w:lineRule="exact"/>
        <w:rPr>
          <w:rFonts w:ascii="Times New Roman" w:cs="Times New Roman" w:eastAsia="Times New Roman" w:hAnsi="Times New Roman"/>
          <w:sz w:val="17"/>
          <w:szCs w:val="17"/>
          <w:color w:val="auto"/>
        </w:rPr>
      </w:pPr>
    </w:p>
    <w:p>
      <w:pPr>
        <w:ind w:firstLine="7"/>
        <w:spacing w:after="0" w:line="256" w:lineRule="auto"/>
        <w:tabs>
          <w:tab w:leader="none" w:pos="252"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made no representation or warranty regarding the condition of any portion of the Premises, the Building, or the Project or the suitability thereof for Tenant’s business.</w:t>
      </w:r>
    </w:p>
    <w:p>
      <w:pPr>
        <w:spacing w:after="0" w:line="177" w:lineRule="exact"/>
        <w:rPr>
          <w:rFonts w:ascii="Times New Roman" w:cs="Times New Roman" w:eastAsia="Times New Roman" w:hAnsi="Times New Roman"/>
          <w:sz w:val="18"/>
          <w:szCs w:val="18"/>
          <w:color w:val="auto"/>
        </w:rPr>
      </w:pPr>
    </w:p>
    <w:p>
      <w:pPr>
        <w:ind w:right="200" w:firstLine="444"/>
        <w:spacing w:after="0" w:line="259" w:lineRule="auto"/>
        <w:tabs>
          <w:tab w:leader="none" w:pos="704"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Warranty</w:t>
      </w:r>
      <w:r>
        <w:rPr>
          <w:rFonts w:ascii="Times New Roman" w:cs="Times New Roman" w:eastAsia="Times New Roman" w:hAnsi="Times New Roman"/>
          <w:sz w:val="18"/>
          <w:szCs w:val="18"/>
          <w:color w:val="auto"/>
        </w:rPr>
        <w:t>. Notwithstanding anything to the contrary contained herein, Landlord warrants that for thirty (30) days following the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Commencement Date, the mechanical, electrical and plumbing systems located in and serving the Expansion Premises shall be in good working order. Landlord shall repair any defective or malfunctioning component of such systems (a) not caused by Tenant and (b) for which Landlord receives written notice from Tenant within such thirty (30) day period.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674" w:name="page675"/>
    <w:bookmarkEnd w:id="674"/>
    <w:p>
      <w:pPr>
        <w:ind w:left="-20" w:right="60" w:firstLine="444"/>
        <w:spacing w:after="0" w:line="253" w:lineRule="auto"/>
        <w:tabs>
          <w:tab w:leader="none" w:pos="677"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Opportunity to Negotiate</w:t>
      </w:r>
      <w:r>
        <w:rPr>
          <w:rFonts w:ascii="Times New Roman" w:cs="Times New Roman" w:eastAsia="Times New Roman" w:hAnsi="Times New Roman"/>
          <w:sz w:val="18"/>
          <w:szCs w:val="18"/>
          <w:color w:val="auto"/>
        </w:rPr>
        <w:t>. Subject to then-existing renewal or expansion options of other tenants (or, even if not a right under such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the renewal of a lease of any tenant by Landlord for an Available Space (as defined herein)), and provided no Event of Default then exists and Tenant is occupying the entire Premises, during the Term, as the same may be extended, if Landlord determines that any space in the Building (each, an “</w:t>
      </w:r>
      <w:r>
        <w:rPr>
          <w:rFonts w:ascii="Times New Roman" w:cs="Times New Roman" w:eastAsia="Times New Roman" w:hAnsi="Times New Roman"/>
          <w:sz w:val="18"/>
          <w:szCs w:val="18"/>
          <w:b w:val="1"/>
          <w:bCs w:val="1"/>
          <w:u w:val="single" w:color="auto"/>
          <w:color w:val="auto"/>
        </w:rPr>
        <w:t>Available Space</w:t>
      </w:r>
      <w:r>
        <w:rPr>
          <w:rFonts w:ascii="Times New Roman" w:cs="Times New Roman" w:eastAsia="Times New Roman" w:hAnsi="Times New Roman"/>
          <w:sz w:val="18"/>
          <w:szCs w:val="18"/>
          <w:color w:val="auto"/>
        </w:rPr>
        <w:t>”) is available for lease, then Landlord shall, as a courtesy, notify Tenant of such availability, and Tenant shall have the opportunity to offer the terms and conditions under which Tenant would lease such Available Space. Nothing in this provision shall be construed to (A) create an obligation by either party to enter into (i) negotiations with the other party or (ii) an agreement for the lease of an Available Space or (B) confer any right or option to Tenant with regard to an Available Space, and Landlord shall have the right at all times to negotiate the terms and conditions of a lease for an Available Space with any other party without obligation or liability to Tenant.</w:t>
      </w:r>
    </w:p>
    <w:p>
      <w:pPr>
        <w:spacing w:after="0" w:line="180" w:lineRule="exact"/>
        <w:rPr>
          <w:rFonts w:ascii="Times New Roman" w:cs="Times New Roman" w:eastAsia="Times New Roman" w:hAnsi="Times New Roman"/>
          <w:sz w:val="18"/>
          <w:szCs w:val="18"/>
          <w:color w:val="auto"/>
        </w:rPr>
      </w:pPr>
    </w:p>
    <w:p>
      <w:pPr>
        <w:ind w:left="-20" w:right="180" w:firstLine="444"/>
        <w:spacing w:after="0" w:line="282" w:lineRule="auto"/>
        <w:tabs>
          <w:tab w:leader="none" w:pos="68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Prior to Tenant’s occupancy of the Expansion Premises, Tenant shall provide Landlord with evidence of insurance coverage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the Expansion Premises, in the form and with the coverages required by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the Original Lease.</w:t>
      </w:r>
    </w:p>
    <w:p>
      <w:pPr>
        <w:spacing w:after="0" w:line="155" w:lineRule="exact"/>
        <w:rPr>
          <w:rFonts w:ascii="Times New Roman" w:cs="Times New Roman" w:eastAsia="Times New Roman" w:hAnsi="Times New Roman"/>
          <w:sz w:val="18"/>
          <w:szCs w:val="18"/>
          <w:color w:val="auto"/>
        </w:rPr>
      </w:pPr>
    </w:p>
    <w:p>
      <w:pPr>
        <w:ind w:left="-20" w:right="120" w:firstLine="444"/>
        <w:spacing w:after="0" w:line="265" w:lineRule="auto"/>
        <w:tabs>
          <w:tab w:leader="none" w:pos="68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Civil Code Section 1938 Advisory</w:t>
      </w:r>
      <w:r>
        <w:rPr>
          <w:rFonts w:ascii="Times New Roman" w:cs="Times New Roman" w:eastAsia="Times New Roman" w:hAnsi="Times New Roman"/>
          <w:sz w:val="18"/>
          <w:szCs w:val="18"/>
          <w:color w:val="auto"/>
        </w:rPr>
        <w:t>. The parties acknowledge and agree that the Premises has not been inspected by a Certified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Specialist (“</w:t>
      </w:r>
      <w:r>
        <w:rPr>
          <w:rFonts w:ascii="Times New Roman" w:cs="Times New Roman" w:eastAsia="Times New Roman" w:hAnsi="Times New Roman"/>
          <w:sz w:val="18"/>
          <w:szCs w:val="18"/>
          <w:b w:val="1"/>
          <w:bCs w:val="1"/>
          <w:u w:val="single" w:color="auto"/>
          <w:color w:val="auto"/>
        </w:rPr>
        <w:t>CASp</w:t>
      </w:r>
      <w:r>
        <w:rPr>
          <w:rFonts w:ascii="Times New Roman" w:cs="Times New Roman" w:eastAsia="Times New Roman" w:hAnsi="Times New Roman"/>
          <w:sz w:val="18"/>
          <w:szCs w:val="18"/>
          <w:color w:val="auto"/>
        </w:rPr>
        <w:t>”) pursuant to Section 1938 of the Civil Code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The parties further agree, pursuant to subdivision (e) of Section 55.53 of the Code the following:</w:t>
      </w:r>
    </w:p>
    <w:p>
      <w:pPr>
        <w:spacing w:after="0" w:line="174" w:lineRule="exact"/>
        <w:rPr>
          <w:rFonts w:ascii="Times New Roman" w:cs="Times New Roman" w:eastAsia="Times New Roman" w:hAnsi="Times New Roman"/>
          <w:sz w:val="18"/>
          <w:szCs w:val="18"/>
          <w:color w:val="auto"/>
        </w:rPr>
      </w:pPr>
    </w:p>
    <w:p>
      <w:pPr>
        <w:ind w:left="-20" w:right="100" w:firstLine="990"/>
        <w:spacing w:after="0" w:line="255" w:lineRule="auto"/>
        <w:tabs>
          <w:tab w:leader="none" w:pos="1205"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CASp can inspect the Premises and determine whether the Premises complies with all of the applicable construction-related accessibility standards under state law. Although state law does not require a CASp inspection of the Premises, Landlord may not prohibit Tenant from obtaining a CASp inspection of the Premises for the occupancy or potential occupancy of Tenant, if requested by Tenant. The parties shall mutually agree on the arrangements for the time and manner of the CASp inspection, the payment of the fee for the CASp inspection, and the cost of making any repairs necessary to correct violations of the construction-related accessibility standards within the Premises.</w:t>
      </w:r>
    </w:p>
    <w:p>
      <w:pPr>
        <w:spacing w:after="0" w:line="184" w:lineRule="exact"/>
        <w:rPr>
          <w:rFonts w:ascii="Times New Roman" w:cs="Times New Roman" w:eastAsia="Times New Roman" w:hAnsi="Times New Roman"/>
          <w:sz w:val="18"/>
          <w:szCs w:val="18"/>
          <w:color w:val="auto"/>
        </w:rPr>
      </w:pPr>
    </w:p>
    <w:p>
      <w:pPr>
        <w:ind w:left="-20" w:firstLine="990"/>
        <w:spacing w:after="0" w:line="253" w:lineRule="auto"/>
        <w:tabs>
          <w:tab w:leader="none" w:pos="1215"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paragraph above, the parties expressly agree that, if Tenant elects to obtain a CASp inspection of the Premises, Tenant shall be solely responsible for scheduling the inspection and that such inspection shall not unreasonably interfere with the operations of the Premises, the Building and/or the Project or disturb any other tenant or occupant. Tenant shall be solely responsible for any and all costs to perform the CASp inspection, including any ancillary costs relating thereto. If the results of the inspection determine that modifications or alterations are required to meet all applicable construction-related accessibility standards, Tenant agrees to perform such work, in its sole cost and expense and provided approvals from Landlord are obtained under the Lease. Tenant agrees that all work shall be performed in a first class manner in compliance with all laws and using best efforts to minimize any disruption to the Building, the Project and other tenants or occupants, if applicable.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4" w:right="499" w:bottom="1440" w:gutter="0" w:footer="0" w:header="0"/>
        </w:sectPr>
      </w:pPr>
    </w:p>
    <w:bookmarkStart w:id="675" w:name="page676"/>
    <w:bookmarkEnd w:id="675"/>
    <w:p>
      <w:pPr>
        <w:ind w:right="18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Furthermore, Tenant agrees that any report that is generated as a result of an inspection pursuant to this Section and all information contained therein, shall remain confidential, except as necessary for Tenant to complete repairs and/or correct violations, as agreed herein.</w:t>
      </w:r>
    </w:p>
    <w:p>
      <w:pPr>
        <w:spacing w:after="0" w:line="162" w:lineRule="exact"/>
        <w:rPr>
          <w:sz w:val="20"/>
          <w:szCs w:val="20"/>
          <w:color w:val="auto"/>
        </w:rPr>
      </w:pPr>
    </w:p>
    <w:p>
      <w:pPr>
        <w:ind w:left="1240" w:hanging="250"/>
        <w:spacing w:after="0"/>
        <w:tabs>
          <w:tab w:leader="none" w:pos="124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also makes the disclosure required by the City and County of San Francisco regarding handicapped access in </w:t>
      </w:r>
      <w:r>
        <w:rPr>
          <w:rFonts w:ascii="Times New Roman" w:cs="Times New Roman" w:eastAsia="Times New Roman" w:hAnsi="Times New Roman"/>
          <w:sz w:val="18"/>
          <w:szCs w:val="18"/>
          <w:u w:val="single" w:color="auto"/>
          <w:color w:val="auto"/>
        </w:rPr>
        <w:t>Exhibit B</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w:t>
      </w:r>
    </w:p>
    <w:p>
      <w:pPr>
        <w:spacing w:after="0" w:line="198"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immediately, Landlord’s address for notices under the Lease shall be as follows:</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500 Sansome Street Investors, LLC</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201 Seminary Drive</w:t>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Mill Valley, CA 94941</w:t>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Attention: Bruce W. Jones</w:t>
      </w:r>
    </w:p>
    <w:p>
      <w:pPr>
        <w:spacing w:after="0" w:line="9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Charles F. Hedges, Jr.</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Fasken Oil and Ranch, Ltd.</w:t>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6101 Holiday Hill Road</w:t>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Midland, TX 79707</w:t>
      </w:r>
    </w:p>
    <w:p>
      <w:pPr>
        <w:spacing w:after="0" w:line="198" w:lineRule="exact"/>
        <w:rPr>
          <w:sz w:val="20"/>
          <w:szCs w:val="20"/>
          <w:color w:val="auto"/>
        </w:rPr>
      </w:pPr>
    </w:p>
    <w:p>
      <w:pPr>
        <w:ind w:left="720" w:hanging="276"/>
        <w:spacing w:after="0"/>
        <w:tabs>
          <w:tab w:leader="none" w:pos="72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Tenant’s Estoppel</w:t>
      </w:r>
      <w:r>
        <w:rPr>
          <w:rFonts w:ascii="Times New Roman" w:cs="Times New Roman" w:eastAsia="Times New Roman" w:hAnsi="Times New Roman"/>
          <w:sz w:val="18"/>
          <w:szCs w:val="18"/>
          <w:color w:val="auto"/>
        </w:rPr>
        <w:t>. Tenant hereby certifies, as of the date of the execution of this Amendment by Tenant, that: (a) to Tenant’s actual</w:t>
      </w:r>
    </w:p>
    <w:p>
      <w:pPr>
        <w:spacing w:after="0" w:line="29" w:lineRule="exact"/>
        <w:rPr>
          <w:rFonts w:ascii="Times New Roman" w:cs="Times New Roman" w:eastAsia="Times New Roman" w:hAnsi="Times New Roman"/>
          <w:sz w:val="18"/>
          <w:szCs w:val="18"/>
          <w:color w:val="auto"/>
        </w:rPr>
      </w:pPr>
    </w:p>
    <w:p>
      <w:pPr>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Landlord is not in default in any respect under the Lease; (b) Tenant does not have any defenses to its obligations under the Lease; (c) there are no offsets against rent or any other amount payable in connection with the Lease; and (d) Landlord is holding a security deposit in the amount of $131,153.33 under the Lease. Without limiting the generality of the foregoing, Tenant acknowledges and agrees that it has received year-end statements providing Landlord’s reconciliation of additional rent payable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Original Lease for all applicable calendar years of the Term through and including calendar year 2018, and all amounts shown on such statements are deemed final and binding on Tenant. Tenant waives any right to challenge or assert any Claims (as defined herein) based on any such additional rent chargeable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Original Lease for said prior years of the Term. Tenant acknowledges and agrees that: (i) the representations set forth in this Amendment constitute a material consideration to Landlord in entering into this Amendment; (ii) such representations are being made by Tenant for purposes of inducing Landlord to enter into this Amendment; and (iii) Landlord is relying on such representations in entering into this Amendment.</w:t>
      </w:r>
    </w:p>
    <w:p>
      <w:pPr>
        <w:spacing w:after="0" w:line="184" w:lineRule="exact"/>
        <w:rPr>
          <w:rFonts w:ascii="Times New Roman" w:cs="Times New Roman" w:eastAsia="Times New Roman" w:hAnsi="Times New Roman"/>
          <w:sz w:val="18"/>
          <w:szCs w:val="18"/>
          <w:color w:val="auto"/>
        </w:rPr>
      </w:pPr>
    </w:p>
    <w:p>
      <w:pPr>
        <w:ind w:right="180" w:firstLine="444"/>
        <w:spacing w:after="0" w:line="265" w:lineRule="auto"/>
        <w:tabs>
          <w:tab w:leader="none" w:pos="704"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Amendment contains the entire agreement and understanding between the parties concerning the subject matter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supersedes all prior agreements, terms, understandings, conditions, representations and warranties, whether written or oral, concerning the matters that are the subject of this Amendment.</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480" w:top="268" w:right="579" w:bottom="1440" w:gutter="0" w:footer="0" w:header="0"/>
        </w:sectPr>
      </w:pPr>
    </w:p>
    <w:bookmarkStart w:id="676" w:name="page677"/>
    <w:bookmarkEnd w:id="676"/>
    <w:p>
      <w:pPr>
        <w:ind w:left="-20" w:right="220" w:firstLine="444"/>
        <w:spacing w:after="0" w:line="282"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If any term of this Amendment is held by a court of competent jurisdiction to be invalid, void or unenforceable,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Amendment shall remain in full force and effect and shall in no way be affected, impaired or invalidated.</w:t>
      </w:r>
    </w:p>
    <w:p>
      <w:pPr>
        <w:spacing w:after="0" w:line="155" w:lineRule="exact"/>
        <w:rPr>
          <w:rFonts w:ascii="Times New Roman" w:cs="Times New Roman" w:eastAsia="Times New Roman" w:hAnsi="Times New Roman"/>
          <w:sz w:val="18"/>
          <w:szCs w:val="18"/>
          <w:color w:val="auto"/>
        </w:rPr>
      </w:pPr>
    </w:p>
    <w:p>
      <w:pPr>
        <w:ind w:left="-20" w:right="120" w:firstLine="444"/>
        <w:spacing w:after="0" w:line="272" w:lineRule="auto"/>
        <w:tabs>
          <w:tab w:leader="none" w:pos="684"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Brokers</w:t>
      </w:r>
      <w:r>
        <w:rPr>
          <w:rFonts w:ascii="Times New Roman" w:cs="Times New Roman" w:eastAsia="Times New Roman" w:hAnsi="Times New Roman"/>
          <w:sz w:val="17"/>
          <w:szCs w:val="17"/>
          <w:color w:val="auto"/>
        </w:rPr>
        <w:t>. Tenant hereby represents and warrants to Landlord that Tenant has not entered into any agreement or taken any other action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might result in any obligation on the part of Landlord or Tenant to pay any brokerage commission, finder’s fee or other compensation with respect to this Amendment, and Tenant agrees to protect, defend, indemnify and hold Landlord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Times New Roman" w:cs="Times New Roman" w:eastAsia="Times New Roman" w:hAnsi="Times New Roman"/>
          <w:sz w:val="17"/>
          <w:szCs w:val="17"/>
          <w:b w:val="1"/>
          <w:bCs w:val="1"/>
          <w:u w:val="single" w:color="auto"/>
          <w:color w:val="auto"/>
        </w:rPr>
        <w:t>Claims</w:t>
      </w:r>
      <w:r>
        <w:rPr>
          <w:rFonts w:ascii="Times New Roman" w:cs="Times New Roman" w:eastAsia="Times New Roman" w:hAnsi="Times New Roman"/>
          <w:sz w:val="17"/>
          <w:szCs w:val="17"/>
          <w:color w:val="auto"/>
        </w:rPr>
        <w:t>”) in any way arising or resulting from, or in connection with or related to any breach or inaccuracy of such representation and warranty.</w:t>
      </w:r>
    </w:p>
    <w:p>
      <w:pPr>
        <w:spacing w:after="0" w:line="168" w:lineRule="exact"/>
        <w:rPr>
          <w:rFonts w:ascii="Times New Roman" w:cs="Times New Roman" w:eastAsia="Times New Roman" w:hAnsi="Times New Roman"/>
          <w:sz w:val="17"/>
          <w:szCs w:val="17"/>
          <w:color w:val="auto"/>
        </w:rPr>
      </w:pPr>
    </w:p>
    <w:p>
      <w:pPr>
        <w:ind w:left="-20" w:right="200" w:firstLine="444"/>
        <w:spacing w:after="0" w:line="265"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w:t>
      </w:r>
      <w:r>
        <w:rPr>
          <w:rFonts w:ascii="Times New Roman" w:cs="Times New Roman" w:eastAsia="Times New Roman" w:hAnsi="Times New Roman"/>
          <w:sz w:val="18"/>
          <w:szCs w:val="18"/>
          <w:color w:val="auto"/>
        </w:rPr>
        <w:t>. Landlord and Tenant hereby ratify and confirm their respective rights and obligations under the Lease, as amended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herein amended, the Lease is and shall remain in full force and effect according to the terms thereof. In the event of any conflict between the terms of the Lease and the terms of this Amendment, the terms of this Amendment shall control.</w:t>
      </w:r>
    </w:p>
    <w:p>
      <w:pPr>
        <w:spacing w:after="0" w:line="170" w:lineRule="exact"/>
        <w:rPr>
          <w:rFonts w:ascii="Times New Roman" w:cs="Times New Roman" w:eastAsia="Times New Roman" w:hAnsi="Times New Roman"/>
          <w:sz w:val="18"/>
          <w:szCs w:val="18"/>
          <w:color w:val="auto"/>
        </w:rPr>
      </w:pPr>
    </w:p>
    <w:p>
      <w:pPr>
        <w:ind w:left="-20" w:right="260" w:firstLine="444"/>
        <w:spacing w:after="0" w:line="265"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Tenant warrants and represents to Landlord that Tenant has the right and power to enter into this Amendment and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performance by Tenant of its obligations under this Amendment have been duly authorized by Tenant and no further authorizations are required.</w:t>
      </w:r>
    </w:p>
    <w:p>
      <w:pPr>
        <w:spacing w:after="0" w:line="170" w:lineRule="exact"/>
        <w:rPr>
          <w:rFonts w:ascii="Times New Roman" w:cs="Times New Roman" w:eastAsia="Times New Roman" w:hAnsi="Times New Roman"/>
          <w:sz w:val="18"/>
          <w:szCs w:val="18"/>
          <w:color w:val="auto"/>
        </w:rPr>
      </w:pPr>
    </w:p>
    <w:p>
      <w:pPr>
        <w:jc w:val="both"/>
        <w:ind w:left="-20" w:right="20" w:firstLine="444"/>
        <w:spacing w:after="0" w:line="265"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w:t>
      </w:r>
      <w:r>
        <w:rPr>
          <w:rFonts w:ascii="Times New Roman" w:cs="Times New Roman" w:eastAsia="Times New Roman" w:hAnsi="Times New Roman"/>
          <w:sz w:val="18"/>
          <w:szCs w:val="18"/>
          <w:color w:val="auto"/>
        </w:rPr>
        <w:t>. Neither Tenant nor its agents, employees or any other parties acting on behalf of Tenant shall disclose any matters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or disseminate or distribute any information concerning the terms, details or conditions hereof to any person, firm or entity without first obtaining the express written consent of Landlord.</w:t>
      </w:r>
    </w:p>
    <w:p>
      <w:pPr>
        <w:spacing w:after="0" w:line="170" w:lineRule="exact"/>
        <w:rPr>
          <w:rFonts w:ascii="Times New Roman" w:cs="Times New Roman" w:eastAsia="Times New Roman" w:hAnsi="Times New Roman"/>
          <w:sz w:val="18"/>
          <w:szCs w:val="18"/>
          <w:color w:val="auto"/>
        </w:rPr>
      </w:pPr>
    </w:p>
    <w:p>
      <w:pPr>
        <w:ind w:left="-20" w:right="120" w:firstLine="444"/>
        <w:spacing w:after="0" w:line="282"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an action is commenced between the parties in connection with the enforcement of any provision of this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prevailing party in that action shall be entitled to recover its costs and expenses, including reasonable attorneys’ fees.</w:t>
      </w:r>
    </w:p>
    <w:p>
      <w:pPr>
        <w:spacing w:after="0" w:line="155" w:lineRule="exact"/>
        <w:rPr>
          <w:rFonts w:ascii="Times New Roman" w:cs="Times New Roman" w:eastAsia="Times New Roman" w:hAnsi="Times New Roman"/>
          <w:sz w:val="18"/>
          <w:szCs w:val="18"/>
          <w:color w:val="auto"/>
        </w:rPr>
      </w:pPr>
    </w:p>
    <w:p>
      <w:pPr>
        <w:ind w:left="-20" w:right="80" w:firstLine="444"/>
        <w:spacing w:after="0" w:line="282"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Tenant agrees to perform, execute and deliver or cause to be performed, executed and delivered any and all such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acts, deeds and assurances as may be necessary to consummate the actions contemplated in this Amendment.</w:t>
      </w:r>
    </w:p>
    <w:p>
      <w:pPr>
        <w:spacing w:after="0" w:line="155" w:lineRule="exact"/>
        <w:rPr>
          <w:rFonts w:ascii="Times New Roman" w:cs="Times New Roman" w:eastAsia="Times New Roman" w:hAnsi="Times New Roman"/>
          <w:sz w:val="18"/>
          <w:szCs w:val="18"/>
          <w:color w:val="auto"/>
        </w:rPr>
      </w:pPr>
    </w:p>
    <w:p>
      <w:pPr>
        <w:ind w:left="-20" w:right="680" w:firstLine="444"/>
        <w:spacing w:after="0" w:line="282"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Amendment shall be binding upon and inure to the benefit of Landlord and Tenant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w:t>
      </w:r>
    </w:p>
    <w:p>
      <w:pPr>
        <w:spacing w:after="0" w:line="155" w:lineRule="exact"/>
        <w:rPr>
          <w:rFonts w:ascii="Times New Roman" w:cs="Times New Roman" w:eastAsia="Times New Roman" w:hAnsi="Times New Roman"/>
          <w:sz w:val="18"/>
          <w:szCs w:val="18"/>
          <w:color w:val="auto"/>
        </w:rPr>
      </w:pPr>
    </w:p>
    <w:p>
      <w:pPr>
        <w:ind w:left="-20" w:firstLine="444"/>
        <w:spacing w:after="0" w:line="282" w:lineRule="auto"/>
        <w:tabs>
          <w:tab w:leader="none" w:pos="6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California Law</w:t>
      </w:r>
      <w:r>
        <w:rPr>
          <w:rFonts w:ascii="Times New Roman" w:cs="Times New Roman" w:eastAsia="Times New Roman" w:hAnsi="Times New Roman"/>
          <w:sz w:val="18"/>
          <w:szCs w:val="18"/>
          <w:color w:val="auto"/>
        </w:rPr>
        <w:t>. This Amendment and the obligations under this Amendment shall be construed in accordance with, governed by,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laws of the State of California.</w:t>
      </w:r>
    </w:p>
    <w:p>
      <w:pPr>
        <w:spacing w:after="0" w:line="155"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Time of Essence</w:t>
      </w:r>
      <w:r>
        <w:rPr>
          <w:rFonts w:ascii="Times New Roman" w:cs="Times New Roman" w:eastAsia="Times New Roman" w:hAnsi="Times New Roman"/>
          <w:sz w:val="18"/>
          <w:szCs w:val="18"/>
          <w:color w:val="auto"/>
        </w:rPr>
        <w:t>. The parties hereto agree that time is of the essence with respect to all covenants and agreements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64" w:right="499" w:bottom="1440" w:gutter="0" w:footer="0" w:header="0"/>
        </w:sectPr>
      </w:pPr>
    </w:p>
    <w:bookmarkStart w:id="677" w:name="page678"/>
    <w:bookmarkEnd w:id="677"/>
    <w:p>
      <w:pPr>
        <w:ind w:right="280" w:firstLine="444"/>
        <w:spacing w:after="0" w:line="313" w:lineRule="auto"/>
        <w:tabs>
          <w:tab w:leader="none" w:pos="704"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No Offer</w:t>
      </w:r>
      <w:r>
        <w:rPr>
          <w:rFonts w:ascii="Times New Roman" w:cs="Times New Roman" w:eastAsia="Times New Roman" w:hAnsi="Times New Roman"/>
          <w:sz w:val="17"/>
          <w:szCs w:val="17"/>
          <w:color w:val="auto"/>
        </w:rPr>
        <w:t>. Submission of this instrument for examination and signature by Tenant does not constitute an offer to lease or a reservation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for lease, and this instrument is not effective as a lease amendment or otherwise until executed and delivered by both Landlord and Tenant.</w:t>
      </w:r>
    </w:p>
    <w:p>
      <w:pPr>
        <w:spacing w:after="0" w:line="132" w:lineRule="exact"/>
        <w:rPr>
          <w:rFonts w:ascii="Times New Roman" w:cs="Times New Roman" w:eastAsia="Times New Roman" w:hAnsi="Times New Roman"/>
          <w:sz w:val="17"/>
          <w:szCs w:val="17"/>
          <w:color w:val="auto"/>
        </w:rPr>
      </w:pPr>
    </w:p>
    <w:p>
      <w:pPr>
        <w:ind w:firstLine="444"/>
        <w:spacing w:after="0" w:line="282" w:lineRule="auto"/>
        <w:tabs>
          <w:tab w:leader="none" w:pos="704"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any number of identical counterparts each of which shall be deemed to be an original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when taken together, shall constitute one and the same instrument.</w:t>
      </w:r>
    </w:p>
    <w:p>
      <w:pPr>
        <w:spacing w:after="0" w:line="160"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IN WITNESS WHEREOF, Landlord and Tenant have caused their duly authorized representatives to execute this Amendment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 LLC</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Bruce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Bruce W. Jones</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Agent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Sean Duffy</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CEO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4" w:right="499" w:bottom="1440" w:gutter="0" w:footer="0" w:header="0"/>
        </w:sectPr>
      </w:pPr>
    </w:p>
    <w:bookmarkStart w:id="678" w:name="page679"/>
    <w:bookmarkEnd w:id="67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EXPANSION PREMISES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19"/>
          </w:cols>
          <w:pgMar w:left="1440" w:top="264" w:right="1440" w:bottom="1440" w:gutter="0" w:footer="0" w:header="0"/>
        </w:sectPr>
      </w:pPr>
    </w:p>
    <w:bookmarkStart w:id="679" w:name="page680"/>
    <w:bookmarkEnd w:id="6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DISABILITY ACCESS OBLIGATIONS UNDER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FRANCISCO ADMINISTRATIVE CODE CHAPTER 38</w:t>
      </w:r>
    </w:p>
    <w:p>
      <w:pPr>
        <w:spacing w:after="0" w:line="20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Before you, as the Tenant, enter into a lease with us, Landlord, for the property identified below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please be aware of the following important information about the lease:</w:t>
      </w:r>
    </w:p>
    <w:p>
      <w:pPr>
        <w:spacing w:after="0" w:line="1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 May Be Held Liable for Disability Access Violations on the Property. </w:t>
      </w:r>
      <w:r>
        <w:rPr>
          <w:rFonts w:ascii="Times New Roman" w:cs="Times New Roman" w:eastAsia="Times New Roman" w:hAnsi="Times New Roman"/>
          <w:sz w:val="18"/>
          <w:szCs w:val="18"/>
          <w:color w:val="auto"/>
        </w:rPr>
        <w:t>Even though you are not the owner of the Property, you, as the tenant,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Property owner, may still be subject to legal and financial liabilities if the leased Property does not comply with applicable Federal and State disability access laws. You may wish to consult with an attorney prior to entering this lease amendment to make sure that you understand your obligations under Federal and State disability access laws. The Landlord must provide you with a copy of the Small Business Commission Access Information Notice under Section 38.6 of the San Francisco Administrative Code in your requested language. For more information about disability access laws applicable to small businesses, you may wish to visit the website of the San Francisco Office of Small Business or call 415-554-6134.</w:t>
      </w:r>
    </w:p>
    <w:p>
      <w:pPr>
        <w:spacing w:after="0" w:line="17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Lease Must Specify Who Is Responsible for Making Any Required Disability Access Improvements to the Property. </w:t>
      </w:r>
      <w:r>
        <w:rPr>
          <w:rFonts w:ascii="Times New Roman" w:cs="Times New Roman" w:eastAsia="Times New Roman" w:hAnsi="Times New Roman"/>
          <w:sz w:val="17"/>
          <w:szCs w:val="17"/>
          <w:color w:val="auto"/>
        </w:rPr>
        <w:t>Under City law,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lease must include a provision in which you, the Tenant, and the Landlord agree upon your respective obligations and liabilities for making and paying for required disability access improvements on the leased Property. The lease must also require you and the Landlord to use reasonable efforts to notify each other if they make alterations to the leased Property that might impact accessibility under federal and state disability access laws. You may wish to review those provisions with your attorney prior to entering this lease amendment to make sure that you understand your obligations under the lease.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subject to your lease is: Suites 200, 350 &amp; 450, 500 Sansome Street, San Francisco, California.</w:t>
      </w:r>
    </w:p>
    <w:p>
      <w:pPr>
        <w:spacing w:after="0" w:line="221"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By signing below I confirm that I have read and understood this Disability Access Obligations Notice and have been provided a copy of the Small Business Commission’s Access Information Notice in the tenant’s requested language.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Landlord: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 xml:space="preserve">                                              </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Tenant: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31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OMADA HEALTH, INC</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3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California limited liability company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92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w w:val="99"/>
              </w:rPr>
              <w:t>a Delaware corporation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1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By:           </w:t>
            </w:r>
          </w:p>
        </w:tc>
        <w:tc>
          <w:tcPr>
            <w:tcW w:w="1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520" w:type="dxa"/>
            <w:vAlign w:val="bottom"/>
          </w:tcPr>
          <w:p>
            <w:pPr>
              <w:spacing w:after="0"/>
              <w:rPr>
                <w:sz w:val="16"/>
                <w:szCs w:val="16"/>
                <w:color w:val="auto"/>
              </w:rPr>
            </w:pPr>
          </w:p>
        </w:tc>
        <w:tc>
          <w:tcPr>
            <w:tcW w:w="6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 xml:space="preserve">Name: 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3180" w:type="dxa"/>
            <w:vAlign w:val="bottom"/>
          </w:tcPr>
          <w:p>
            <w:pPr>
              <w:spacing w:after="0"/>
              <w:rPr>
                <w:sz w:val="16"/>
                <w:szCs w:val="16"/>
                <w:color w:val="auto"/>
              </w:rPr>
            </w:pPr>
          </w:p>
        </w:tc>
        <w:tc>
          <w:tcPr>
            <w:tcW w:w="1380" w:type="dxa"/>
            <w:vAlign w:val="bottom"/>
            <w:gridSpan w:val="4"/>
          </w:tcPr>
          <w:p>
            <w:pPr>
              <w:ind w:left="760"/>
              <w:spacing w:after="0" w:line="194" w:lineRule="exact"/>
              <w:rPr>
                <w:sz w:val="20"/>
                <w:szCs w:val="20"/>
                <w:color w:val="auto"/>
              </w:rPr>
            </w:pPr>
            <w:r>
              <w:rPr>
                <w:rFonts w:ascii="Times New Roman" w:cs="Times New Roman" w:eastAsia="Times New Roman" w:hAnsi="Times New Roman"/>
                <w:sz w:val="18"/>
                <w:szCs w:val="18"/>
                <w:color w:val="auto"/>
              </w:rPr>
              <w:t xml:space="preserve">Name: 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Pr>
          <w:p>
            <w:pPr>
              <w:spacing w:after="0"/>
              <w:rPr>
                <w:sz w:val="16"/>
                <w:szCs w:val="16"/>
                <w:color w:val="auto"/>
              </w:rPr>
            </w:pPr>
          </w:p>
        </w:tc>
      </w:tr>
      <w:tr>
        <w:trPr>
          <w:trHeight w:val="194"/>
        </w:trPr>
        <w:tc>
          <w:tcPr>
            <w:tcW w:w="52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Title:   </w:t>
            </w: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top w:val="single" w:sz="8" w:color="auto"/>
            </w:tcBorders>
          </w:tcPr>
          <w:p>
            <w:pPr>
              <w:ind w:left="8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3180" w:type="dxa"/>
            <w:vAlign w:val="bottom"/>
          </w:tcPr>
          <w:p>
            <w:pPr>
              <w:spacing w:after="0"/>
              <w:rPr>
                <w:sz w:val="16"/>
                <w:szCs w:val="16"/>
                <w:color w:val="auto"/>
              </w:rPr>
            </w:pPr>
          </w:p>
        </w:tc>
        <w:tc>
          <w:tcPr>
            <w:tcW w:w="1280" w:type="dxa"/>
            <w:vAlign w:val="bottom"/>
            <w:gridSpan w:val="2"/>
          </w:tcPr>
          <w:p>
            <w:pPr>
              <w:ind w:left="760"/>
              <w:spacing w:after="0" w:line="194" w:lineRule="exact"/>
              <w:rPr>
                <w:sz w:val="20"/>
                <w:szCs w:val="20"/>
                <w:color w:val="auto"/>
              </w:rPr>
            </w:pPr>
            <w:r>
              <w:rPr>
                <w:rFonts w:ascii="Times New Roman" w:cs="Times New Roman" w:eastAsia="Times New Roman" w:hAnsi="Times New Roman"/>
                <w:sz w:val="18"/>
                <w:szCs w:val="18"/>
                <w:color w:val="auto"/>
                <w:w w:val="99"/>
              </w:rPr>
              <w:t xml:space="preserve">Title:   </w:t>
            </w: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top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180" w:type="dxa"/>
            <w:vAlign w:val="bottom"/>
            <w:tcBorders>
              <w:left w:val="single" w:sz="8" w:color="auto"/>
            </w:tcBorders>
          </w:tcPr>
          <w:p>
            <w:pPr>
              <w:spacing w:after="0" w:line="20" w:lineRule="exact"/>
              <w:rPr>
                <w:sz w:val="1"/>
                <w:szCs w:val="1"/>
                <w:color w:val="auto"/>
              </w:rPr>
            </w:pPr>
          </w:p>
        </w:tc>
        <w:tc>
          <w:tcPr>
            <w:tcW w:w="1280" w:type="dxa"/>
            <w:vAlign w:val="bottom"/>
            <w:tcBorders>
              <w:right w:val="single" w:sz="8" w:color="auto"/>
            </w:tcBorders>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0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31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Date:          </w:t>
            </w:r>
          </w:p>
        </w:tc>
        <w:tc>
          <w:tcPr>
            <w:tcW w:w="1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24"/>
                <w:szCs w:val="24"/>
                <w:color w:val="auto"/>
              </w:rPr>
            </w:pPr>
          </w:p>
        </w:tc>
      </w:tr>
      <w:tr>
        <w:trPr>
          <w:trHeight w:val="382"/>
        </w:trPr>
        <w:tc>
          <w:tcPr>
            <w:tcW w:w="5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1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00"/>
          </w:cols>
          <w:pgMar w:left="480" w:top="265" w:right="519" w:bottom="1440" w:gutter="0" w:footer="0" w:header="0"/>
        </w:sectPr>
      </w:pPr>
    </w:p>
    <w:bookmarkStart w:id="680" w:name="page681"/>
    <w:bookmarkEnd w:id="680"/>
    <w:p>
      <w:pPr>
        <w:jc w:val="right"/>
        <w:spacing w:after="0"/>
        <w:rPr>
          <w:sz w:val="20"/>
          <w:szCs w:val="20"/>
          <w:color w:val="auto"/>
        </w:rPr>
      </w:pPr>
      <w:r>
        <w:rPr>
          <w:rFonts w:ascii="Times New Roman" w:cs="Times New Roman" w:eastAsia="Times New Roman" w:hAnsi="Times New Roman"/>
          <w:sz w:val="18"/>
          <w:szCs w:val="18"/>
          <w:b w:val="1"/>
          <w:bCs w:val="1"/>
          <w:color w:val="auto"/>
        </w:rPr>
        <w:t>Exhibit 10.2(d)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OFFICE LEASE</w:t>
      </w:r>
    </w:p>
    <w:p>
      <w:pPr>
        <w:spacing w:after="0" w:line="221" w:lineRule="exact"/>
        <w:rPr>
          <w:sz w:val="20"/>
          <w:szCs w:val="20"/>
          <w:color w:val="auto"/>
        </w:rPr>
      </w:pPr>
    </w:p>
    <w:p>
      <w:pPr>
        <w:ind w:right="2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OFFICE 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dated as of this 7th day of November, 2019, is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500 SANSOME STREET INVESTORS, LLC, a California limited liability company (“</w:t>
      </w: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 and OMADA HEALTH, INC., a Delaware corporation (“</w:t>
      </w: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color w:val="auto"/>
        </w:rPr>
        <w:t>”), with reference to the following:</w:t>
      </w:r>
    </w:p>
    <w:p>
      <w:pPr>
        <w:spacing w:after="0" w:line="63" w:lineRule="exact"/>
        <w:rPr>
          <w:sz w:val="20"/>
          <w:szCs w:val="20"/>
          <w:color w:val="auto"/>
        </w:rPr>
      </w:pPr>
    </w:p>
    <w:p>
      <w:pPr>
        <w:ind w:right="18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Landlord and Tenant entered into that certain 500 Sansome Lease dated April 30, 2014 (the “</w:t>
      </w:r>
      <w:r>
        <w:rPr>
          <w:rFonts w:ascii="Times New Roman" w:cs="Times New Roman" w:eastAsia="Times New Roman" w:hAnsi="Times New Roman"/>
          <w:sz w:val="18"/>
          <w:szCs w:val="18"/>
          <w:b w:val="1"/>
          <w:bCs w:val="1"/>
          <w:u w:val="single" w:color="auto"/>
          <w:color w:val="auto"/>
        </w:rPr>
        <w:t>Original Lease</w:t>
      </w:r>
      <w:r>
        <w:rPr>
          <w:rFonts w:ascii="Times New Roman" w:cs="Times New Roman" w:eastAsia="Times New Roman" w:hAnsi="Times New Roman"/>
          <w:sz w:val="18"/>
          <w:szCs w:val="18"/>
          <w:color w:val="auto"/>
        </w:rPr>
        <w:t>”), as amended by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Amendment to Office Lease dated as of March 10, 2016 (the “</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color w:val="auto"/>
        </w:rPr>
        <w:t>”) and that certain Second Amendment to Office Lease dated as of July 19, 2019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the Original Lease, as amended by the First Amendment and the Second Amendment, is hereinafter referred to as the “</w:t>
      </w:r>
      <w:r>
        <w:rPr>
          <w:rFonts w:ascii="Times New Roman" w:cs="Times New Roman" w:eastAsia="Times New Roman" w:hAnsi="Times New Roman"/>
          <w:sz w:val="18"/>
          <w:szCs w:val="18"/>
          <w:b w:val="1"/>
          <w:bCs w:val="1"/>
          <w:u w:val="single" w:color="auto"/>
          <w:color w:val="auto"/>
        </w:rPr>
        <w:t>Lease</w:t>
      </w:r>
      <w:r>
        <w:rPr>
          <w:rFonts w:ascii="Times New Roman" w:cs="Times New Roman" w:eastAsia="Times New Roman" w:hAnsi="Times New Roman"/>
          <w:sz w:val="18"/>
          <w:szCs w:val="18"/>
          <w:color w:val="auto"/>
        </w:rPr>
        <w:t>”), for the lease of certain premises comprised of (i) approximately 13,606 square feet of Rentable Area designated as Suite 200, (ii) approximately 7,684 square feet of Rentable Area designated as Suite 350 and (iii) approximately 7,223 square feet of Rentable Area designated as Suite 450 (collectively, the “</w:t>
      </w:r>
      <w:r>
        <w:rPr>
          <w:rFonts w:ascii="Times New Roman" w:cs="Times New Roman" w:eastAsia="Times New Roman" w:hAnsi="Times New Roman"/>
          <w:sz w:val="18"/>
          <w:szCs w:val="18"/>
          <w:b w:val="1"/>
          <w:bCs w:val="1"/>
          <w:u w:val="single" w:color="auto"/>
          <w:color w:val="auto"/>
        </w:rPr>
        <w:t>Existing Premises</w:t>
      </w:r>
      <w:r>
        <w:rPr>
          <w:rFonts w:ascii="Times New Roman" w:cs="Times New Roman" w:eastAsia="Times New Roman" w:hAnsi="Times New Roman"/>
          <w:sz w:val="18"/>
          <w:szCs w:val="18"/>
          <w:color w:val="auto"/>
        </w:rPr>
        <w:t>”) in the building located at 500 Sansome Street, San Francisco, California (the “</w:t>
      </w:r>
      <w:r>
        <w:rPr>
          <w:rFonts w:ascii="Times New Roman" w:cs="Times New Roman" w:eastAsia="Times New Roman" w:hAnsi="Times New Roman"/>
          <w:sz w:val="18"/>
          <w:szCs w:val="18"/>
          <w:b w:val="1"/>
          <w:bCs w:val="1"/>
          <w:u w:val="single" w:color="auto"/>
          <w:color w:val="auto"/>
        </w:rPr>
        <w:t>Building</w:t>
      </w:r>
      <w:r>
        <w:rPr>
          <w:rFonts w:ascii="Times New Roman" w:cs="Times New Roman" w:eastAsia="Times New Roman" w:hAnsi="Times New Roman"/>
          <w:sz w:val="18"/>
          <w:szCs w:val="18"/>
          <w:color w:val="auto"/>
        </w:rPr>
        <w:t>”), as more particularly described in the Lease.</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Term of the Lease with respect to the Existing Premises is scheduled to expire on July 31, 2022.</w:t>
      </w:r>
    </w:p>
    <w:p>
      <w:pPr>
        <w:spacing w:after="0" w:line="114" w:lineRule="exact"/>
        <w:rPr>
          <w:sz w:val="20"/>
          <w:szCs w:val="20"/>
          <w:color w:val="auto"/>
        </w:rPr>
      </w:pPr>
    </w:p>
    <w:p>
      <w:pPr>
        <w:ind w:right="2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Tenant desires to lease additional space in the Building, and Landlord is willing to accommodate Tenant’s request therefor,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w:t>
      </w:r>
    </w:p>
    <w:p>
      <w:pPr>
        <w:spacing w:after="0" w:line="49"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Landlord and Tenant now enter into this Amendment to amend the Lease in order to (i) expand the Existing Premises to include the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as defined below, (ii) provide for new Basic Rent schedules to account for such expansion, and (iii) further amend the Lease as set forth herein.</w:t>
      </w:r>
    </w:p>
    <w:p>
      <w:pPr>
        <w:spacing w:after="0" w:line="17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Landlord and Tenant hereby agree as follows:</w:t>
      </w:r>
    </w:p>
    <w:p>
      <w:pPr>
        <w:spacing w:after="0" w:line="53" w:lineRule="exact"/>
        <w:rPr>
          <w:sz w:val="20"/>
          <w:szCs w:val="20"/>
          <w:color w:val="auto"/>
        </w:rPr>
      </w:pPr>
    </w:p>
    <w:p>
      <w:pPr>
        <w:ind w:firstLine="444"/>
        <w:spacing w:after="0" w:line="263" w:lineRule="auto"/>
        <w:tabs>
          <w:tab w:leader="none" w:pos="61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ascribed to such terms in the Lease. Unless the context clearly indicates otherwise, all references to the “Lease” in the Lease and in this Amendment shall hereinafter be deemed to refer to the Lease, as amended hereby.</w:t>
      </w:r>
    </w:p>
    <w:p>
      <w:pPr>
        <w:spacing w:after="0" w:line="68" w:lineRule="exact"/>
        <w:rPr>
          <w:rFonts w:ascii="Times New Roman" w:cs="Times New Roman" w:eastAsia="Times New Roman" w:hAnsi="Times New Roman"/>
          <w:sz w:val="18"/>
          <w:szCs w:val="18"/>
          <w:color w:val="auto"/>
        </w:rPr>
      </w:pPr>
    </w:p>
    <w:p>
      <w:pPr>
        <w:ind w:right="240" w:firstLine="444"/>
        <w:spacing w:after="0" w:line="255" w:lineRule="auto"/>
        <w:tabs>
          <w:tab w:leader="none" w:pos="61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Contingency</w:t>
      </w:r>
      <w:r>
        <w:rPr>
          <w:rFonts w:ascii="Times New Roman" w:cs="Times New Roman" w:eastAsia="Times New Roman" w:hAnsi="Times New Roman"/>
          <w:sz w:val="18"/>
          <w:szCs w:val="18"/>
          <w:color w:val="auto"/>
        </w:rPr>
        <w:t>. Tenant acknowledges that the effectiveness of this Amendment is expressly conditioned upon the vacation and surrender of the Expansion Premises by the existing tenants therein (“</w:t>
      </w:r>
      <w:r>
        <w:rPr>
          <w:rFonts w:ascii="Times New Roman" w:cs="Times New Roman" w:eastAsia="Times New Roman" w:hAnsi="Times New Roman"/>
          <w:sz w:val="18"/>
          <w:szCs w:val="18"/>
          <w:b w:val="1"/>
          <w:bCs w:val="1"/>
          <w:u w:val="single" w:color="auto"/>
          <w:color w:val="auto"/>
        </w:rPr>
        <w:t>Existing Tenants</w:t>
      </w:r>
      <w:r>
        <w:rPr>
          <w:rFonts w:ascii="Times New Roman" w:cs="Times New Roman" w:eastAsia="Times New Roman" w:hAnsi="Times New Roman"/>
          <w:sz w:val="18"/>
          <w:szCs w:val="18"/>
          <w:color w:val="auto"/>
        </w:rPr>
        <w:t>”). If Existing Tenants fail to vacate and surrender the Expansion Premises by April 15, 2020, then Tenant shall have the right to terminate this Amendment upon written notice to Landlord. Upon such termination, Tenant shall continue to lease the Existing Premises in accordance with the terms and conditions of the Lease without any modification as set forth in this Amendment and this Amendment shall be null and void without any force or effect.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7" w:right="499" w:bottom="1440" w:gutter="0" w:footer="0" w:header="0"/>
        </w:sectPr>
      </w:pPr>
    </w:p>
    <w:bookmarkStart w:id="681" w:name="page682"/>
    <w:bookmarkEnd w:id="681"/>
    <w:p>
      <w:pPr>
        <w:ind w:left="613" w:hanging="176"/>
        <w:spacing w:after="0"/>
        <w:tabs>
          <w:tab w:leader="none" w:pos="613"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Addition of Expansion Premises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7" w:right="20" w:firstLine="990"/>
        <w:spacing w:after="0" w:line="253" w:lineRule="auto"/>
        <w:tabs>
          <w:tab w:leader="none" w:pos="1217" w:val="left"/>
        </w:tabs>
        <w:numPr>
          <w:ilvl w:val="2"/>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Expansion Premises</w:t>
      </w:r>
      <w:r>
        <w:rPr>
          <w:rFonts w:ascii="Times New Roman" w:cs="Times New Roman" w:eastAsia="Times New Roman" w:hAnsi="Times New Roman"/>
          <w:sz w:val="17"/>
          <w:szCs w:val="17"/>
          <w:color w:val="auto"/>
        </w:rPr>
        <w:t>. In addition to the Existing Premises, effective as of the earliest to occur of (i) the date on which Landlord delivers possession of that certain premises consisting of approximately 6,365 square feet of Rentable Area adjacent to Tenant’s Existing Premises located on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floor of the Building (the “</w:t>
      </w:r>
      <w:r>
        <w:rPr>
          <w:rFonts w:ascii="Times New Roman" w:cs="Times New Roman" w:eastAsia="Times New Roman" w:hAnsi="Times New Roman"/>
          <w:sz w:val="17"/>
          <w:szCs w:val="17"/>
          <w:b w:val="1"/>
          <w:bCs w:val="1"/>
          <w:u w:val="single" w:color="auto"/>
          <w:color w:val="auto"/>
        </w:rPr>
        <w:t>Expansion Premises</w:t>
      </w:r>
      <w:r>
        <w:rPr>
          <w:rFonts w:ascii="Times New Roman" w:cs="Times New Roman" w:eastAsia="Times New Roman" w:hAnsi="Times New Roman"/>
          <w:sz w:val="17"/>
          <w:szCs w:val="17"/>
          <w:color w:val="auto"/>
        </w:rPr>
        <w:t xml:space="preserve">”) as shown on </w:t>
      </w:r>
      <w:r>
        <w:rPr>
          <w:rFonts w:ascii="Times New Roman" w:cs="Times New Roman" w:eastAsia="Times New Roman" w:hAnsi="Times New Roman"/>
          <w:sz w:val="17"/>
          <w:szCs w:val="17"/>
          <w:u w:val="single" w:color="auto"/>
          <w:color w:val="auto"/>
        </w:rPr>
        <w:t>Exhibit A-1</w:t>
      </w:r>
      <w:r>
        <w:rPr>
          <w:rFonts w:ascii="Times New Roman" w:cs="Times New Roman" w:eastAsia="Times New Roman" w:hAnsi="Times New Roman"/>
          <w:sz w:val="17"/>
          <w:szCs w:val="17"/>
          <w:color w:val="auto"/>
        </w:rPr>
        <w:t xml:space="preserve"> attached hereto, with the Tenant Improvements Substantially Completed (as such terms are defined elsewhere in the Lease, as amended hereby), (ii) the date delivery would have occurred but for any delay caused by Tenant’s failure to comply with the provisions of this Amendment (and for purposes of determining the number of days of such delay, Landlord shall look solely to the impact that any default by Tenant, its employees, agents or representatives had on causing such delay); and (iii) the date on which Tenant occupies the Expansion Premises for the conduct of its business (in either event, the “</w:t>
      </w:r>
      <w:r>
        <w:rPr>
          <w:rFonts w:ascii="Times New Roman" w:cs="Times New Roman" w:eastAsia="Times New Roman" w:hAnsi="Times New Roman"/>
          <w:sz w:val="17"/>
          <w:szCs w:val="17"/>
          <w:b w:val="1"/>
          <w:bCs w:val="1"/>
          <w:u w:val="single" w:color="auto"/>
          <w:color w:val="auto"/>
        </w:rPr>
        <w:t>Expansion Premises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Commencement Date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u w:val="single" w:color="auto"/>
          <w:color w:val="auto"/>
        </w:rPr>
        <w:t>EPCD</w:t>
      </w:r>
      <w:r>
        <w:rPr>
          <w:rFonts w:ascii="Times New Roman" w:cs="Times New Roman" w:eastAsia="Times New Roman" w:hAnsi="Times New Roman"/>
          <w:sz w:val="17"/>
          <w:szCs w:val="17"/>
          <w:color w:val="auto"/>
        </w:rPr>
        <w:t>” as used in the Basic Rent schedule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below), Landlord shall lease to Tenant and Tenant shall lease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Landlord the Expansion Premises upon all of the terms and conditions of the Lease, as amended hereby. Upon Landlord’s request, Tenant shall execute and deliver to Landlord a document prepared by Landlord confirming, among other things: (1) the Expansion Premises Commencement Date;</w:t>
      </w:r>
    </w:p>
    <w:p>
      <w:pPr>
        <w:ind w:left="-7" w:right="40" w:firstLine="7"/>
        <w:spacing w:after="0" w:line="250" w:lineRule="auto"/>
        <w:tabs>
          <w:tab w:leader="none" w:pos="24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Tenant has accepted the Expansion Premises; and (3) that Landlord has performed all of its obligations with respect to the Premises (except for punch list items specified in such document, if any); provided, however, that the failure of Tenant to execute such document shall not defer the Expansion Premises Commencement Date or otherwise invalidate this Amendment. Tenant’s failure to execute such document within ten (10) business days of receipt thereof from Landlord shall be deemed to constitute Tenant’s agreement to the contents of such document.</w:t>
      </w:r>
    </w:p>
    <w:p>
      <w:pPr>
        <w:spacing w:after="0" w:line="81" w:lineRule="exact"/>
        <w:rPr>
          <w:rFonts w:ascii="Times New Roman" w:cs="Times New Roman" w:eastAsia="Times New Roman" w:hAnsi="Times New Roman"/>
          <w:sz w:val="18"/>
          <w:szCs w:val="18"/>
          <w:color w:val="auto"/>
        </w:rPr>
      </w:pPr>
    </w:p>
    <w:p>
      <w:pPr>
        <w:ind w:left="-7" w:right="60" w:firstLine="990"/>
        <w:spacing w:after="0" w:line="253" w:lineRule="auto"/>
        <w:tabs>
          <w:tab w:leader="none" w:pos="1227"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Expansion Premises</w:t>
      </w:r>
      <w:r>
        <w:rPr>
          <w:rFonts w:ascii="Times New Roman" w:cs="Times New Roman" w:eastAsia="Times New Roman" w:hAnsi="Times New Roman"/>
          <w:sz w:val="18"/>
          <w:szCs w:val="18"/>
          <w:color w:val="auto"/>
        </w:rPr>
        <w:t>. Tenant acknowledges that Tenant shall lease the Expansion Premises on an “as is, where is” basis, provided that, prior to delivery, Landlord shall have completed the Landlord’s work as requested by Tenant and reasonably approved by Landlord (collectively, the “</w:t>
      </w:r>
      <w:r>
        <w:rPr>
          <w:rFonts w:ascii="Times New Roman" w:cs="Times New Roman" w:eastAsia="Times New Roman" w:hAnsi="Times New Roman"/>
          <w:sz w:val="18"/>
          <w:szCs w:val="18"/>
          <w:b w:val="1"/>
          <w:bCs w:val="1"/>
          <w:u w:val="single" w:color="auto"/>
          <w:color w:val="auto"/>
        </w:rPr>
        <w:t>Tenant Improvements</w:t>
      </w:r>
      <w:r>
        <w:rPr>
          <w:rFonts w:ascii="Times New Roman" w:cs="Times New Roman" w:eastAsia="Times New Roman" w:hAnsi="Times New Roman"/>
          <w:sz w:val="18"/>
          <w:szCs w:val="18"/>
          <w:color w:val="auto"/>
        </w:rPr>
        <w:t>”). Tenant’s taking possession of the Expansion Premises shall be deemed conclusive evidence that, as of the date of taking possession, the Expansion Premises is in satisfactory condition, subject to punch list items relating to the Tenant Improvements and any defects of the Tenant Improvements covered by the warranties provided by the contractors or subcontractors therefor. Tenant agrees that, except for the Tenant Improvements, Landlord has no obligation to make or pay for any improvements or renovations in or to the Existing Premises, the Expansion Premises or to otherwise prepare the same for Tenant’s use or occupancy.</w:t>
      </w:r>
    </w:p>
    <w:p>
      <w:pPr>
        <w:spacing w:after="0" w:line="77" w:lineRule="exact"/>
        <w:rPr>
          <w:rFonts w:ascii="Times New Roman" w:cs="Times New Roman" w:eastAsia="Times New Roman" w:hAnsi="Times New Roman"/>
          <w:sz w:val="18"/>
          <w:szCs w:val="18"/>
          <w:color w:val="auto"/>
        </w:rPr>
      </w:pPr>
    </w:p>
    <w:p>
      <w:pPr>
        <w:ind w:left="-7" w:firstLine="990"/>
        <w:spacing w:after="0" w:line="255" w:lineRule="auto"/>
        <w:tabs>
          <w:tab w:leader="none" w:pos="1217"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Delivery</w:t>
      </w:r>
      <w:r>
        <w:rPr>
          <w:rFonts w:ascii="Times New Roman" w:cs="Times New Roman" w:eastAsia="Times New Roman" w:hAnsi="Times New Roman"/>
          <w:sz w:val="18"/>
          <w:szCs w:val="18"/>
          <w:color w:val="auto"/>
        </w:rPr>
        <w:t>. Landlord estimates that it shall deliver possession of the Expansion Premises to Tenant in the condition required hereunder on or about June 1, 2020 (the “</w:t>
      </w:r>
      <w:r>
        <w:rPr>
          <w:rFonts w:ascii="Times New Roman" w:cs="Times New Roman" w:eastAsia="Times New Roman" w:hAnsi="Times New Roman"/>
          <w:sz w:val="18"/>
          <w:szCs w:val="18"/>
          <w:b w:val="1"/>
          <w:bCs w:val="1"/>
          <w:u w:val="single" w:color="auto"/>
          <w:color w:val="auto"/>
        </w:rPr>
        <w:t>Estimated Delivery Date</w:t>
      </w:r>
      <w:r>
        <w:rPr>
          <w:rFonts w:ascii="Times New Roman" w:cs="Times New Roman" w:eastAsia="Times New Roman" w:hAnsi="Times New Roman"/>
          <w:sz w:val="18"/>
          <w:szCs w:val="18"/>
          <w:color w:val="auto"/>
        </w:rPr>
        <w:t xml:space="preserve">”). Without limiting Landlord’s right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if Landlord is unable to deliver possession of the Expansion Premises to Tenant in the condition required hereunder by the Estimated Delivery Date, then,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(i) the validity of this Amendment shall not be affected or impaired thereby; (ii) Landlord shall not be in default under the Lease or be liable for damages therefor; (iii) the Expansion Premises</w:t>
      </w:r>
    </w:p>
    <w:p>
      <w:pPr>
        <w:spacing w:after="0" w:line="117"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33"/>
          </w:cols>
          <w:pgMar w:left="487" w:top="269" w:right="579" w:bottom="1440" w:gutter="0" w:footer="0" w:header="0"/>
        </w:sectPr>
      </w:pPr>
    </w:p>
    <w:bookmarkStart w:id="682" w:name="page683"/>
    <w:bookmarkEnd w:id="682"/>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Commencement Date shall not occur (and the Basic Rent for the Expansion Premises shall not commence) until such time as Landlord actually delivers possession of the Expansion Premises with the Tenant Improvements Substantially Completed; and (iv) Tenant shall accept delivery of possession of the Expansion Premises when Landlord actually delivers possession thereof to Tenant in accordance with the terms of this Amendment.</w:t>
      </w:r>
    </w:p>
    <w:p>
      <w:pPr>
        <w:spacing w:after="0" w:line="68" w:lineRule="exact"/>
        <w:rPr>
          <w:sz w:val="20"/>
          <w:szCs w:val="20"/>
          <w:color w:val="auto"/>
        </w:rPr>
      </w:pPr>
    </w:p>
    <w:p>
      <w:pPr>
        <w:ind w:right="60" w:firstLine="990"/>
        <w:spacing w:after="0" w:line="251" w:lineRule="auto"/>
        <w:tabs>
          <w:tab w:leader="none" w:pos="1234"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Access</w:t>
      </w:r>
      <w:r>
        <w:rPr>
          <w:rFonts w:ascii="Times New Roman" w:cs="Times New Roman" w:eastAsia="Times New Roman" w:hAnsi="Times New Roman"/>
          <w:sz w:val="18"/>
          <w:szCs w:val="18"/>
          <w:color w:val="auto"/>
        </w:rPr>
        <w:t>. Subject to Tenant’s delivery of an executed original of this Amendment, and the insurance certificates evidencing Tenant’s insurance policies as required in the Lease, Landlord shall provide Tenant with early access to the Expansion Premises following the date on which Landlord determines the Premises is free and clear of the Existing Tenants (the “</w:t>
      </w:r>
      <w:r>
        <w:rPr>
          <w:rFonts w:ascii="Times New Roman" w:cs="Times New Roman" w:eastAsia="Times New Roman" w:hAnsi="Times New Roman"/>
          <w:sz w:val="18"/>
          <w:szCs w:val="18"/>
          <w:b w:val="1"/>
          <w:bCs w:val="1"/>
          <w:u w:val="single" w:color="auto"/>
          <w:color w:val="auto"/>
        </w:rPr>
        <w:t>Access Date</w:t>
      </w:r>
      <w:r>
        <w:rPr>
          <w:rFonts w:ascii="Times New Roman" w:cs="Times New Roman" w:eastAsia="Times New Roman" w:hAnsi="Times New Roman"/>
          <w:sz w:val="18"/>
          <w:szCs w:val="18"/>
          <w:color w:val="auto"/>
        </w:rPr>
        <w:t>”). Such period of early access shall commence on the Access Date and continue through the date immediately preceding the Expansion Premises Commencement Date (the “</w:t>
      </w:r>
      <w:r>
        <w:rPr>
          <w:rFonts w:ascii="Times New Roman" w:cs="Times New Roman" w:eastAsia="Times New Roman" w:hAnsi="Times New Roman"/>
          <w:sz w:val="18"/>
          <w:szCs w:val="18"/>
          <w:b w:val="1"/>
          <w:bCs w:val="1"/>
          <w:u w:val="single" w:color="auto"/>
          <w:color w:val="auto"/>
        </w:rPr>
        <w:t>Early Access Period</w:t>
      </w:r>
      <w:r>
        <w:rPr>
          <w:rFonts w:ascii="Times New Roman" w:cs="Times New Roman" w:eastAsia="Times New Roman" w:hAnsi="Times New Roman"/>
          <w:sz w:val="18"/>
          <w:szCs w:val="18"/>
          <w:color w:val="auto"/>
        </w:rPr>
        <w:t>”). Tenant’s access to the Expansion Premises during the Early Access Period shall be subject to all of the terms and conditions of the Lease, as amended hereby, except for Tenant’s obligation to pay Rent (which obligation shall commence upon the Expansion Premises Commencement Date, provided that Tenant’s indemnification obligation shall not apply to the Tenant Improvement work. During the Early Access Period, Tenant may enter the Expansion Premises for the sole purpose of installing telephones, electronic communication equipment, fixtures and furniture, provided that Tenant shall be solely responsible for all of the foregoing and for any loss or damage thereto from any cause whatsoever. Such early access and such installation shall be permitted only to the extent that such early access and installation activities will not materially interfere with Landlord’s performance of the Tenant Improvements.</w:t>
      </w:r>
    </w:p>
    <w:p>
      <w:pPr>
        <w:spacing w:after="0" w:line="79" w:lineRule="exact"/>
        <w:rPr>
          <w:rFonts w:ascii="Times New Roman" w:cs="Times New Roman" w:eastAsia="Times New Roman" w:hAnsi="Times New Roman"/>
          <w:sz w:val="18"/>
          <w:szCs w:val="18"/>
          <w:color w:val="auto"/>
        </w:rPr>
      </w:pPr>
    </w:p>
    <w:p>
      <w:pPr>
        <w:ind w:firstLine="990"/>
        <w:spacing w:after="0" w:line="258" w:lineRule="auto"/>
        <w:tabs>
          <w:tab w:leader="none" w:pos="1224"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Defined Terms</w:t>
      </w:r>
      <w:r>
        <w:rPr>
          <w:rFonts w:ascii="Times New Roman" w:cs="Times New Roman" w:eastAsia="Times New Roman" w:hAnsi="Times New Roman"/>
          <w:sz w:val="18"/>
          <w:szCs w:val="18"/>
          <w:color w:val="auto"/>
        </w:rPr>
        <w:t xml:space="preserve">. Effective on the Expansion Premises Commencement Date, (i) all references to the “Premises” contained in the Lease shall mean and refer to the entirety of the space in the Existing Premises and the Expansion Premises, which together contain approximately 34,878 square feet of Rentable Area, (ii) all references in the Lease to “Exhibit A” shall mean and refer to Exhibit A of the Lease as modified by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A-1</w:t>
      </w:r>
      <w:r>
        <w:rPr>
          <w:rFonts w:ascii="Times New Roman" w:cs="Times New Roman" w:eastAsia="Times New Roman" w:hAnsi="Times New Roman"/>
          <w:sz w:val="18"/>
          <w:szCs w:val="18"/>
          <w:color w:val="auto"/>
        </w:rPr>
        <w:t xml:space="preserve"> attached hereto, and (iii) “Tenant’s Proportionate Share” shall mean and refer to 22.61%.</w:t>
      </w:r>
    </w:p>
    <w:p>
      <w:pPr>
        <w:spacing w:after="0" w:line="72" w:lineRule="exact"/>
        <w:rPr>
          <w:rFonts w:ascii="Times New Roman" w:cs="Times New Roman" w:eastAsia="Times New Roman" w:hAnsi="Times New Roman"/>
          <w:sz w:val="18"/>
          <w:szCs w:val="18"/>
          <w:color w:val="auto"/>
        </w:rPr>
      </w:pPr>
    </w:p>
    <w:p>
      <w:pPr>
        <w:ind w:right="80" w:firstLine="444"/>
        <w:spacing w:after="0" w:line="231" w:lineRule="auto"/>
        <w:tabs>
          <w:tab w:leader="none" w:pos="61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Extend</w:t>
      </w:r>
      <w:r>
        <w:rPr>
          <w:rFonts w:ascii="Times New Roman" w:cs="Times New Roman" w:eastAsia="Times New Roman" w:hAnsi="Times New Roman"/>
          <w:sz w:val="18"/>
          <w:szCs w:val="18"/>
          <w:color w:val="auto"/>
        </w:rPr>
        <w:t xml:space="preserve">. Tenant shall have one (1) option to extend the Term of the Lease with respect to the entire Premises for a two (2) year period pursuant to and in accordance with the terms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Original Lease, except that: (i) all references to “Initial Term” shall be deleted and replaced with “then-current Term”; (ii) the phrase “the day immediately preceding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Commencement Date” in the penultimate sentence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be deleted and replaced with “July 31, 2022”; and (iii) reference to “ninety-five percent (95%)” shall be deleted and replaced with “one hundred percent (100%)”.</w:t>
      </w:r>
    </w:p>
    <w:p>
      <w:pPr>
        <w:spacing w:after="0" w:line="92"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Rent Payments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60" w:firstLine="990"/>
        <w:spacing w:after="0" w:line="278" w:lineRule="auto"/>
        <w:tabs>
          <w:tab w:leader="none" w:pos="122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Premises</w:t>
      </w:r>
      <w:r>
        <w:rPr>
          <w:rFonts w:ascii="Times New Roman" w:cs="Times New Roman" w:eastAsia="Times New Roman" w:hAnsi="Times New Roman"/>
          <w:sz w:val="18"/>
          <w:szCs w:val="18"/>
          <w:color w:val="auto"/>
        </w:rPr>
        <w:t>. Prior to August 1, 2020, Tenant shall pay Basic Rent for the Existing Premises and all other rent required to be paid therefor in accordance with the terms of the Lease.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683" w:name="page684"/>
    <w:bookmarkEnd w:id="683"/>
    <w:p>
      <w:pPr>
        <w:ind w:right="140" w:firstLine="990"/>
        <w:spacing w:after="0" w:line="263" w:lineRule="auto"/>
        <w:tabs>
          <w:tab w:leader="none" w:pos="123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Expansion Premises</w:t>
      </w:r>
      <w:r>
        <w:rPr>
          <w:rFonts w:ascii="Times New Roman" w:cs="Times New Roman" w:eastAsia="Times New Roman" w:hAnsi="Times New Roman"/>
          <w:sz w:val="18"/>
          <w:szCs w:val="18"/>
          <w:color w:val="auto"/>
        </w:rPr>
        <w:t>. Commencing on the Expansion Premises Commencement Date, in addition to the Basic Rent for the Existing Premises and all other rent required to be paid by Tenant under the Lease, as amended hereby, Tenant shal1 pay Basic Rent for the Expansion Premises as follows: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2840" w:type="dxa"/>
            <w:vAlign w:val="bottom"/>
            <w:vMerge w:val="restart"/>
          </w:tcPr>
          <w:p>
            <w:pPr>
              <w:spacing w:after="0"/>
              <w:rPr>
                <w:sz w:val="13"/>
                <w:szCs w:val="13"/>
                <w:color w:val="auto"/>
              </w:rPr>
            </w:pPr>
          </w:p>
        </w:tc>
        <w:tc>
          <w:tcPr>
            <w:tcW w:w="204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Annual Rate/SF of</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Monthly Basic Rent</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Rentable Area</w:t>
            </w:r>
          </w:p>
        </w:tc>
        <w:tc>
          <w:tcPr>
            <w:tcW w:w="1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EPCD – 7/31/20</w:t>
            </w:r>
          </w:p>
        </w:tc>
        <w:tc>
          <w:tcPr>
            <w:tcW w:w="2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65.00</w:t>
            </w:r>
          </w:p>
        </w:tc>
        <w:tc>
          <w:tcPr>
            <w:tcW w:w="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34,477.08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In the event the Expansion Premises Commencement Date occurs on a day other than the first day of the calendar month, the Basic Rent for such partial month provided above shall be prorated based on the number of days in such partial month.</w:t>
      </w:r>
    </w:p>
    <w:p>
      <w:pPr>
        <w:spacing w:after="0" w:line="55" w:lineRule="exact"/>
        <w:rPr>
          <w:sz w:val="20"/>
          <w:szCs w:val="20"/>
          <w:color w:val="auto"/>
        </w:rPr>
      </w:pPr>
    </w:p>
    <w:p>
      <w:pPr>
        <w:ind w:right="620" w:firstLine="990"/>
        <w:spacing w:after="0" w:line="278" w:lineRule="auto"/>
        <w:tabs>
          <w:tab w:leader="none" w:pos="1224"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Premises</w:t>
      </w:r>
      <w:r>
        <w:rPr>
          <w:rFonts w:ascii="Times New Roman" w:cs="Times New Roman" w:eastAsia="Times New Roman" w:hAnsi="Times New Roman"/>
          <w:sz w:val="18"/>
          <w:szCs w:val="18"/>
          <w:color w:val="auto"/>
        </w:rPr>
        <w:t>. Commencing on August 1, 2020, in addition to all other rent required to be paid by Tenant under the Lease, as amended hereby, Tenant shall pay Basic Rent for the entire Premises in accordance with the following schedule:</w:t>
      </w:r>
    </w:p>
    <w:p>
      <w:pPr>
        <w:spacing w:after="0" w:line="17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30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Annual Rate/SF of</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Monthly Basic</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Rentable Area</w:t>
            </w:r>
          </w:p>
        </w:tc>
        <w:tc>
          <w:tcPr>
            <w:tcW w:w="94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w w:val="98"/>
              </w:rPr>
              <w:t>Rent</w:t>
            </w:r>
          </w:p>
        </w:tc>
        <w:tc>
          <w:tcPr>
            <w:tcW w:w="0" w:type="dxa"/>
            <w:vAlign w:val="bottom"/>
          </w:tcPr>
          <w:p>
            <w:pPr>
              <w:spacing w:after="0"/>
              <w:rPr>
                <w:sz w:val="1"/>
                <w:szCs w:val="1"/>
                <w:color w:val="auto"/>
              </w:rPr>
            </w:pPr>
          </w:p>
        </w:tc>
      </w:tr>
      <w:tr>
        <w:trPr>
          <w:trHeight w:val="201"/>
        </w:trPr>
        <w:tc>
          <w:tcPr>
            <w:tcW w:w="34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8/1/20 – 7/31/21</w:t>
            </w:r>
          </w:p>
        </w:tc>
        <w:tc>
          <w:tcPr>
            <w:tcW w:w="2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65.00</w:t>
            </w:r>
          </w:p>
        </w:tc>
        <w:tc>
          <w:tcPr>
            <w:tcW w:w="6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$188,922.49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8/1/21 –7/31/22</w:t>
            </w:r>
          </w:p>
        </w:tc>
        <w:tc>
          <w:tcPr>
            <w:tcW w:w="2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640" w:type="dxa"/>
            <w:vAlign w:val="bottom"/>
          </w:tcPr>
          <w:p>
            <w:pPr>
              <w:spacing w:after="0"/>
              <w:rPr>
                <w:sz w:val="20"/>
                <w:szCs w:val="20"/>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$194,590.18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00" w:firstLine="444"/>
        <w:spacing w:after="0" w:line="278" w:lineRule="auto"/>
        <w:tabs>
          <w:tab w:leader="none" w:pos="615"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Year</w:t>
      </w:r>
      <w:r>
        <w:rPr>
          <w:rFonts w:ascii="Times New Roman" w:cs="Times New Roman" w:eastAsia="Times New Roman" w:hAnsi="Times New Roman"/>
          <w:sz w:val="18"/>
          <w:szCs w:val="18"/>
          <w:color w:val="auto"/>
        </w:rPr>
        <w:t>. Effective as of the Expansion Premises Commencement Date, the Base Year with respect to the entire Premises shall be calendar year 2020.</w:t>
      </w:r>
    </w:p>
    <w:p>
      <w:pPr>
        <w:spacing w:after="0" w:line="55" w:lineRule="exact"/>
        <w:rPr>
          <w:rFonts w:ascii="Times New Roman" w:cs="Times New Roman" w:eastAsia="Times New Roman" w:hAnsi="Times New Roman"/>
          <w:sz w:val="18"/>
          <w:szCs w:val="18"/>
          <w:color w:val="auto"/>
        </w:rPr>
      </w:pPr>
    </w:p>
    <w:p>
      <w:pPr>
        <w:ind w:right="440" w:firstLine="444"/>
        <w:spacing w:after="0" w:line="278" w:lineRule="auto"/>
        <w:tabs>
          <w:tab w:leader="none" w:pos="615"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Landlord is holding a security deposit in the amount of $131,153.33. Landlord shall continue to hold such amount as the Security Deposit during the remainder of the Term, as extended hereby.</w:t>
      </w:r>
    </w:p>
    <w:p>
      <w:pPr>
        <w:spacing w:after="0" w:line="55" w:lineRule="exact"/>
        <w:rPr>
          <w:rFonts w:ascii="Times New Roman" w:cs="Times New Roman" w:eastAsia="Times New Roman" w:hAnsi="Times New Roman"/>
          <w:sz w:val="18"/>
          <w:szCs w:val="18"/>
          <w:color w:val="auto"/>
        </w:rPr>
      </w:pPr>
    </w:p>
    <w:p>
      <w:pPr>
        <w:ind w:right="260" w:firstLine="444"/>
        <w:spacing w:after="0" w:line="268" w:lineRule="auto"/>
        <w:tabs>
          <w:tab w:leader="none" w:pos="615"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 of Premises</w:t>
      </w:r>
      <w:r>
        <w:rPr>
          <w:rFonts w:ascii="Times New Roman" w:cs="Times New Roman" w:eastAsia="Times New Roman" w:hAnsi="Times New Roman"/>
          <w:sz w:val="17"/>
          <w:szCs w:val="17"/>
          <w:color w:val="auto"/>
        </w:rPr>
        <w:t xml:space="preserve">. Tenant acknowledges that (a) it has been occupying and continues to occupy the Existing Premises, (b) it is familiar with the condition of the Existing Premises and, subject to the provisions of the Lease, accepts the same in its “as-is, where-is and with all faults” condition, (c) the taking of possession of the Expansion Premises by Tenant shall be conclusive evidence that Tenant accepts the same and the Tenant Improvements (subject to this Amendment, including the warranty set forth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below) in “as-is, where-is and with all faults” condition, and</w:t>
      </w:r>
    </w:p>
    <w:p>
      <w:pPr>
        <w:spacing w:after="0" w:line="1" w:lineRule="exact"/>
        <w:rPr>
          <w:rFonts w:ascii="Times New Roman" w:cs="Times New Roman" w:eastAsia="Times New Roman" w:hAnsi="Times New Roman"/>
          <w:sz w:val="17"/>
          <w:szCs w:val="17"/>
          <w:color w:val="auto"/>
        </w:rPr>
      </w:pPr>
    </w:p>
    <w:p>
      <w:pPr>
        <w:ind w:firstLine="7"/>
        <w:spacing w:after="0" w:line="256" w:lineRule="auto"/>
        <w:tabs>
          <w:tab w:leader="none" w:pos="252"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made no representation or warranty regarding the condition of any portion of the Premises, the Building, or the Project or the suitability thereof for Tenant’s business.</w:t>
      </w:r>
    </w:p>
    <w:p>
      <w:pPr>
        <w:spacing w:after="0" w:line="74" w:lineRule="exact"/>
        <w:rPr>
          <w:rFonts w:ascii="Times New Roman" w:cs="Times New Roman" w:eastAsia="Times New Roman" w:hAnsi="Times New Roman"/>
          <w:sz w:val="18"/>
          <w:szCs w:val="18"/>
          <w:color w:val="auto"/>
        </w:rPr>
      </w:pPr>
    </w:p>
    <w:p>
      <w:pPr>
        <w:ind w:right="140" w:firstLine="444"/>
        <w:spacing w:after="0" w:line="255" w:lineRule="auto"/>
        <w:tabs>
          <w:tab w:leader="none" w:pos="615"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w:t>
      </w:r>
      <w:r>
        <w:rPr>
          <w:rFonts w:ascii="Times New Roman" w:cs="Times New Roman" w:eastAsia="Times New Roman" w:hAnsi="Times New Roman"/>
          <w:sz w:val="18"/>
          <w:szCs w:val="18"/>
          <w:color w:val="auto"/>
        </w:rPr>
        <w:t>. Notwithstanding anything to the contrary contained herein, Landlord warrants that for thirty (30) days following the Expansion Premises Commencement Date, the mechanical, electrical and plumbing systems located in and serving the Expansion Premises shall be in good working order. Landlord shall repair, at its sole cost and expense, any defective or malfunctioning component of such systems (a) not caused by Tenant and (b) for which Landlord receives written notice from Tenant within such thirty (30) day period. After such thirty (30) day period, the obligation to repair such systems shall be as set forth in the Lease.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9" w:right="499" w:bottom="1440" w:gutter="0" w:footer="0" w:header="0"/>
        </w:sectPr>
      </w:pPr>
    </w:p>
    <w:bookmarkStart w:id="684" w:name="page685"/>
    <w:bookmarkEnd w:id="684"/>
    <w:p>
      <w:pPr>
        <w:ind w:left="-20" w:right="60" w:firstLine="444"/>
        <w:spacing w:after="0" w:line="252" w:lineRule="auto"/>
        <w:tabs>
          <w:tab w:leader="none" w:pos="684"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Opportunity to Negotiate</w:t>
      </w:r>
      <w:r>
        <w:rPr>
          <w:rFonts w:ascii="Times New Roman" w:cs="Times New Roman" w:eastAsia="Times New Roman" w:hAnsi="Times New Roman"/>
          <w:sz w:val="18"/>
          <w:szCs w:val="18"/>
          <w:color w:val="auto"/>
        </w:rPr>
        <w:t>. Subject to then-existing renewal or expansion options of other tenants (or, even if not a right under such tenant’s lease, the renewal of a lease of any tenant by Landlord for an Available Space (as defined herein)), and provided no Event of Default then exists and Tenant is occupying the entire Premises, during the Term, as the same may be extended, if Landlord determines that any space in the Building (each, an “</w:t>
      </w:r>
      <w:r>
        <w:rPr>
          <w:rFonts w:ascii="Times New Roman" w:cs="Times New Roman" w:eastAsia="Times New Roman" w:hAnsi="Times New Roman"/>
          <w:sz w:val="18"/>
          <w:szCs w:val="18"/>
          <w:b w:val="1"/>
          <w:bCs w:val="1"/>
          <w:u w:val="single" w:color="auto"/>
          <w:color w:val="auto"/>
        </w:rPr>
        <w:t>Available Space</w:t>
      </w:r>
      <w:r>
        <w:rPr>
          <w:rFonts w:ascii="Times New Roman" w:cs="Times New Roman" w:eastAsia="Times New Roman" w:hAnsi="Times New Roman"/>
          <w:sz w:val="18"/>
          <w:szCs w:val="18"/>
          <w:color w:val="auto"/>
        </w:rPr>
        <w:t>”) is available for lease, then Landlord shall, as a courtesy, notify Tenant of such availability, and Tenant shall have the opportunity to offer the terms and conditions under which Tenant would lease such Available Space. Nothing in this provision shall be construed to (A) create an obligation by either party to enter into (i) negotiations with the other party or (ii) an agreement for the lease of an Available Space or (B) confer any right or option to Tenant with regard to an Available Space, and Landlord shall have the right at all times to negotiate the terms and conditions of a lease for an Available Space with any other party without obligation or liability to Tenant.</w:t>
      </w:r>
    </w:p>
    <w:p>
      <w:pPr>
        <w:spacing w:after="0" w:line="80" w:lineRule="exact"/>
        <w:rPr>
          <w:rFonts w:ascii="Times New Roman" w:cs="Times New Roman" w:eastAsia="Times New Roman" w:hAnsi="Times New Roman"/>
          <w:sz w:val="18"/>
          <w:szCs w:val="18"/>
          <w:color w:val="auto"/>
        </w:rPr>
      </w:pPr>
    </w:p>
    <w:p>
      <w:pPr>
        <w:ind w:left="-20" w:right="260" w:firstLine="444"/>
        <w:spacing w:after="0" w:line="278" w:lineRule="auto"/>
        <w:tabs>
          <w:tab w:leader="none" w:pos="677"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Prior to Tenant’s occupancy of the Expansion Premises, Tenant shall provide Landlord with evidence of insurance coverage with respect to the Expansion Premises, in the form and with the coverages required by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the Original Lease.</w:t>
      </w:r>
    </w:p>
    <w:p>
      <w:pPr>
        <w:spacing w:after="0" w:line="55" w:lineRule="exact"/>
        <w:rPr>
          <w:rFonts w:ascii="Times New Roman" w:cs="Times New Roman" w:eastAsia="Times New Roman" w:hAnsi="Times New Roman"/>
          <w:sz w:val="18"/>
          <w:szCs w:val="18"/>
          <w:color w:val="auto"/>
        </w:rPr>
      </w:pPr>
    </w:p>
    <w:p>
      <w:pPr>
        <w:ind w:left="-20" w:right="120" w:firstLine="444"/>
        <w:spacing w:after="0" w:line="263" w:lineRule="auto"/>
        <w:tabs>
          <w:tab w:leader="none" w:pos="684"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Civil Code Section 1938 Advisory</w:t>
      </w:r>
      <w:r>
        <w:rPr>
          <w:rFonts w:ascii="Times New Roman" w:cs="Times New Roman" w:eastAsia="Times New Roman" w:hAnsi="Times New Roman"/>
          <w:sz w:val="18"/>
          <w:szCs w:val="18"/>
          <w:color w:val="auto"/>
        </w:rPr>
        <w:t>. The parties acknowledge and agree that the Premises has not been inspected by a Certified Access Specialist (“</w:t>
      </w:r>
      <w:r>
        <w:rPr>
          <w:rFonts w:ascii="Times New Roman" w:cs="Times New Roman" w:eastAsia="Times New Roman" w:hAnsi="Times New Roman"/>
          <w:sz w:val="18"/>
          <w:szCs w:val="18"/>
          <w:b w:val="1"/>
          <w:bCs w:val="1"/>
          <w:u w:val="single" w:color="auto"/>
          <w:color w:val="auto"/>
        </w:rPr>
        <w:t>CASp</w:t>
      </w:r>
      <w:r>
        <w:rPr>
          <w:rFonts w:ascii="Times New Roman" w:cs="Times New Roman" w:eastAsia="Times New Roman" w:hAnsi="Times New Roman"/>
          <w:sz w:val="18"/>
          <w:szCs w:val="18"/>
          <w:color w:val="auto"/>
        </w:rPr>
        <w:t>”) pursuant to Section 1938 of the Civil Code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The parties further agree, pursuant to subdivision (e) of Section 55.53 of the Code the following:</w:t>
      </w:r>
    </w:p>
    <w:p>
      <w:pPr>
        <w:spacing w:after="0" w:line="68" w:lineRule="exact"/>
        <w:rPr>
          <w:rFonts w:ascii="Times New Roman" w:cs="Times New Roman" w:eastAsia="Times New Roman" w:hAnsi="Times New Roman"/>
          <w:sz w:val="18"/>
          <w:szCs w:val="18"/>
          <w:color w:val="auto"/>
        </w:rPr>
      </w:pPr>
    </w:p>
    <w:p>
      <w:pPr>
        <w:ind w:left="-20" w:right="100" w:firstLine="990"/>
        <w:spacing w:after="0" w:line="255" w:lineRule="auto"/>
        <w:tabs>
          <w:tab w:leader="none" w:pos="1205"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CASp can inspect the Premises and determine whether the Premises complies with all of the applicable construction-related accessibility standards under state law. Although state law does not require a CASp inspection of the Premises, Landlord may not prohibit Tenant from obtaining a CASp inspection of the Premises for the occupancy or potential occupancy of Tenant, if requested by Tenant. The parties shall mutually agree on the arrangements for the time and manner of the CASp inspection, the payment of the fee for the CASp inspection, and the cost of making any repairs necessary to correct violations of the construction-related accessibility standards within the Premises.</w:t>
      </w:r>
    </w:p>
    <w:p>
      <w:pPr>
        <w:spacing w:after="0" w:line="77" w:lineRule="exact"/>
        <w:rPr>
          <w:rFonts w:ascii="Times New Roman" w:cs="Times New Roman" w:eastAsia="Times New Roman" w:hAnsi="Times New Roman"/>
          <w:sz w:val="18"/>
          <w:szCs w:val="18"/>
          <w:color w:val="auto"/>
        </w:rPr>
      </w:pPr>
    </w:p>
    <w:p>
      <w:pPr>
        <w:ind w:left="-20" w:firstLine="990"/>
        <w:spacing w:after="0" w:line="251" w:lineRule="auto"/>
        <w:tabs>
          <w:tab w:leader="none" w:pos="1215"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paragraph above, the parties expressly agree that, if Tenant elects to obtain a CASp inspection of the Premises, Tenant shall be solely responsible for scheduling the inspection and that such inspection shall not unreasonably interfere with the operations of the Premises, the Building and/or the Project or disturb any other tenant or occupant. Tenant shall be solely responsible for any and all costs to perform the CASp inspection, including any ancillary costs relating thereto. If the results of the inspection detern1ine that modifications or alterations are required to meet all applicable construction-related accessibility standards, Tenant agrees to perform such work, in its sole cost and expense and provided approvals from Landlord are obtained under the Lease. Tenant agrees that all work shall be performed in a first class manner in compliance with all laws and using best efforts to minimize any disruption to the Building, the Project and other tenants or occupants, if applicable. Furthermore, Tenant agrees that any report that is generated as a result of an inspection pursuant to this Section and all information contained therein, shall remain confidential, except as necessary for Tenant to complete repairs and/or correct violations, as agreed herein.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8" w:right="499" w:bottom="1440" w:gutter="0" w:footer="0" w:header="0"/>
        </w:sectPr>
      </w:pPr>
    </w:p>
    <w:bookmarkStart w:id="685" w:name="page686"/>
    <w:bookmarkEnd w:id="685"/>
    <w:p>
      <w:pPr>
        <w:ind w:left="1240" w:hanging="250"/>
        <w:spacing w:after="0"/>
        <w:tabs>
          <w:tab w:leader="none" w:pos="124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Landlord also makes the disclosure required by the City and County of San Francisco regarding handicapped access in </w:t>
      </w:r>
      <w:r>
        <w:rPr>
          <w:rFonts w:ascii="Times New Roman" w:cs="Times New Roman" w:eastAsia="Times New Roman" w:hAnsi="Times New Roman"/>
          <w:sz w:val="18"/>
          <w:szCs w:val="18"/>
          <w:u w:val="single" w:color="auto"/>
          <w:color w:val="auto"/>
        </w:rPr>
        <w:t>Exhibit B</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w:t>
      </w:r>
    </w:p>
    <w:p>
      <w:pPr>
        <w:spacing w:after="0" w:line="95"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Effective immediately, Landlord’s address for notices under the Lease shall be as follows:</w:t>
      </w:r>
    </w:p>
    <w:p>
      <w:pPr>
        <w:spacing w:after="0" w:line="1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500 Sansome Street Investors, LLC</w:t>
      </w:r>
    </w:p>
    <w:p>
      <w:pPr>
        <w:spacing w:after="0" w:line="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201 Seminary Drive</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Mill Valley, CA 94941</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Bruce W. Jones</w:t>
      </w:r>
    </w:p>
    <w:p>
      <w:pPr>
        <w:spacing w:after="0" w:line="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Charles F. Hedges, Jr.</w:t>
      </w:r>
    </w:p>
    <w:p>
      <w:pPr>
        <w:spacing w:after="0" w:line="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Fasken Oil and Ranch, Ltd.</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6101 Holiday Hill Road</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Midland, TX 79707</w:t>
      </w:r>
    </w:p>
    <w:p>
      <w:pPr>
        <w:spacing w:after="0" w:line="95" w:lineRule="exact"/>
        <w:rPr>
          <w:sz w:val="20"/>
          <w:szCs w:val="20"/>
          <w:color w:val="auto"/>
        </w:rPr>
      </w:pPr>
    </w:p>
    <w:p>
      <w:pPr>
        <w:ind w:firstLine="444"/>
        <w:spacing w:after="0" w:line="265" w:lineRule="auto"/>
        <w:tabs>
          <w:tab w:leader="none" w:pos="704" w:val="left"/>
        </w:tabs>
        <w:numPr>
          <w:ilvl w:val="1"/>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Tenant’s Estoppel</w:t>
      </w:r>
      <w:r>
        <w:rPr>
          <w:rFonts w:ascii="Times New Roman" w:cs="Times New Roman" w:eastAsia="Times New Roman" w:hAnsi="Times New Roman"/>
          <w:sz w:val="17"/>
          <w:szCs w:val="17"/>
          <w:color w:val="auto"/>
        </w:rPr>
        <w:t xml:space="preserve">. Tenant hereby certifies, as of the date of the execution of this Amendment by Tenant, that: (a) to Tenant’s actual knowledge, Landlord is not in default in any respect under the Lease; (b) Tenant does not have any defenses to its obligations under the Lease; (c) there are no offsets against rent or any other amount payable in connection with the Lease; and (d) Landlord is holding a security deposit in the amount of $131,153.33 under the Lease. Without limiting the generality of the foregoing, Tenant acknowledges and agrees that it has received year-end statements providing Landlord’s reconciliation of additional rent payable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of the Original Lease for all applicable calendar years of the Tenn through and including calendar year 2018, and all amounts shown on such statements are deemed final and binding on Tenant. Tenant waives any right to challenge or assert any Claims (as defined herein) based on any such additional rent chargeable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of the Original Lease for said prior years of the Tenn. Tenant acknowledges and agrees that: (i) the representations set forth in this Amendment constitute a material consideration to Landlord in entering into this Amendment; (ii) such representations are being made by Tenant for purposes of inducing Landlord to enter into this Amendment; and</w:t>
      </w:r>
    </w:p>
    <w:p>
      <w:pPr>
        <w:spacing w:after="0" w:line="2" w:lineRule="exact"/>
        <w:rPr>
          <w:rFonts w:ascii="Times New Roman" w:cs="Times New Roman" w:eastAsia="Times New Roman" w:hAnsi="Times New Roman"/>
          <w:sz w:val="17"/>
          <w:szCs w:val="17"/>
          <w:color w:val="auto"/>
        </w:rPr>
      </w:pPr>
    </w:p>
    <w:p>
      <w:pPr>
        <w:ind w:left="320" w:hanging="313"/>
        <w:spacing w:after="0"/>
        <w:tabs>
          <w:tab w:leader="none" w:pos="32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is relying on such representations in entering into this Amendment.</w:t>
      </w:r>
    </w:p>
    <w:p>
      <w:pPr>
        <w:spacing w:after="0" w:line="95" w:lineRule="exact"/>
        <w:rPr>
          <w:rFonts w:ascii="Times New Roman" w:cs="Times New Roman" w:eastAsia="Times New Roman" w:hAnsi="Times New Roman"/>
          <w:sz w:val="18"/>
          <w:szCs w:val="18"/>
          <w:color w:val="auto"/>
        </w:rPr>
      </w:pPr>
    </w:p>
    <w:p>
      <w:pPr>
        <w:jc w:val="both"/>
        <w:ind w:right="60" w:firstLine="444"/>
        <w:spacing w:after="0" w:line="263" w:lineRule="auto"/>
        <w:tabs>
          <w:tab w:leader="none" w:pos="704"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contains the entire agreement and understanding between the parties concerning the subject matter of this Amendment and supersedes all prior agreements, terms, understandings, conditions, representations and warranties, whether written or oral, concerning the matters that are the subject of this Amendment.</w:t>
      </w:r>
    </w:p>
    <w:p>
      <w:pPr>
        <w:spacing w:after="0" w:line="68" w:lineRule="exact"/>
        <w:rPr>
          <w:rFonts w:ascii="Times New Roman" w:cs="Times New Roman" w:eastAsia="Times New Roman" w:hAnsi="Times New Roman"/>
          <w:sz w:val="18"/>
          <w:szCs w:val="18"/>
          <w:color w:val="auto"/>
        </w:rPr>
      </w:pPr>
    </w:p>
    <w:p>
      <w:pPr>
        <w:ind w:right="280" w:firstLine="444"/>
        <w:spacing w:after="0" w:line="278" w:lineRule="auto"/>
        <w:tabs>
          <w:tab w:leader="none" w:pos="704"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of this Amendment is held by a court of competent jurisdiction to be invalid, void or unenforceable, the remaining terms of this Amendment shall remain in full force and effect and shall in no way be affected, impaired or invalidated.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9" w:right="499" w:bottom="1440" w:gutter="0" w:footer="0" w:header="0"/>
        </w:sectPr>
      </w:pPr>
    </w:p>
    <w:bookmarkStart w:id="686" w:name="page687"/>
    <w:bookmarkEnd w:id="686"/>
    <w:p>
      <w:pPr>
        <w:ind w:left="-20" w:right="100" w:firstLine="444"/>
        <w:spacing w:after="0" w:line="271" w:lineRule="auto"/>
        <w:tabs>
          <w:tab w:leader="none" w:pos="684"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No Brokers</w:t>
      </w:r>
      <w:r>
        <w:rPr>
          <w:rFonts w:ascii="Times New Roman" w:cs="Times New Roman" w:eastAsia="Times New Roman" w:hAnsi="Times New Roman"/>
          <w:sz w:val="17"/>
          <w:szCs w:val="17"/>
          <w:color w:val="auto"/>
        </w:rPr>
        <w:t>. Tenant hereby represents and warrants to Landlord that Tenant has not entered into any agreement or taken any other action that might result in any obligation on the part of Landlord or Tenant to pay any brokerage commission, finder’s fee or other compensation with respect to this Amendment, and Tenant agrees to protect, defend, indemnify and hold Landlord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Times New Roman" w:cs="Times New Roman" w:eastAsia="Times New Roman" w:hAnsi="Times New Roman"/>
          <w:sz w:val="17"/>
          <w:szCs w:val="17"/>
          <w:b w:val="1"/>
          <w:bCs w:val="1"/>
          <w:u w:val="single" w:color="auto"/>
          <w:color w:val="auto"/>
        </w:rPr>
        <w:t>Claims</w:t>
      </w:r>
      <w:r>
        <w:rPr>
          <w:rFonts w:ascii="Times New Roman" w:cs="Times New Roman" w:eastAsia="Times New Roman" w:hAnsi="Times New Roman"/>
          <w:sz w:val="17"/>
          <w:szCs w:val="17"/>
          <w:color w:val="auto"/>
        </w:rPr>
        <w:t>”) in any way arising or resulting from, or in connection with or related to any breach or inaccuracy of such representation and warranty.</w:t>
      </w:r>
    </w:p>
    <w:p>
      <w:pPr>
        <w:spacing w:after="0" w:line="66" w:lineRule="exact"/>
        <w:rPr>
          <w:rFonts w:ascii="Times New Roman" w:cs="Times New Roman" w:eastAsia="Times New Roman" w:hAnsi="Times New Roman"/>
          <w:sz w:val="17"/>
          <w:szCs w:val="17"/>
          <w:color w:val="auto"/>
        </w:rPr>
      </w:pPr>
    </w:p>
    <w:p>
      <w:pPr>
        <w:ind w:left="-20" w:right="180" w:firstLine="444"/>
        <w:spacing w:after="0" w:line="263" w:lineRule="auto"/>
        <w:tabs>
          <w:tab w:leader="none" w:pos="68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Landlord and Tenant hereby ratify and confirm their respective rights and obligations under the Lease, as amended hereby. Except as specifically herein amended, the Lease is and shall remain in full force and effect according to the terms thereof. In the event of any conflict between the terms of the Lease and the terms of this Amendment, the terms of this Amendment shall control.</w:t>
      </w:r>
    </w:p>
    <w:p>
      <w:pPr>
        <w:spacing w:after="0" w:line="68" w:lineRule="exact"/>
        <w:rPr>
          <w:rFonts w:ascii="Times New Roman" w:cs="Times New Roman" w:eastAsia="Times New Roman" w:hAnsi="Times New Roman"/>
          <w:sz w:val="18"/>
          <w:szCs w:val="18"/>
          <w:color w:val="auto"/>
        </w:rPr>
      </w:pPr>
    </w:p>
    <w:p>
      <w:pPr>
        <w:ind w:left="-20" w:right="20" w:firstLine="444"/>
        <w:spacing w:after="0" w:line="308" w:lineRule="auto"/>
        <w:tabs>
          <w:tab w:leader="none" w:pos="684"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Tenant warrants and represents to Landlord that Tenant has the right and power to enter into this Amendment and that the execution and performance by Tenant of its obligations under this Amendment have been duly authorized by Tenant and no further authorizations are required.</w:t>
      </w:r>
    </w:p>
    <w:p>
      <w:pPr>
        <w:spacing w:after="0" w:line="33" w:lineRule="exact"/>
        <w:rPr>
          <w:rFonts w:ascii="Times New Roman" w:cs="Times New Roman" w:eastAsia="Times New Roman" w:hAnsi="Times New Roman"/>
          <w:sz w:val="17"/>
          <w:szCs w:val="17"/>
          <w:color w:val="auto"/>
        </w:rPr>
      </w:pPr>
    </w:p>
    <w:p>
      <w:pPr>
        <w:jc w:val="both"/>
        <w:ind w:left="-20" w:firstLine="444"/>
        <w:spacing w:after="0" w:line="263" w:lineRule="auto"/>
        <w:tabs>
          <w:tab w:leader="none" w:pos="68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Neither Tenant nor its agents, employees or any other parties acting on behalf of Tenant shall disclose any matters set forth in this Amendment or disseminate or distribute any information concerning the terms, details or conditions hereof to any person, firm or entity without first obtaining the express written consent of Landlord.</w:t>
      </w:r>
    </w:p>
    <w:p>
      <w:pPr>
        <w:spacing w:after="0" w:line="68" w:lineRule="exact"/>
        <w:rPr>
          <w:rFonts w:ascii="Times New Roman" w:cs="Times New Roman" w:eastAsia="Times New Roman" w:hAnsi="Times New Roman"/>
          <w:sz w:val="18"/>
          <w:szCs w:val="18"/>
          <w:color w:val="auto"/>
        </w:rPr>
      </w:pPr>
    </w:p>
    <w:p>
      <w:pPr>
        <w:ind w:left="-20" w:right="160" w:firstLine="444"/>
        <w:spacing w:after="0" w:line="278" w:lineRule="auto"/>
        <w:tabs>
          <w:tab w:leader="none" w:pos="68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If an action is commenced between the parties in connection with the enforcement of any provision of this Amendment, the prevailing party in that action shall be entitled to recover its costs and expenses, including reasonable attorneys’ fees.</w:t>
      </w:r>
    </w:p>
    <w:p>
      <w:pPr>
        <w:spacing w:after="0" w:line="55" w:lineRule="exact"/>
        <w:rPr>
          <w:rFonts w:ascii="Times New Roman" w:cs="Times New Roman" w:eastAsia="Times New Roman" w:hAnsi="Times New Roman"/>
          <w:sz w:val="18"/>
          <w:szCs w:val="18"/>
          <w:color w:val="auto"/>
        </w:rPr>
      </w:pPr>
    </w:p>
    <w:p>
      <w:pPr>
        <w:ind w:left="-20" w:right="180" w:firstLine="444"/>
        <w:spacing w:after="0" w:line="278" w:lineRule="auto"/>
        <w:tabs>
          <w:tab w:leader="none" w:pos="68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Tenant agrees to perform, execute and deliver or cause to be performed, executed and delivered any and all such further acts, deeds and assurances as may be necessary to consummate the actions contemplated in this Amendment.</w:t>
      </w:r>
    </w:p>
    <w:p>
      <w:pPr>
        <w:spacing w:after="0" w:line="55" w:lineRule="exact"/>
        <w:rPr>
          <w:rFonts w:ascii="Times New Roman" w:cs="Times New Roman" w:eastAsia="Times New Roman" w:hAnsi="Times New Roman"/>
          <w:sz w:val="18"/>
          <w:szCs w:val="18"/>
          <w:color w:val="auto"/>
        </w:rPr>
      </w:pPr>
    </w:p>
    <w:p>
      <w:pPr>
        <w:ind w:left="-20" w:right="740" w:firstLine="444"/>
        <w:spacing w:after="0" w:line="278" w:lineRule="auto"/>
        <w:tabs>
          <w:tab w:leader="none" w:pos="68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upon and inure to the benefit of Landlord and Tenant and their respective successors and assigns.</w:t>
      </w:r>
    </w:p>
    <w:p>
      <w:pPr>
        <w:spacing w:after="0" w:line="55" w:lineRule="exact"/>
        <w:rPr>
          <w:rFonts w:ascii="Times New Roman" w:cs="Times New Roman" w:eastAsia="Times New Roman" w:hAnsi="Times New Roman"/>
          <w:sz w:val="18"/>
          <w:szCs w:val="18"/>
          <w:color w:val="auto"/>
        </w:rPr>
      </w:pPr>
    </w:p>
    <w:p>
      <w:pPr>
        <w:ind w:left="-20" w:right="60" w:firstLine="444"/>
        <w:spacing w:after="0" w:line="278" w:lineRule="auto"/>
        <w:tabs>
          <w:tab w:leader="none" w:pos="68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California Law</w:t>
      </w:r>
      <w:r>
        <w:rPr>
          <w:rFonts w:ascii="Times New Roman" w:cs="Times New Roman" w:eastAsia="Times New Roman" w:hAnsi="Times New Roman"/>
          <w:sz w:val="18"/>
          <w:szCs w:val="18"/>
          <w:color w:val="auto"/>
        </w:rPr>
        <w:t>. This Amendment and the obligations under this Amendment shall be construed in accordance with, governed by, and shall be subject to, the laws of the State of California.</w:t>
      </w:r>
    </w:p>
    <w:p>
      <w:pPr>
        <w:spacing w:after="0" w:line="55"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 The parties hereto agree that time is of the essence with respect to all covenants and agreements herein.</w:t>
      </w:r>
    </w:p>
    <w:p>
      <w:pPr>
        <w:spacing w:after="0" w:line="113" w:lineRule="exact"/>
        <w:rPr>
          <w:rFonts w:ascii="Times New Roman" w:cs="Times New Roman" w:eastAsia="Times New Roman" w:hAnsi="Times New Roman"/>
          <w:sz w:val="18"/>
          <w:szCs w:val="18"/>
          <w:color w:val="auto"/>
        </w:rPr>
      </w:pPr>
    </w:p>
    <w:p>
      <w:pPr>
        <w:ind w:left="-20" w:right="300" w:firstLine="444"/>
        <w:spacing w:after="0" w:line="308" w:lineRule="auto"/>
        <w:tabs>
          <w:tab w:leader="none" w:pos="684"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Offer</w:t>
      </w:r>
      <w:r>
        <w:rPr>
          <w:rFonts w:ascii="Times New Roman" w:cs="Times New Roman" w:eastAsia="Times New Roman" w:hAnsi="Times New Roman"/>
          <w:sz w:val="17"/>
          <w:szCs w:val="17"/>
          <w:color w:val="auto"/>
        </w:rPr>
        <w:t>. Submission of this instrument for examination and signature by Tenant does not constitute an offer to lease or a reservation of or option for lease, and this instrument is not effective as a lease amendment or otherwise until executed and delivered by both Landlord and Tenant.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8" w:right="519" w:bottom="1440" w:gutter="0" w:footer="0" w:header="0"/>
        </w:sectPr>
      </w:pPr>
    </w:p>
    <w:bookmarkStart w:id="687" w:name="page688"/>
    <w:bookmarkEnd w:id="687"/>
    <w:p>
      <w:pPr>
        <w:ind w:firstLine="444"/>
        <w:spacing w:after="0" w:line="282" w:lineRule="auto"/>
        <w:tabs>
          <w:tab w:leader="none" w:pos="70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any number of identical counterparts each of which shall be deemed to be an original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when taken together, shall constitute one and the same instrument.</w:t>
      </w:r>
    </w:p>
    <w:p>
      <w:pPr>
        <w:spacing w:after="0" w:line="160"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IN WITNESS WHEREOF, Landlord and Tenant have caused their duly authorized representatives to execute this Amendment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SANSOME STREET INVESTORS,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Bruce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15875</wp:posOffset>
            </wp:positionV>
            <wp:extent cx="254762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Bruce W. Jones</w:t>
      </w:r>
    </w:p>
    <w:p>
      <w:pPr>
        <w:spacing w:after="0" w:line="26"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Title:</w:t>
        <w:tab/>
        <w:t>Authorized 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Sarah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15875</wp:posOffset>
            </wp:positionV>
            <wp:extent cx="254762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Sarah Blanchard</w:t>
      </w:r>
    </w:p>
    <w:p>
      <w:pPr>
        <w:spacing w:after="0" w:line="26"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Title:</w:t>
        <w:tab/>
        <w:t>CFO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5" w:right="499" w:bottom="1440" w:gutter="0" w:footer="0" w:header="0"/>
        </w:sectPr>
      </w:pPr>
    </w:p>
    <w:bookmarkStart w:id="688" w:name="page689"/>
    <w:bookmarkEnd w:id="68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A-1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EXPANSION PREMISES</w:t>
      </w:r>
    </w:p>
    <w:p>
      <w:pPr>
        <w:sectPr>
          <w:pgSz w:w="11900" w:h="16838" w:orient="portrait"/>
          <w:cols w:equalWidth="0" w:num="1">
            <w:col w:w="9019"/>
          </w:cols>
          <w:pgMar w:left="1440" w:top="265" w:right="1440" w:bottom="1440" w:gutter="0" w:footer="0" w:header="0"/>
        </w:sectPr>
      </w:pPr>
    </w:p>
    <w:bookmarkStart w:id="689" w:name="page690"/>
    <w:bookmarkEnd w:id="6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DISABILITY ACCESS OBLIGATIONS UNDER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ADMINISTRATIVE CODE CHAPTER 38</w:t>
      </w:r>
    </w:p>
    <w:p>
      <w:pPr>
        <w:spacing w:after="0" w:line="202"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Before you, as the Tenant, enter into a lease with us, Landlord, for the property identified below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please be aware of the following important information about the lease:</w:t>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 May Be Held Liable for Disability Access Violations on the Property. </w:t>
      </w:r>
      <w:r>
        <w:rPr>
          <w:rFonts w:ascii="Times New Roman" w:cs="Times New Roman" w:eastAsia="Times New Roman" w:hAnsi="Times New Roman"/>
          <w:sz w:val="18"/>
          <w:szCs w:val="18"/>
          <w:color w:val="auto"/>
        </w:rPr>
        <w:t>Even though you are not the owner of the Property, you, as the tenant,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Property owner, may still be subject to legal and financial liabilities if the leased Property does not comply with applicable Federal and State disability access laws. You may wish to consult with an attorney prior to entering this lease amendment to make sure that you understand your obligations under Federal and State disability access laws. The Landlord must provide you with a copy of the Small Business Commission Access Information Notice under Section 38.6 of the San Francisco Administrative Code in your requested language. For more information about disability access laws applicable to small businesses, you may wish to visit the website of the San Francisco Office of Small Business or call 415-554-6134.</w:t>
      </w:r>
    </w:p>
    <w:p>
      <w:pPr>
        <w:spacing w:after="0" w:line="17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Lease Must Specify Who Is Responsible for Making Any Required Disability Access Improvements to the Property. </w:t>
      </w:r>
      <w:r>
        <w:rPr>
          <w:rFonts w:ascii="Times New Roman" w:cs="Times New Roman" w:eastAsia="Times New Roman" w:hAnsi="Times New Roman"/>
          <w:sz w:val="17"/>
          <w:szCs w:val="17"/>
          <w:color w:val="auto"/>
        </w:rPr>
        <w:t>Under City law,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lease must include a provision in which you, the Tenant, and the Landlord agree upon your respective obligations and liabilities for making and paying for required disability access improvements on the leased Property. The lease must also require you and the Landlord to use reasonable efforts to notify each other if they make alterations to the leased Property that might impact accessibility under federal and state disability access laws. You may wish to review those provisions with your attorney prior to entering this lease amendment to make sure that you understand your obligations under the lease.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subject to your lease is: Suites 200, 350 &amp; 450, 500 Sansome Street, San Francisco, California.</w:t>
      </w:r>
    </w:p>
    <w:p>
      <w:pPr>
        <w:spacing w:after="0" w:line="221"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By signing below I confirm that I have read and understood this Disability Access Obligations Notice and have been provided a copy of the Small Business Commission’s Access Information Notice in the tenant’s requested language.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w:t>
            </w:r>
          </w:p>
        </w:tc>
        <w:tc>
          <w:tcPr>
            <w:tcW w:w="4220" w:type="dxa"/>
            <w:vAlign w:val="bottom"/>
          </w:tcPr>
          <w:p>
            <w:pPr>
              <w:spacing w:after="0"/>
              <w:rPr>
                <w:sz w:val="20"/>
                <w:szCs w:val="20"/>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Tenant:</w:t>
            </w:r>
          </w:p>
        </w:tc>
        <w:tc>
          <w:tcPr>
            <w:tcW w:w="4220" w:type="dxa"/>
            <w:vAlign w:val="bottom"/>
          </w:tcPr>
          <w:p>
            <w:pPr>
              <w:spacing w:after="0"/>
              <w:rPr>
                <w:sz w:val="20"/>
                <w:szCs w:val="20"/>
                <w:color w:val="auto"/>
              </w:rPr>
            </w:pPr>
          </w:p>
        </w:tc>
      </w:tr>
      <w:tr>
        <w:trPr>
          <w:trHeight w:val="405"/>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w:t>
            </w: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OMADA HEALTH, INC</w:t>
            </w:r>
          </w:p>
        </w:tc>
      </w:tr>
      <w:tr>
        <w:trPr>
          <w:trHeight w:val="237"/>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California limited liability company</w:t>
            </w:r>
          </w:p>
        </w:tc>
        <w:tc>
          <w:tcPr>
            <w:tcW w:w="57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1"/>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Bruce W. Jones</w:t>
            </w:r>
          </w:p>
        </w:tc>
        <w:tc>
          <w:tcPr>
            <w:tcW w:w="57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By:  /s/ Sarah Blanchard</w:t>
            </w:r>
          </w:p>
        </w:tc>
      </w:tr>
      <w:tr>
        <w:trPr>
          <w:trHeight w:val="202"/>
        </w:trPr>
        <w:tc>
          <w:tcPr>
            <w:tcW w:w="440" w:type="dxa"/>
            <w:vAlign w:val="bottom"/>
          </w:tcPr>
          <w:p>
            <w:pPr>
              <w:spacing w:after="0"/>
              <w:rPr>
                <w:sz w:val="17"/>
                <w:szCs w:val="17"/>
                <w:color w:val="auto"/>
              </w:rPr>
            </w:pPr>
          </w:p>
        </w:tc>
        <w:tc>
          <w:tcPr>
            <w:tcW w:w="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Borders>
              <w:top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Bruce W. Jones</w:t>
            </w:r>
          </w:p>
        </w:tc>
        <w:tc>
          <w:tcPr>
            <w:tcW w:w="920" w:type="dxa"/>
            <w:vAlign w:val="bottom"/>
          </w:tcPr>
          <w:p>
            <w:pPr>
              <w:spacing w:after="0"/>
              <w:rPr>
                <w:sz w:val="17"/>
                <w:szCs w:val="17"/>
                <w:color w:val="auto"/>
              </w:rPr>
            </w:pPr>
          </w:p>
        </w:tc>
        <w:tc>
          <w:tcPr>
            <w:tcW w:w="5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Borders>
              <w:top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Sarah Blanchard</w:t>
            </w:r>
          </w:p>
        </w:tc>
      </w:tr>
      <w:tr>
        <w:trPr>
          <w:trHeight w:val="233"/>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Agent</w:t>
            </w:r>
          </w:p>
        </w:tc>
        <w:tc>
          <w:tcPr>
            <w:tcW w:w="1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CFO</w:t>
            </w:r>
          </w:p>
        </w:tc>
      </w:tr>
      <w:tr>
        <w:trPr>
          <w:trHeight w:val="428"/>
        </w:trPr>
        <w:tc>
          <w:tcPr>
            <w:tcW w:w="4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11/12/2019</w:t>
            </w:r>
          </w:p>
        </w:tc>
        <w:tc>
          <w:tcPr>
            <w:tcW w:w="57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Date: 11/11/2019</w:t>
            </w:r>
          </w:p>
        </w:tc>
      </w:tr>
      <w:tr>
        <w:trPr>
          <w:trHeight w:val="361"/>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0920"/>
          </w:cols>
          <w:pgMar w:left="480" w:top="265" w:right="499" w:bottom="1440" w:gutter="0" w:footer="0" w:header="0"/>
        </w:sectPr>
      </w:pPr>
    </w:p>
    <w:bookmarkStart w:id="690" w:name="page691"/>
    <w:bookmarkEnd w:id="690"/>
    <w:p>
      <w:pPr>
        <w:jc w:val="right"/>
        <w:spacing w:after="0"/>
        <w:rPr>
          <w:sz w:val="20"/>
          <w:szCs w:val="20"/>
          <w:color w:val="auto"/>
        </w:rPr>
      </w:pPr>
      <w:r>
        <w:rPr>
          <w:rFonts w:ascii="Times New Roman" w:cs="Times New Roman" w:eastAsia="Times New Roman" w:hAnsi="Times New Roman"/>
          <w:sz w:val="18"/>
          <w:szCs w:val="18"/>
          <w:b w:val="1"/>
          <w:bCs w:val="1"/>
          <w:color w:val="auto"/>
        </w:rPr>
        <w:t>Exhibit 10.2(e)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OFFICE LEASE</w:t>
      </w:r>
    </w:p>
    <w:p>
      <w:pPr>
        <w:spacing w:after="0" w:line="221" w:lineRule="exact"/>
        <w:rPr>
          <w:sz w:val="20"/>
          <w:szCs w:val="20"/>
          <w:color w:val="auto"/>
        </w:rPr>
      </w:pPr>
    </w:p>
    <w:p>
      <w:pPr>
        <w:ind w:right="2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THIS FOURTH AMENDMENT TO OFFICE 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dated as of this 5th day of January, 2022, is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500 SANSOME STREET INVESTORS, LLC,</w:t>
      </w:r>
      <w:r>
        <w:rPr>
          <w:rFonts w:ascii="Times New Roman" w:cs="Times New Roman" w:eastAsia="Times New Roman" w:hAnsi="Times New Roman"/>
          <w:sz w:val="18"/>
          <w:szCs w:val="18"/>
          <w:color w:val="auto"/>
        </w:rPr>
        <w:t xml:space="preserve"> a California limited liability company (“</w:t>
      </w: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OMADA HEALTH, INC.,</w:t>
      </w:r>
      <w:r>
        <w:rPr>
          <w:rFonts w:ascii="Times New Roman" w:cs="Times New Roman" w:eastAsia="Times New Roman" w:hAnsi="Times New Roman"/>
          <w:sz w:val="18"/>
          <w:szCs w:val="18"/>
          <w:color w:val="auto"/>
        </w:rPr>
        <w:t xml:space="preserve"> a Delaware corporation (“</w:t>
      </w: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color w:val="auto"/>
        </w:rPr>
        <w:t>”), with reference to the following:</w:t>
      </w:r>
    </w:p>
    <w:p>
      <w:pPr>
        <w:spacing w:after="0" w:line="63" w:lineRule="exact"/>
        <w:rPr>
          <w:sz w:val="20"/>
          <w:szCs w:val="20"/>
          <w:color w:val="auto"/>
        </w:rPr>
      </w:pPr>
    </w:p>
    <w:p>
      <w:pPr>
        <w:ind w:right="16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Landlord and Tenant entered into that certain 500 Sansome Lease dated April 30, 2014 (the “</w:t>
      </w:r>
      <w:r>
        <w:rPr>
          <w:rFonts w:ascii="Times New Roman" w:cs="Times New Roman" w:eastAsia="Times New Roman" w:hAnsi="Times New Roman"/>
          <w:sz w:val="18"/>
          <w:szCs w:val="18"/>
          <w:b w:val="1"/>
          <w:bCs w:val="1"/>
          <w:u w:val="single" w:color="auto"/>
          <w:color w:val="auto"/>
        </w:rPr>
        <w:t>Original Lease</w:t>
      </w:r>
      <w:r>
        <w:rPr>
          <w:rFonts w:ascii="Times New Roman" w:cs="Times New Roman" w:eastAsia="Times New Roman" w:hAnsi="Times New Roman"/>
          <w:sz w:val="18"/>
          <w:szCs w:val="18"/>
          <w:color w:val="auto"/>
        </w:rPr>
        <w:t>”), as amended by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Amendment to Office Lease dated as of March 10, 2016 (the “</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color w:val="auto"/>
        </w:rPr>
        <w:t>”), that certain Second Amendment to Office Lease dated as of July 19, 2019 (the “</w:t>
      </w:r>
      <w:r>
        <w:rPr>
          <w:rFonts w:ascii="Times New Roman" w:cs="Times New Roman" w:eastAsia="Times New Roman" w:hAnsi="Times New Roman"/>
          <w:sz w:val="18"/>
          <w:szCs w:val="18"/>
          <w:b w:val="1"/>
          <w:bCs w:val="1"/>
          <w:u w:val="single" w:color="auto"/>
          <w:color w:val="auto"/>
        </w:rPr>
        <w:t>Second Amendment</w:t>
      </w:r>
      <w:r>
        <w:rPr>
          <w:rFonts w:ascii="Times New Roman" w:cs="Times New Roman" w:eastAsia="Times New Roman" w:hAnsi="Times New Roman"/>
          <w:sz w:val="18"/>
          <w:szCs w:val="18"/>
          <w:color w:val="auto"/>
        </w:rPr>
        <w:t>”) and that certain Third Amendment to Office Lease dated as of November 4, 2019 (the “</w:t>
      </w:r>
      <w:r>
        <w:rPr>
          <w:rFonts w:ascii="Times New Roman" w:cs="Times New Roman" w:eastAsia="Times New Roman" w:hAnsi="Times New Roman"/>
          <w:sz w:val="18"/>
          <w:szCs w:val="18"/>
          <w:b w:val="1"/>
          <w:bCs w:val="1"/>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Original Lease, as amended by the First Amendment, the Second Amendment and the Third Amendment, is hereinafter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b w:val="1"/>
          <w:bCs w:val="1"/>
          <w:u w:val="single" w:color="auto"/>
          <w:color w:val="auto"/>
        </w:rPr>
        <w:t>Lease</w:t>
      </w:r>
      <w:r>
        <w:rPr>
          <w:rFonts w:ascii="Times New Roman" w:cs="Times New Roman" w:eastAsia="Times New Roman" w:hAnsi="Times New Roman"/>
          <w:sz w:val="18"/>
          <w:szCs w:val="18"/>
          <w:color w:val="auto"/>
        </w:rPr>
        <w:t>”, for the lease of certain premises comprised of (i) approximately 13,606 square feet of Rentable Area designated as Suite 200, (ii) approximately 7,684 square feet of Rentable Area designated as Suite 350, (iii) approximately 7,223 square feet of Rentable Area designated as Suite 450, and (iv) approximately 6,365 square feet of Rentable Area designated as Suite 450 Expansion (collectively, the “</w:t>
      </w:r>
      <w:r>
        <w:rPr>
          <w:rFonts w:ascii="Times New Roman" w:cs="Times New Roman" w:eastAsia="Times New Roman" w:hAnsi="Times New Roman"/>
          <w:sz w:val="18"/>
          <w:szCs w:val="18"/>
          <w:b w:val="1"/>
          <w:bCs w:val="1"/>
          <w:u w:val="single" w:color="auto"/>
          <w:color w:val="auto"/>
        </w:rPr>
        <w:t>Existing Premises</w:t>
      </w:r>
      <w:r>
        <w:rPr>
          <w:rFonts w:ascii="Times New Roman" w:cs="Times New Roman" w:eastAsia="Times New Roman" w:hAnsi="Times New Roman"/>
          <w:sz w:val="18"/>
          <w:szCs w:val="18"/>
          <w:color w:val="auto"/>
        </w:rPr>
        <w:t>”) in the building located at 500 Sansome Street, San Francisco, California (the “</w:t>
      </w:r>
      <w:r>
        <w:rPr>
          <w:rFonts w:ascii="Times New Roman" w:cs="Times New Roman" w:eastAsia="Times New Roman" w:hAnsi="Times New Roman"/>
          <w:sz w:val="18"/>
          <w:szCs w:val="18"/>
          <w:b w:val="1"/>
          <w:bCs w:val="1"/>
          <w:u w:val="single" w:color="auto"/>
          <w:color w:val="auto"/>
        </w:rPr>
        <w:t>Building</w:t>
      </w:r>
      <w:r>
        <w:rPr>
          <w:rFonts w:ascii="Times New Roman" w:cs="Times New Roman" w:eastAsia="Times New Roman" w:hAnsi="Times New Roman"/>
          <w:sz w:val="18"/>
          <w:szCs w:val="18"/>
          <w:color w:val="auto"/>
        </w:rPr>
        <w:t>”), as more particularly described in the Lease.</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Term of the Lease with respect to the Existing Premises is scheduled to expire on July 31, 2022.</w:t>
      </w:r>
    </w:p>
    <w:p>
      <w:pPr>
        <w:spacing w:after="0" w:line="114"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Tenant desires to terminate the Lease with respect to a portion of the Existing Premises consisting of approximately 21,272 square feet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Rentable Area designated as Suite 350, Suite 450 and Suite 450 Expansion (collectively, the “</w:t>
      </w:r>
      <w:r>
        <w:rPr>
          <w:rFonts w:ascii="Times New Roman" w:cs="Times New Roman" w:eastAsia="Times New Roman" w:hAnsi="Times New Roman"/>
          <w:sz w:val="18"/>
          <w:szCs w:val="18"/>
          <w:b w:val="1"/>
          <w:bCs w:val="1"/>
          <w:u w:val="single" w:color="auto"/>
          <w:color w:val="auto"/>
        </w:rPr>
        <w:t>Surrendered Space</w:t>
      </w:r>
      <w:r>
        <w:rPr>
          <w:rFonts w:ascii="Times New Roman" w:cs="Times New Roman" w:eastAsia="Times New Roman" w:hAnsi="Times New Roman"/>
          <w:sz w:val="18"/>
          <w:szCs w:val="18"/>
          <w:color w:val="auto"/>
        </w:rPr>
        <w:t>”), and Landlord agrees to permit such termination on the terms and conditions set forth herein.</w:t>
      </w:r>
    </w:p>
    <w:p>
      <w:pPr>
        <w:spacing w:after="0" w:line="63" w:lineRule="exact"/>
        <w:rPr>
          <w:sz w:val="20"/>
          <w:szCs w:val="20"/>
          <w:color w:val="auto"/>
        </w:rPr>
      </w:pPr>
    </w:p>
    <w:p>
      <w:pPr>
        <w:jc w:val="both"/>
        <w:ind w:right="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Landlord and Tenant now enter into this Amendment to amend the Lease in order to provide for (i) a reduction of the Existing Premises, (ii)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of the Term with respect to the Remaining Premises (as hereinafter defined), (iii) a new Basic Rent schedule to account for such reduction and extension, and (iv) further amend the Lease as set forth herein.</w:t>
      </w:r>
    </w:p>
    <w:p>
      <w:pPr>
        <w:spacing w:after="0" w:line="17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Landlord and Tenant hereby agree as follows:</w:t>
      </w:r>
    </w:p>
    <w:p>
      <w:pPr>
        <w:spacing w:after="0" w:line="49" w:lineRule="exact"/>
        <w:rPr>
          <w:sz w:val="20"/>
          <w:szCs w:val="20"/>
          <w:color w:val="auto"/>
        </w:rPr>
      </w:pPr>
    </w:p>
    <w:p>
      <w:pPr>
        <w:ind w:firstLine="444"/>
        <w:spacing w:after="0" w:line="265" w:lineRule="auto"/>
        <w:tabs>
          <w:tab w:leader="none" w:pos="61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and not otherwise defined herein shall have the meanings ascribed to such terms in the Lease.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context clearly indicates otherwise, all references to the “Lease” in the Lease and in this Amendment shall hereinafter be deemed to refer to the Lease, as amended hereby.</w:t>
      </w:r>
    </w:p>
    <w:p>
      <w:pPr>
        <w:spacing w:after="0" w:line="63" w:lineRule="exact"/>
        <w:rPr>
          <w:rFonts w:ascii="Times New Roman" w:cs="Times New Roman" w:eastAsia="Times New Roman" w:hAnsi="Times New Roman"/>
          <w:sz w:val="18"/>
          <w:szCs w:val="18"/>
          <w:color w:val="auto"/>
        </w:rPr>
      </w:pPr>
    </w:p>
    <w:p>
      <w:pPr>
        <w:ind w:right="120" w:firstLine="444"/>
        <w:spacing w:after="0" w:line="265" w:lineRule="auto"/>
        <w:tabs>
          <w:tab w:leader="none" w:pos="61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Reduction in Size of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vacate and surrender exclusive possession of the Surrendered Space to Landlord in its current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condition by 5:00 p.m. local time on July 31, 2022 (the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xml:space="preserve">”), with all personal property removed therefrom and otherwise in accordance with the terms and conditions of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8" w:right="499" w:bottom="1440" w:gutter="0" w:footer="0" w:header="0"/>
        </w:sectPr>
      </w:pPr>
    </w:p>
    <w:bookmarkStart w:id="691" w:name="page692"/>
    <w:bookmarkEnd w:id="69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Original Lease. Without limiting Tenant’s obligations with respect to the Remaining Premises, the removal of Alterations or any other improvements in the Surrendered Space shall not be required. Tenant shall continue to lease approximately 13,606 square feet of Rentable Area to remain designated as Suite 200, as shown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u w:val="single" w:color="auto"/>
          <w:color w:val="auto"/>
        </w:rPr>
        <w:t>Remaining Premises</w:t>
      </w:r>
      <w:r>
        <w:rPr>
          <w:rFonts w:ascii="Times New Roman" w:cs="Times New Roman" w:eastAsia="Times New Roman" w:hAnsi="Times New Roman"/>
          <w:sz w:val="18"/>
          <w:szCs w:val="18"/>
          <w:color w:val="auto"/>
        </w:rPr>
        <w:t xml:space="preserve">”) pursuant to the terms and conditions of the Lease, as amended hereby. As of the Termination Date, the Lease with respect to the Surrendered Space shall terminate, and neither party shall have any obligations under the Lease with respect to the Surrendered Space, except for those obligations which expressly (or are intended to) survive the termination of the Lease, and the term the “Premises” as used in the Lease and this Amendment shall mean and refer to the Remaining Premises and be deemed to contain approximately 13,606 square feet of Rentable Area. If Tenant fails to vacate and surrender the Surrendered Space by the Termination Date in the condition required hereunder, the terms of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Original Lease shall apply with respect to the Surrendered Space.</w:t>
      </w:r>
    </w:p>
    <w:p>
      <w:pPr>
        <w:spacing w:after="0" w:line="76" w:lineRule="exact"/>
        <w:rPr>
          <w:sz w:val="20"/>
          <w:szCs w:val="20"/>
          <w:color w:val="auto"/>
        </w:rPr>
      </w:pPr>
    </w:p>
    <w:p>
      <w:pPr>
        <w:ind w:right="120" w:firstLine="444"/>
        <w:spacing w:after="0" w:line="265" w:lineRule="auto"/>
        <w:tabs>
          <w:tab w:leader="none" w:pos="61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Basic Rent for Remaining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August 1, 2022 (the “</w:t>
      </w:r>
      <w:r>
        <w:rPr>
          <w:rFonts w:ascii="Times New Roman" w:cs="Times New Roman" w:eastAsia="Times New Roman" w:hAnsi="Times New Roman"/>
          <w:sz w:val="18"/>
          <w:szCs w:val="18"/>
          <w:b w:val="1"/>
          <w:bCs w:val="1"/>
          <w:u w:val="single" w:color="auto"/>
          <w:color w:val="auto"/>
        </w:rPr>
        <w:t>Remaining Premises Commencement Date</w:t>
      </w:r>
      <w:r>
        <w:rPr>
          <w:rFonts w:ascii="Times New Roman" w:cs="Times New Roman" w:eastAsia="Times New Roman" w:hAnsi="Times New Roman"/>
          <w:sz w:val="18"/>
          <w:szCs w:val="18"/>
          <w:color w:val="auto"/>
        </w:rPr>
        <w:t>”), in addition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additional rent for the Remaining Premises and rent at the holdover rate for the Surrendered Space, if any, Tenant shall pay Basic Rent for the Remaining Premises in accordance with the following schedule:</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2840" w:type="dxa"/>
            <w:vAlign w:val="bottom"/>
            <w:vMerge w:val="restart"/>
          </w:tcPr>
          <w:p>
            <w:pPr>
              <w:spacing w:after="0"/>
              <w:rPr>
                <w:sz w:val="13"/>
                <w:szCs w:val="13"/>
                <w:color w:val="auto"/>
              </w:rPr>
            </w:pPr>
          </w:p>
        </w:tc>
        <w:tc>
          <w:tcPr>
            <w:tcW w:w="204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Annual Rate/SF of</w:t>
            </w:r>
          </w:p>
        </w:tc>
        <w:tc>
          <w:tcPr>
            <w:tcW w:w="36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Monthly Basic Rent</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Rentable Area</w:t>
            </w:r>
          </w:p>
        </w:tc>
        <w:tc>
          <w:tcPr>
            <w:tcW w:w="3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8/1/22 –7/31/23</w:t>
            </w:r>
          </w:p>
        </w:tc>
        <w:tc>
          <w:tcPr>
            <w:tcW w:w="2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59.00</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66 896.17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8/1/23 – 7/31/24</w:t>
            </w:r>
          </w:p>
        </w:tc>
        <w:tc>
          <w:tcPr>
            <w:tcW w:w="21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60.50</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68,596.92</w:t>
            </w: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8/1/24 –7/31/25</w:t>
            </w:r>
          </w:p>
        </w:tc>
        <w:tc>
          <w:tcPr>
            <w:tcW w:w="216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62.00</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70,297.67</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500" w:firstLine="444"/>
        <w:spacing w:after="0" w:line="282" w:lineRule="auto"/>
        <w:tabs>
          <w:tab w:leader="none" w:pos="615"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Remaining Premises Commencement Date, the Base Year with respect to the Remaining Premises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year 2022.</w:t>
      </w:r>
    </w:p>
    <w:p>
      <w:pPr>
        <w:spacing w:after="0" w:line="48"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Improvements</w:t>
      </w:r>
      <w:r>
        <w:rPr>
          <w:rFonts w:ascii="Times New Roman" w:cs="Times New Roman" w:eastAsia="Times New Roman" w:hAnsi="Times New Roman"/>
          <w:sz w:val="18"/>
          <w:szCs w:val="18"/>
          <w:b w:val="1"/>
          <w:bCs w:val="1"/>
          <w:color w:val="auto"/>
        </w:rPr>
        <w:t xml:space="preserve">; Allowance. </w:t>
      </w:r>
      <w:r>
        <w:rPr>
          <w:rFonts w:ascii="Times New Roman" w:cs="Times New Roman" w:eastAsia="Times New Roman" w:hAnsi="Times New Roman"/>
          <w:sz w:val="18"/>
          <w:szCs w:val="18"/>
          <w:color w:val="auto"/>
        </w:rPr>
        <w:t>Landlord shall provide Tenant a one-time tenant improvement allowance not to exceed $150,000.00 (the</w:t>
      </w:r>
    </w:p>
    <w:p>
      <w:pPr>
        <w:spacing w:after="0" w:line="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Allowance</w:t>
      </w:r>
      <w:r>
        <w:rPr>
          <w:rFonts w:ascii="Times New Roman" w:cs="Times New Roman" w:eastAsia="Times New Roman" w:hAnsi="Times New Roman"/>
          <w:sz w:val="17"/>
          <w:szCs w:val="17"/>
          <w:color w:val="auto"/>
        </w:rPr>
        <w:t>”) for lighting upgrades to the Remaining Premises (“</w:t>
      </w:r>
      <w:r>
        <w:rPr>
          <w:rFonts w:ascii="Times New Roman" w:cs="Times New Roman" w:eastAsia="Times New Roman" w:hAnsi="Times New Roman"/>
          <w:sz w:val="17"/>
          <w:szCs w:val="17"/>
          <w:b w:val="1"/>
          <w:bCs w:val="1"/>
          <w:u w:val="single" w:color="auto"/>
          <w:color w:val="auto"/>
        </w:rPr>
        <w:t>Tenant Improvements</w:t>
      </w:r>
      <w:r>
        <w:rPr>
          <w:rFonts w:ascii="Times New Roman" w:cs="Times New Roman" w:eastAsia="Times New Roman" w:hAnsi="Times New Roman"/>
          <w:sz w:val="17"/>
          <w:szCs w:val="17"/>
          <w:color w:val="auto"/>
        </w:rPr>
        <w:t>”) to be performed by Centric Construction and CBF Electrical. The specifications for the Tenant Improvements shall be subject to Landlord’s prior written approval, which approval shall not be unreasonable withheld, and the construction of the Tenant Improvements shall be in accordance with the terms of the Lease, as amended hereby. Tenant shall be responsible for all costs in excess of the Allowance, including the cost of moving and/or relocating furniture, fixtures and equipment in connection with the Tenant Improvements. All Tenant Improvements for which the Allowance has been made available shall be deemed Landlord’s property, and, notwithstanding anything to the contrary, Tenant shall have no obligation to remove the Tenant Improvements at the expiration or earlier termination of the Lease. Tenant shall not be entitled to use any portion of the Allowance for anything other than the Tenant Improvements. Within forty five (45) days after Landlord’s receipt of invoices sufficient to determine the actual cost of Tenant Improvements, final, unconditional lien waivers in the statutory form for all labor and materials provided in connection with the Tenant Improvements, and any other documentation reasonably requested by Landlord, Landlord shall reimburse Tenant for the actual, reasonable out of pocket cost incurred by Tenant related to the Tenant Improvements not to exceed the Allowance; provided, however, if an Event of Default is occurring, Landlord shall be entitled to withhold payment of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692" w:name="page693"/>
    <w:bookmarkEnd w:id="692"/>
    <w:p>
      <w:pPr>
        <w:ind w:right="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Allowance until such Event of Default is cured. In no event shall Tenant be entitled to any excess, credit, deduction or offset against rent for any unused portion of the Allowance. All requests for reimbursement for the Tenant Improvements up to the Allowance must be submitted to Landlord within six</w:t>
      </w:r>
    </w:p>
    <w:p>
      <w:pPr>
        <w:ind w:right="60" w:firstLine="7"/>
        <w:spacing w:after="0" w:line="248" w:lineRule="auto"/>
        <w:tabs>
          <w:tab w:leader="none" w:pos="252"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Remaining Premises Commencement Date, which period shall be extended due to delays caused by force majeure, including, without limitation, any delay in obtaining governmental approvals or construction as a result of the current COVID-19 pandemic (the “</w:t>
      </w:r>
      <w:r>
        <w:rPr>
          <w:rFonts w:ascii="Times New Roman" w:cs="Times New Roman" w:eastAsia="Times New Roman" w:hAnsi="Times New Roman"/>
          <w:sz w:val="18"/>
          <w:szCs w:val="18"/>
          <w:b w:val="1"/>
          <w:bCs w:val="1"/>
          <w:u w:val="single" w:color="auto"/>
          <w:color w:val="auto"/>
        </w:rPr>
        <w:t>Allowance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Election Period</w:t>
      </w:r>
      <w:r>
        <w:rPr>
          <w:rFonts w:ascii="Times New Roman" w:cs="Times New Roman" w:eastAsia="Times New Roman" w:hAnsi="Times New Roman"/>
          <w:sz w:val="18"/>
          <w:szCs w:val="18"/>
          <w:color w:val="auto"/>
        </w:rPr>
        <w:t>”), and Landlord shall not be obligated to make any disbursements related to the Tenant Improvements after the expiration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Election Period. Under no circumstances shall Landlord be required to disburse any portion of the Allowance if an Event of Default is occurring, until such Event of Default is cured, nor shall Tenant be entitled to any unused portion of the Allowance or to use any portion of the Allowance for any other purpose except as expressly provided herein. In prosecuting the Tenant Improvements, Tenant shall use commercially reasonable efforts to minimize any disruption to Landlord and tenants and occupants of the Building and shall at all times comply with Landlord’s reasonable rules and regulations related to construction which may be established by Landlord from time to time (and at such time, a copy thereof shall be provided to Tenant); provided, however, that (a) any changes made to rules and regulations related to construction after the commencement of construction shall not apply and (b) Tenant shall not be required to perform such work after-hours or during weekends except for work which may result in significant noise, odor or vibration or could otherwise materially interfere with Landlord and other tenants of the Building, including, without limitation, noise generating tasks such as roto hammering, core drilling and installing fasteners in concrete, which work shall be performed during hours reasonably approved by Landlord.</w:t>
      </w:r>
    </w:p>
    <w:p>
      <w:pPr>
        <w:spacing w:after="0" w:line="85" w:lineRule="exact"/>
        <w:rPr>
          <w:rFonts w:ascii="Times New Roman" w:cs="Times New Roman" w:eastAsia="Times New Roman" w:hAnsi="Times New Roman"/>
          <w:sz w:val="18"/>
          <w:szCs w:val="18"/>
          <w:color w:val="auto"/>
        </w:rPr>
      </w:pPr>
    </w:p>
    <w:p>
      <w:pPr>
        <w:jc w:val="both"/>
        <w:ind w:right="80" w:firstLine="444"/>
        <w:spacing w:after="0" w:line="259" w:lineRule="auto"/>
        <w:tabs>
          <w:tab w:leader="none" w:pos="615"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is holding a security deposit in the amount of $131,153.33. Effective on the Remaining Premises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the amount of the Security Deposit shall be decreased to $66,000.00 and Landlord shall return to Tenant the balance of $65,153.33 as promptly as practicable but in any event within thirty (30) days after the Remaining Premises Commencement Date, subject to any deduction therefrom permitted under, and otherwise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 Original Lease.</w:t>
      </w:r>
    </w:p>
    <w:p>
      <w:pPr>
        <w:spacing w:after="0" w:line="69" w:lineRule="exact"/>
        <w:rPr>
          <w:rFonts w:ascii="Times New Roman" w:cs="Times New Roman" w:eastAsia="Times New Roman" w:hAnsi="Times New Roman"/>
          <w:sz w:val="18"/>
          <w:szCs w:val="18"/>
          <w:color w:val="auto"/>
        </w:rPr>
      </w:pPr>
    </w:p>
    <w:p>
      <w:pPr>
        <w:ind w:right="80" w:firstLine="444"/>
        <w:spacing w:after="0" w:line="261" w:lineRule="auto"/>
        <w:tabs>
          <w:tab w:leader="none" w:pos="615"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 of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acknowledges that (a) it has been occupying and continues to occupy the Remaining Premises, (b) it is familiar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condition of the Remaining Premises, (c) it accepts the Remaining Premises in its “as-is, where-is and with all faults” condition, and</w:t>
      </w: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Landlord has made no representation or warranty regarding the condition of any portion of the Premises, the Building, or the Project or the suitability thereof for Tenant’s business.</w:t>
      </w:r>
    </w:p>
    <w:p>
      <w:pPr>
        <w:spacing w:after="0" w:line="70" w:lineRule="exact"/>
        <w:rPr>
          <w:rFonts w:ascii="Times New Roman" w:cs="Times New Roman" w:eastAsia="Times New Roman" w:hAnsi="Times New Roman"/>
          <w:sz w:val="18"/>
          <w:szCs w:val="18"/>
          <w:color w:val="auto"/>
        </w:rPr>
      </w:pPr>
    </w:p>
    <w:p>
      <w:pPr>
        <w:ind w:right="120" w:firstLine="444"/>
        <w:spacing w:after="0" w:line="265" w:lineRule="auto"/>
        <w:tabs>
          <w:tab w:leader="none" w:pos="615"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Civil Code Section 1938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and agree that the Premises has not been inspected by a Certified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Specialist (“</w:t>
      </w:r>
      <w:r>
        <w:rPr>
          <w:rFonts w:ascii="Times New Roman" w:cs="Times New Roman" w:eastAsia="Times New Roman" w:hAnsi="Times New Roman"/>
          <w:sz w:val="18"/>
          <w:szCs w:val="18"/>
          <w:b w:val="1"/>
          <w:bCs w:val="1"/>
          <w:u w:val="single" w:color="auto"/>
          <w:color w:val="auto"/>
        </w:rPr>
        <w:t>CASp</w:t>
      </w:r>
      <w:r>
        <w:rPr>
          <w:rFonts w:ascii="Times New Roman" w:cs="Times New Roman" w:eastAsia="Times New Roman" w:hAnsi="Times New Roman"/>
          <w:sz w:val="18"/>
          <w:szCs w:val="18"/>
          <w:color w:val="auto"/>
        </w:rPr>
        <w:t>”) pursuant to Section 1938 of the Civil Code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The parties further agree, pursuant to subdivision (e) of Section 55.53 of the Code the following:</w:t>
      </w:r>
    </w:p>
    <w:p>
      <w:pPr>
        <w:spacing w:after="0" w:line="67" w:lineRule="exact"/>
        <w:rPr>
          <w:rFonts w:ascii="Times New Roman" w:cs="Times New Roman" w:eastAsia="Times New Roman" w:hAnsi="Times New Roman"/>
          <w:sz w:val="18"/>
          <w:szCs w:val="18"/>
          <w:color w:val="auto"/>
        </w:rPr>
      </w:pPr>
    </w:p>
    <w:p>
      <w:pPr>
        <w:ind w:right="100" w:firstLine="990"/>
        <w:spacing w:after="0" w:line="255" w:lineRule="auto"/>
        <w:tabs>
          <w:tab w:leader="none" w:pos="1225" w:val="left"/>
        </w:tabs>
        <w:numPr>
          <w:ilvl w:val="2"/>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CASp can inspect the Premises and determine whether the Premises complies with all of the applicable construction-related accessibility standards under state law. Although state law does not require a CASp inspection of the Premises, Landlord may not prohibit Tenant from obtaining a CASp inspection of the Premises for the occupancy or potential occupancy of Tenant, if requested by Tenant. The parties shall mutually agree on the arrangements for the time and manner of the CASp inspection, the payment of the fee for the CASp inspection, and the cost of making any repairs necessary to correct violations of the construction-related accessibility standards within the Premises.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693" w:name="page694"/>
    <w:bookmarkEnd w:id="693"/>
    <w:p>
      <w:pPr>
        <w:ind w:firstLine="990"/>
        <w:spacing w:after="0" w:line="251" w:lineRule="auto"/>
        <w:tabs>
          <w:tab w:leader="none" w:pos="1235"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Pursuant to the paragraph above, the parties expressly agree that, if Tenant elects to obtain a CASp inspection of the Premises, Tenant shall be solely responsible for scheduling the inspection and that such inspection shall not unreasonably interfere with the operations of the Premises, the Building and/or the Project or disturb any other tenant or occupant. Tenant shall be solely responsible for any and all costs to perform the CASp inspection elected by Tenant, including any ancillary costs relating thereto. If the results of the inspection determine that modifications or alterations are required to meet all applicable construction-related accessibility standards, Tenant agrees to perform such work, in its sole cost and expense and provided approvals from Landlord are obtained under the Lease. Tenant agrees that all work shall be performed in a first class manner in compliance with all laws and using best efforts to minimize any disruption to the Building, the Project and other tenants or occupants, if applicable. Furthermore, Tenant agrees that any report that is generated as a result of an inspection pursuant to this Section and all information contained therein, shall remain confidential, except as necessary for Tenant to complete repairs and/or correct violations, as agreed herein.</w:t>
      </w:r>
    </w:p>
    <w:p>
      <w:pPr>
        <w:spacing w:after="0" w:line="84"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also makes the disclosure required by the City and County of San Francisco regarding handicapped access in </w:t>
      </w:r>
      <w:r>
        <w:rPr>
          <w:rFonts w:ascii="Times New Roman" w:cs="Times New Roman" w:eastAsia="Times New Roman" w:hAnsi="Times New Roman"/>
          <w:sz w:val="18"/>
          <w:szCs w:val="18"/>
          <w:u w:val="single" w:color="auto"/>
          <w:color w:val="auto"/>
        </w:rPr>
        <w:t>Exhibit B</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w:t>
      </w:r>
    </w:p>
    <w:p>
      <w:pPr>
        <w:spacing w:after="0" w:line="91" w:lineRule="exact"/>
        <w:rPr>
          <w:rFonts w:ascii="Times New Roman" w:cs="Times New Roman" w:eastAsia="Times New Roman" w:hAnsi="Times New Roman"/>
          <w:sz w:val="18"/>
          <w:szCs w:val="18"/>
          <w:color w:val="auto"/>
        </w:rPr>
      </w:pPr>
    </w:p>
    <w:p>
      <w:pPr>
        <w:ind w:firstLine="444"/>
        <w:spacing w:after="0" w:line="269" w:lineRule="auto"/>
        <w:tabs>
          <w:tab w:leader="none" w:pos="615"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Tenant’s Estoppel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hereby certifies, as of the date of the execution of this Amendment by Tenant, that: (a) to Tenant’s actual 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Landlord is not in default in any respect under the Lease; (b) Tenant does not have any defenses to its obligations under the Lease; (c) there are no offsets against rent or any other amount payable in connection with the Lease; and (d) Landlord is holding a Security Deposit in the amount of $131,153.33 under the Lease. Without limiting the generality of the foregoing, Tenant acknowledges and agrees that it has received Reconciliation Statements for all Operating Years through and including calendar year 2020, and all amounts shown on each Reconciliation Statement shall be deemed final and binding on Tenant. Tenant waives any right to challenge or assert any Claims (as defined herein) in connection therewith, including any such additional rent chargeable under Section 5 of the Original Lease. Tenant acknowledges and agrees that: (i) the representations set forth in this Amendment constitute a material consideration to Landlord in entering into this Amendment; (ii) such representations are being made by Tenant for purposes of inducing Landlord to enter into this Amendment; and (iii) Landlord is relying on such representations in entering into this Amendment.</w:t>
      </w:r>
    </w:p>
    <w:p>
      <w:pPr>
        <w:spacing w:after="0" w:line="60" w:lineRule="exact"/>
        <w:rPr>
          <w:rFonts w:ascii="Times New Roman" w:cs="Times New Roman" w:eastAsia="Times New Roman" w:hAnsi="Times New Roman"/>
          <w:sz w:val="17"/>
          <w:szCs w:val="17"/>
          <w:color w:val="auto"/>
        </w:rPr>
      </w:pPr>
    </w:p>
    <w:p>
      <w:pPr>
        <w:ind w:right="260" w:firstLine="444"/>
        <w:spacing w:after="0" w:line="265" w:lineRule="auto"/>
        <w:tabs>
          <w:tab w:leader="none" w:pos="70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contains the entire agreement and understanding between the parties concerning the subject matter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supersedes all prior agreements, terms, understandings, conditions, representations and warranties, whether written or oral, concerning the matters that are the subject of this Amendment.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7" w:right="499" w:bottom="1440" w:gutter="0" w:footer="0" w:header="0"/>
        </w:sectPr>
      </w:pPr>
    </w:p>
    <w:bookmarkStart w:id="694" w:name="page695"/>
    <w:bookmarkEnd w:id="694"/>
    <w:p>
      <w:pPr>
        <w:ind w:left="-20" w:right="240" w:firstLine="444"/>
        <w:spacing w:after="0" w:line="282" w:lineRule="auto"/>
        <w:tabs>
          <w:tab w:leader="none" w:pos="67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term of this Amendment is held by a court of competent jurisdiction to be invalid, void or unenforceable,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Amendment shall remain in full force and effect and shall in no way be affected, impaired or invalidated.</w:t>
      </w:r>
    </w:p>
    <w:p>
      <w:pPr>
        <w:spacing w:after="0" w:line="155" w:lineRule="exact"/>
        <w:rPr>
          <w:rFonts w:ascii="Times New Roman" w:cs="Times New Roman" w:eastAsia="Times New Roman" w:hAnsi="Times New Roman"/>
          <w:sz w:val="18"/>
          <w:szCs w:val="18"/>
          <w:color w:val="auto"/>
        </w:rPr>
      </w:pPr>
    </w:p>
    <w:p>
      <w:pPr>
        <w:ind w:left="-20" w:right="120" w:firstLine="444"/>
        <w:spacing w:after="0" w:line="272" w:lineRule="auto"/>
        <w:tabs>
          <w:tab w:leader="none" w:pos="684" w:val="left"/>
        </w:tabs>
        <w:numPr>
          <w:ilvl w:val="0"/>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Brokers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Tenant hereby represents and warrants to Landlord that Tenant has not entered into any agreement or taken any other action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might result in any obligation on the part of Landlord or Tenant to pay any brokerage commission, finder’s fee or other compensation with respect to this Amendment, and Tenant agrees to protect, defend, indemnify and hold Landlord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Times New Roman" w:cs="Times New Roman" w:eastAsia="Times New Roman" w:hAnsi="Times New Roman"/>
          <w:sz w:val="17"/>
          <w:szCs w:val="17"/>
          <w:b w:val="1"/>
          <w:bCs w:val="1"/>
          <w:u w:val="single" w:color="auto"/>
          <w:color w:val="auto"/>
        </w:rPr>
        <w:t>Claims</w:t>
      </w:r>
      <w:r>
        <w:rPr>
          <w:rFonts w:ascii="Times New Roman" w:cs="Times New Roman" w:eastAsia="Times New Roman" w:hAnsi="Times New Roman"/>
          <w:sz w:val="17"/>
          <w:szCs w:val="17"/>
          <w:color w:val="auto"/>
        </w:rPr>
        <w:t>”) in any way arising or resulting from, or in connection with or related to any breach or inaccuracy of such representation and warranty.</w:t>
      </w:r>
    </w:p>
    <w:p>
      <w:pPr>
        <w:spacing w:after="0" w:line="168" w:lineRule="exact"/>
        <w:rPr>
          <w:rFonts w:ascii="Times New Roman" w:cs="Times New Roman" w:eastAsia="Times New Roman" w:hAnsi="Times New Roman"/>
          <w:sz w:val="17"/>
          <w:szCs w:val="17"/>
          <w:color w:val="auto"/>
        </w:rPr>
      </w:pPr>
    </w:p>
    <w:p>
      <w:pPr>
        <w:ind w:left="-20" w:right="200" w:firstLine="444"/>
        <w:spacing w:after="0" w:line="265" w:lineRule="auto"/>
        <w:tabs>
          <w:tab w:leader="none" w:pos="6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and Tenant hereby ratify and confirm their respective rights and obligations under the Lease, as amended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herein amended, the Lease is and shall remain in full force and effect according to the terms thereof. In the event of any conflict between the terms of the Lease and the terms of this Amendment, the terms of this Amendment shall control.</w:t>
      </w:r>
    </w:p>
    <w:p>
      <w:pPr>
        <w:spacing w:after="0" w:line="170" w:lineRule="exact"/>
        <w:rPr>
          <w:rFonts w:ascii="Times New Roman" w:cs="Times New Roman" w:eastAsia="Times New Roman" w:hAnsi="Times New Roman"/>
          <w:sz w:val="18"/>
          <w:szCs w:val="18"/>
          <w:color w:val="auto"/>
        </w:rPr>
      </w:pPr>
    </w:p>
    <w:p>
      <w:pPr>
        <w:ind w:left="-20" w:right="260" w:firstLine="444"/>
        <w:spacing w:after="0" w:line="265" w:lineRule="auto"/>
        <w:tabs>
          <w:tab w:leader="none" w:pos="6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warrants and represents to Landlord that Tenant has the right and power to enter into this Amendment and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performance by Tenant of its obligations under this Amendment have been duly authorized by Tenant and no further authorizations are required.</w:t>
      </w:r>
    </w:p>
    <w:p>
      <w:pPr>
        <w:spacing w:after="0" w:line="170" w:lineRule="exact"/>
        <w:rPr>
          <w:rFonts w:ascii="Times New Roman" w:cs="Times New Roman" w:eastAsia="Times New Roman" w:hAnsi="Times New Roman"/>
          <w:sz w:val="18"/>
          <w:szCs w:val="18"/>
          <w:color w:val="auto"/>
        </w:rPr>
      </w:pPr>
    </w:p>
    <w:p>
      <w:pPr>
        <w:jc w:val="both"/>
        <w:ind w:left="-20" w:right="20" w:firstLine="444"/>
        <w:spacing w:after="0" w:line="265" w:lineRule="auto"/>
        <w:tabs>
          <w:tab w:leader="none" w:pos="6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Tenant nor its agents, employees or any other parties acting on behalf of Tenant shall disclose any matters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or disseminate or distribute any information concerning the terms, details or conditions hereof to any person, firm or entity without first obtaining the express written consent of Landlord.</w:t>
      </w:r>
    </w:p>
    <w:p>
      <w:pPr>
        <w:spacing w:after="0" w:line="170" w:lineRule="exact"/>
        <w:rPr>
          <w:rFonts w:ascii="Times New Roman" w:cs="Times New Roman" w:eastAsia="Times New Roman" w:hAnsi="Times New Roman"/>
          <w:sz w:val="18"/>
          <w:szCs w:val="18"/>
          <w:color w:val="auto"/>
        </w:rPr>
      </w:pPr>
    </w:p>
    <w:p>
      <w:pPr>
        <w:ind w:left="-20" w:right="120" w:firstLine="444"/>
        <w:spacing w:after="0" w:line="282" w:lineRule="auto"/>
        <w:tabs>
          <w:tab w:leader="none" w:pos="6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 action is commenced between the parties in connection with the enforcement of any provision of this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prevailing party in that action shall be entitled to recover its costs and expenses, including reasonable attorneys’ fees.</w:t>
      </w:r>
    </w:p>
    <w:p>
      <w:pPr>
        <w:spacing w:after="0" w:line="155" w:lineRule="exact"/>
        <w:rPr>
          <w:rFonts w:ascii="Times New Roman" w:cs="Times New Roman" w:eastAsia="Times New Roman" w:hAnsi="Times New Roman"/>
          <w:sz w:val="18"/>
          <w:szCs w:val="18"/>
          <w:color w:val="auto"/>
        </w:rPr>
      </w:pPr>
    </w:p>
    <w:p>
      <w:pPr>
        <w:ind w:left="-20" w:right="80" w:firstLine="444"/>
        <w:spacing w:after="0" w:line="282" w:lineRule="auto"/>
        <w:tabs>
          <w:tab w:leader="none" w:pos="6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agrees to perform, execute and deliver or cause to be performed, executed and delivered any and all such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acts, deeds and assurances as may be necessary to consummate the actions contemplated in this Amendment.</w:t>
      </w:r>
    </w:p>
    <w:p>
      <w:pPr>
        <w:spacing w:after="0" w:line="155" w:lineRule="exact"/>
        <w:rPr>
          <w:rFonts w:ascii="Times New Roman" w:cs="Times New Roman" w:eastAsia="Times New Roman" w:hAnsi="Times New Roman"/>
          <w:sz w:val="18"/>
          <w:szCs w:val="18"/>
          <w:color w:val="auto"/>
        </w:rPr>
      </w:pPr>
    </w:p>
    <w:p>
      <w:pPr>
        <w:ind w:left="-20" w:right="680" w:firstLine="444"/>
        <w:spacing w:after="0" w:line="282" w:lineRule="auto"/>
        <w:tabs>
          <w:tab w:leader="none" w:pos="6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Landlord and Tenant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w:t>
      </w:r>
    </w:p>
    <w:p>
      <w:pPr>
        <w:spacing w:after="0" w:line="155" w:lineRule="exact"/>
        <w:rPr>
          <w:rFonts w:ascii="Times New Roman" w:cs="Times New Roman" w:eastAsia="Times New Roman" w:hAnsi="Times New Roman"/>
          <w:sz w:val="18"/>
          <w:szCs w:val="18"/>
          <w:color w:val="auto"/>
        </w:rPr>
      </w:pPr>
    </w:p>
    <w:p>
      <w:pPr>
        <w:ind w:left="-20" w:firstLine="444"/>
        <w:spacing w:after="0" w:line="282" w:lineRule="auto"/>
        <w:tabs>
          <w:tab w:leader="none" w:pos="6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California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the obligations under this Amendment shall be construed in accordance with, governed by,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laws of the State of California.</w:t>
      </w:r>
    </w:p>
    <w:p>
      <w:pPr>
        <w:spacing w:after="0" w:line="155"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Time of Essence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that time is of the essence with respect to all covenants and agreements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4" w:right="499" w:bottom="1440" w:gutter="0" w:footer="0" w:header="0"/>
        </w:sectPr>
      </w:pPr>
    </w:p>
    <w:bookmarkStart w:id="695" w:name="page696"/>
    <w:bookmarkEnd w:id="695"/>
    <w:p>
      <w:pPr>
        <w:ind w:right="560" w:firstLine="444"/>
        <w:spacing w:after="0" w:line="265" w:lineRule="auto"/>
        <w:tabs>
          <w:tab w:leader="none" w:pos="704"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No Offer. </w:t>
      </w:r>
      <w:r>
        <w:rPr>
          <w:rFonts w:ascii="Times New Roman" w:cs="Times New Roman" w:eastAsia="Times New Roman" w:hAnsi="Times New Roman"/>
          <w:sz w:val="18"/>
          <w:szCs w:val="18"/>
          <w:color w:val="auto"/>
        </w:rPr>
        <w:t>Submission of this instrument for examination and signature by Tenant does not constitute an offer to amend the Lease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reservation of or option for an amendment to the Lease, and this instrument is not effective as a lease amendment or otherwise until executed and delivered by both Landlord and Tenant.</w:t>
      </w:r>
    </w:p>
    <w:p>
      <w:pPr>
        <w:spacing w:after="0" w:line="170" w:lineRule="exact"/>
        <w:rPr>
          <w:rFonts w:ascii="Times New Roman" w:cs="Times New Roman" w:eastAsia="Times New Roman" w:hAnsi="Times New Roman"/>
          <w:sz w:val="18"/>
          <w:szCs w:val="18"/>
          <w:color w:val="auto"/>
        </w:rPr>
      </w:pPr>
    </w:p>
    <w:p>
      <w:pPr>
        <w:ind w:firstLine="444"/>
        <w:spacing w:after="0" w:line="265" w:lineRule="auto"/>
        <w:tabs>
          <w:tab w:leader="none" w:pos="704"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any number of identical counterparts each of which shall be deemed to be an original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when taken together, shall constitute one and the same instrument. PDF and electronic signatures (including, without limitation, signatures provided via DocuSign) shall constitute originals for purposes of this Consent.</w:t>
      </w:r>
    </w:p>
    <w:p>
      <w:pPr>
        <w:spacing w:after="0" w:line="174"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IN WITNESS WHEREOF, Landlord and Tenant have caused their duly authorized representatives to execute this Amendment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 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Bruce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Bruce W. Jones</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15875</wp:posOffset>
            </wp:positionV>
            <wp:extent cx="253936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Sean Duffy</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4" w:right="499" w:bottom="1440" w:gutter="0" w:footer="0" w:header="0"/>
        </w:sectPr>
      </w:pPr>
    </w:p>
    <w:bookmarkStart w:id="696" w:name="page697"/>
    <w:bookmarkEnd w:id="69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A-1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REMAINING PREMISES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264" w:right="1440" w:bottom="1440" w:gutter="0" w:footer="0" w:header="0"/>
        </w:sectPr>
      </w:pPr>
    </w:p>
    <w:bookmarkStart w:id="697" w:name="page698"/>
    <w:bookmarkEnd w:id="6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DISABILITY ACCESS OBLIGATIONS UNDER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ADMINISTRATIVE CODE CHAPTER 38</w:t>
      </w:r>
    </w:p>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Before you, as the Tenant, enter into a lease with us, Landlord, for the property identified below (the “</w:t>
      </w:r>
      <w:r>
        <w:rPr>
          <w:rFonts w:ascii="Times New Roman" w:cs="Times New Roman" w:eastAsia="Times New Roman" w:hAnsi="Times New Roman"/>
          <w:sz w:val="18"/>
          <w:szCs w:val="18"/>
          <w:b w:val="1"/>
          <w:bCs w:val="1"/>
          <w:u w:val="single" w:color="auto"/>
          <w:color w:val="auto"/>
        </w:rPr>
        <w:t>Property</w:t>
      </w:r>
      <w:r>
        <w:rPr>
          <w:rFonts w:ascii="Times New Roman" w:cs="Times New Roman" w:eastAsia="Times New Roman" w:hAnsi="Times New Roman"/>
          <w:sz w:val="18"/>
          <w:szCs w:val="18"/>
          <w:color w:val="auto"/>
        </w:rPr>
        <w:t>”), please be aware of the following important information about the lease:</w:t>
      </w:r>
    </w:p>
    <w:p>
      <w:pPr>
        <w:spacing w:after="0" w:line="1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 May Be Held Liable for Disability Access Violations on the Property. </w:t>
      </w:r>
      <w:r>
        <w:rPr>
          <w:rFonts w:ascii="Times New Roman" w:cs="Times New Roman" w:eastAsia="Times New Roman" w:hAnsi="Times New Roman"/>
          <w:sz w:val="18"/>
          <w:szCs w:val="18"/>
          <w:color w:val="auto"/>
        </w:rPr>
        <w:t>Even though you are not the owner of the Property, you, as the tenant,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Property owner, may still be subject to legal and financial liabilities if the leased Property does not comply with applicable Federal and State disability access laws. You may wish to consult with an attorney prior to entering this lease amendment to make sure that you understand your obligations under Federal and State disability access laws. The Landlord must provide you with a copy of the Small Business Commission Access Information Notice under Section 38.6 of the San Francisco Administrative Code in your requested language. For more information about disability access laws applicable to small businesses, you may wish to visit the website of the San Francisco Office of Small Business or call 415-554-6134.</w:t>
      </w:r>
    </w:p>
    <w:p>
      <w:pPr>
        <w:spacing w:after="0" w:line="17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Lease Must Specify Who Is Responsible for Making Any Required Disability Access Improvements to the Property. </w:t>
      </w:r>
      <w:r>
        <w:rPr>
          <w:rFonts w:ascii="Times New Roman" w:cs="Times New Roman" w:eastAsia="Times New Roman" w:hAnsi="Times New Roman"/>
          <w:sz w:val="17"/>
          <w:szCs w:val="17"/>
          <w:color w:val="auto"/>
        </w:rPr>
        <w:t>Under City law,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lease must include a provision in which you, the Tenant, and the Landlord agree upon your respective obligations and liabilities for making and paying for required disability access improvements on the leased Property. The lease must also require you and the Landlord to use reasonable efforts to notify each other if they make alterations to the leased Property that might impact accessibility under federal and state disability access laws. You may wish to review those provisions with your attorney prior to entering this lease amendment to make sure that you understand your obligations under the lease.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subject to your lease is: Suites 200 Sansome Street, San Francisco, California.</w:t>
      </w:r>
    </w:p>
    <w:p>
      <w:pPr>
        <w:spacing w:after="0" w:line="221"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By signing below I confirm that I have read and understood this Disability Access Obligations Notice and have been provided a copy of the Small Business Commission’s Access Information Notice in the tenant’s requested language.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w:t>
            </w:r>
          </w:p>
        </w:tc>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Tenant:</w:t>
            </w:r>
          </w:p>
        </w:tc>
      </w:tr>
      <w:tr>
        <w:trPr>
          <w:trHeight w:val="405"/>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500 SANSOME STREET INVESTORS,</w:t>
            </w:r>
          </w:p>
        </w:tc>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OMADA HEALTH, INC</w:t>
            </w:r>
          </w:p>
        </w:tc>
      </w:tr>
      <w:tr>
        <w:trPr>
          <w:trHeight w:val="23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LLC, </w:t>
            </w:r>
            <w:r>
              <w:rPr>
                <w:rFonts w:ascii="Times New Roman" w:cs="Times New Roman" w:eastAsia="Times New Roman" w:hAnsi="Times New Roman"/>
                <w:sz w:val="18"/>
                <w:szCs w:val="18"/>
                <w:color w:val="auto"/>
              </w:rPr>
              <w:t>a California limited liability company</w:t>
            </w:r>
          </w:p>
        </w:tc>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1"/>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Bruce W. Jones</w:t>
            </w:r>
          </w:p>
        </w:tc>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By:  /s/ Sean Duffy</w:t>
            </w:r>
          </w:p>
        </w:tc>
      </w:tr>
      <w:tr>
        <w:trPr>
          <w:trHeight w:val="202"/>
        </w:trPr>
        <w:tc>
          <w:tcPr>
            <w:tcW w:w="460" w:type="dxa"/>
            <w:vAlign w:val="bottom"/>
          </w:tcPr>
          <w:p>
            <w:pPr>
              <w:spacing w:after="0"/>
              <w:rPr>
                <w:sz w:val="17"/>
                <w:szCs w:val="17"/>
                <w:color w:val="auto"/>
              </w:rPr>
            </w:pPr>
          </w:p>
        </w:tc>
        <w:tc>
          <w:tcPr>
            <w:tcW w:w="48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 Bruce W. Jones</w:t>
            </w:r>
          </w:p>
        </w:tc>
        <w:tc>
          <w:tcPr>
            <w:tcW w:w="860" w:type="dxa"/>
            <w:vAlign w:val="bottom"/>
          </w:tcPr>
          <w:p>
            <w:pPr>
              <w:spacing w:after="0"/>
              <w:rPr>
                <w:sz w:val="17"/>
                <w:szCs w:val="17"/>
                <w:color w:val="auto"/>
              </w:rPr>
            </w:pPr>
          </w:p>
        </w:tc>
        <w:tc>
          <w:tcPr>
            <w:tcW w:w="48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 Sean Duffy</w:t>
            </w:r>
          </w:p>
        </w:tc>
      </w:tr>
      <w:tr>
        <w:trPr>
          <w:trHeight w:val="233"/>
        </w:trPr>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Agent</w:t>
            </w:r>
          </w:p>
        </w:tc>
        <w:tc>
          <w:tcPr>
            <w:tcW w:w="86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28"/>
        </w:trPr>
        <w:tc>
          <w:tcPr>
            <w:tcW w:w="46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2022</w:t>
            </w:r>
          </w:p>
        </w:tc>
        <w:tc>
          <w:tcPr>
            <w:tcW w:w="86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2022</w:t>
            </w:r>
          </w:p>
        </w:tc>
      </w:tr>
      <w:tr>
        <w:trPr>
          <w:trHeight w:val="361"/>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4800" w:type="dxa"/>
            <w:vAlign w:val="bottom"/>
          </w:tcPr>
          <w:p>
            <w:pPr>
              <w:spacing w:after="0"/>
              <w:rPr>
                <w:sz w:val="24"/>
                <w:szCs w:val="24"/>
                <w:color w:val="auto"/>
              </w:rPr>
            </w:pPr>
          </w:p>
        </w:tc>
      </w:tr>
    </w:tbl>
    <w:p>
      <w:pPr>
        <w:sectPr>
          <w:pgSz w:w="11900" w:h="16838" w:orient="portrait"/>
          <w:cols w:equalWidth="0" w:num="1">
            <w:col w:w="10920"/>
          </w:cols>
          <w:pgMar w:left="480" w:top="265" w:right="499" w:bottom="1440" w:gutter="0" w:footer="0" w:header="0"/>
        </w:sectPr>
      </w:pPr>
    </w:p>
    <w:bookmarkStart w:id="698" w:name="page699"/>
    <w:bookmarkEnd w:id="698"/>
    <w:p>
      <w:pPr>
        <w:jc w:val="right"/>
        <w:spacing w:after="0"/>
        <w:rPr>
          <w:sz w:val="20"/>
          <w:szCs w:val="20"/>
          <w:color w:val="auto"/>
        </w:rPr>
      </w:pPr>
      <w:r>
        <w:rPr>
          <w:rFonts w:ascii="Times New Roman" w:cs="Times New Roman" w:eastAsia="Times New Roman" w:hAnsi="Times New Roman"/>
          <w:sz w:val="18"/>
          <w:szCs w:val="18"/>
          <w:b w:val="1"/>
          <w:bCs w:val="1"/>
          <w:color w:val="auto"/>
        </w:rPr>
        <w:t>Exhibit 10.7(a)</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2011 STOCK PLAN</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ADOPTED ON MAY 20, 2011</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AMENDED ON JANUARY 16, 2013, APRIL 4, 2014, JULY 9, 2015,</w:t>
      </w:r>
    </w:p>
    <w:p>
      <w:pPr>
        <w:spacing w:after="0" w:line="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SEPTEMBER 3, 2015, JANUARY 28, 2016, MAY 9, 2017, JUNE 6, 2019,</w:t>
      </w:r>
    </w:p>
    <w:p>
      <w:pPr>
        <w:spacing w:after="0" w:line="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JULY 1, 2020, MARCH 16, 2021, DECEMBER 16, 2021, MARCH 8, 2022, JUNE 13, 2023 AND</w:t>
      </w:r>
    </w:p>
    <w:p>
      <w:pPr>
        <w:spacing w:after="0" w:line="1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DECEMBER 5, 2023</w:t>
      </w:r>
    </w:p>
    <w:p>
      <w:pPr>
        <w:spacing w:after="0" w:line="1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60"/>
          </w:cols>
          <w:pgMar w:left="1440" w:top="117" w:right="499" w:bottom="1440" w:gutter="0" w:footer="0" w:header="0"/>
        </w:sectPr>
      </w:pPr>
    </w:p>
    <w:bookmarkStart w:id="699" w:name="page700"/>
    <w:bookmarkEnd w:id="699"/>
    <w:tbl>
      <w:tblPr>
        <w:tblLayout w:type="fixed"/>
        <w:tblInd w:w="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p>
        </w:tc>
        <w:tc>
          <w:tcPr>
            <w:tcW w:w="778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r>
      <w:tr>
        <w:trPr>
          <w:trHeight w:val="369"/>
        </w:trPr>
        <w:tc>
          <w:tcPr>
            <w:tcW w:w="7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33"/>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ESTABLISHMENT AND PURPOSE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ADMINISTRATION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 of the Board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of the Board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ELIGIBILITY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Rule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Ten-Percent Stockholders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STOCK SUBJECT TO PLAN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Limitation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Shares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TERMS AND CONDITIONS OF AWARDS OR SALES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Grant or Purchase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Duration of Offers and Nontransferability of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TERMS AND CONDITIONS OF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Shares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Price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Term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Service (Except by Death)</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Leaves of Absence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Death of Optionee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Pre-Exercise Restrictions on Transfer of Options or Shares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Modification, Extension and Assumption of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Right to Cancel Certain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PAYMENT FOR SHARES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Rule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 Rendered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Promissory Note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Surrender of Stock</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Exercise/Sale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Forms of 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700" w:name="page701"/>
    <w:bookmarkEnd w:id="700"/>
    <w:tbl>
      <w:tblPr>
        <w:tblLayout w:type="fixed"/>
        <w:tblInd w:w="0" w:type="dxa"/>
        <w:tblCellMar>
          <w:top w:w="0" w:type="dxa"/>
          <w:left w:w="0" w:type="dxa"/>
          <w:bottom w:w="0" w:type="dxa"/>
          <w:right w:w="0" w:type="dxa"/>
        </w:tblCellMar>
      </w:tblPr>
      <w:tr>
        <w:trPr>
          <w:trHeight w:val="21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ADJUSTMENT OF SHARES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Reservation of Rights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PRE-EXERCISE INFORMATION REQUIREMENT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Requirement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Scope of Requirement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Law Requirements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Retention Rights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Treatment as Compensation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and Restrictions on Shares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DURATION AND AMENDMENTS; STOCKHOLDER APPROVAL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of the Plan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to Amend or Terminate the Plan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Amendment or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Approval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1"/>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DEFINITIONS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60"/>
          </w:cols>
          <w:pgMar w:left="480" w:top="268" w:right="559" w:bottom="1440" w:gutter="0" w:footer="0" w:header="0"/>
        </w:sectPr>
      </w:pPr>
    </w:p>
    <w:bookmarkStart w:id="701" w:name="page702"/>
    <w:bookmarkEnd w:id="701"/>
    <w:p>
      <w:pPr>
        <w:ind w:left="3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OMADA HEALTH, INC. 2011 STOCK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ESTABLISHMENT AND PURPOSE.</w:t>
      </w:r>
    </w:p>
    <w:p>
      <w:pPr>
        <w:spacing w:after="0" w:line="11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purpose of this Plan is to offer persons selected by the Company an opportunity to acquire a proprietary interest in the success of the Company, or to increase such interest, by acquiring Shares of the Company’s Stock. The Plan provides both for the direct award or sale of Shares and for the grant of Options to purchase Shares. Options granted under the Plan may be ISOs intended to qualify under Code Section 422 or Nonstatutory Options which are not intended to so qualify.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are defined in Section 12.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ADMINISTRATION.</w:t>
      </w:r>
    </w:p>
    <w:p>
      <w:pPr>
        <w:spacing w:after="0" w:line="114"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(a)  Committees of the Board of Directors. The Plan may be administered by one or more Committees. Each Committee shall 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184" w:lineRule="exact"/>
        <w:rPr>
          <w:sz w:val="20"/>
          <w:szCs w:val="20"/>
          <w:color w:val="auto"/>
        </w:rPr>
      </w:pPr>
    </w:p>
    <w:p>
      <w:pPr>
        <w:ind w:right="20" w:firstLine="982"/>
        <w:spacing w:after="0" w:line="254" w:lineRule="auto"/>
        <w:rPr>
          <w:sz w:val="20"/>
          <w:szCs w:val="20"/>
          <w:color w:val="auto"/>
        </w:rPr>
      </w:pPr>
      <w:r>
        <w:rPr>
          <w:rFonts w:ascii="Times New Roman" w:cs="Times New Roman" w:eastAsia="Times New Roman" w:hAnsi="Times New Roman"/>
          <w:sz w:val="18"/>
          <w:szCs w:val="18"/>
          <w:color w:val="auto"/>
        </w:rPr>
        <w:t>(b)  Authority of the Board of Directors. Subject to the provisions of the Plan, the Board of Directors shall 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Purchasers, all Optionees and all persons deriving their rights from a Purchaser or Optionee.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ELIGIBILITY.</w:t>
      </w:r>
    </w:p>
    <w:p>
      <w:pPr>
        <w:spacing w:after="0" w:line="114"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(a)  General Rule. Only Employees, Outside Directors and Consultants shall be eligible for the grant of Nonstatutory Options or the direct award or sale of Shares. Only Employees shall be eligible for the grant of ISOs.</w:t>
      </w:r>
    </w:p>
    <w:p>
      <w:pPr>
        <w:spacing w:after="0" w:line="162" w:lineRule="exact"/>
        <w:rPr>
          <w:sz w:val="20"/>
          <w:szCs w:val="20"/>
          <w:color w:val="auto"/>
        </w:rPr>
      </w:pPr>
    </w:p>
    <w:p>
      <w:pPr>
        <w:jc w:val="both"/>
        <w:ind w:right="60" w:firstLine="982"/>
        <w:spacing w:after="0" w:line="258" w:lineRule="auto"/>
        <w:rPr>
          <w:sz w:val="20"/>
          <w:szCs w:val="20"/>
          <w:color w:val="auto"/>
        </w:rPr>
      </w:pPr>
      <w:r>
        <w:rPr>
          <w:rFonts w:ascii="Times New Roman" w:cs="Times New Roman" w:eastAsia="Times New Roman" w:hAnsi="Times New Roman"/>
          <w:sz w:val="18"/>
          <w:szCs w:val="18"/>
          <w:color w:val="auto"/>
        </w:rPr>
        <w:t>(b)  Ten-Percent Stockholders. A person who owns more than 10% of the total combined voting power of all classes of outstanding 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w:t>
      </w:r>
    </w:p>
    <w:p>
      <w:pPr>
        <w:spacing w:after="0" w:line="1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264" w:right="499" w:bottom="1440" w:gutter="0" w:footer="0" w:header="0"/>
        </w:sectPr>
      </w:pPr>
    </w:p>
    <w:bookmarkStart w:id="702" w:name="page703"/>
    <w:bookmarkEnd w:id="7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6135" cy="38735"/>
                    </a:xfrm>
                    <a:prstGeom prst="rect">
                      <a:avLst/>
                    </a:prstGeom>
                    <a:noFill/>
                  </pic:spPr>
                </pic:pic>
              </a:graphicData>
            </a:graphic>
          </wp:anchor>
        </w:drawing>
        <w:t>SECTION 4. STOCK SUBJECT TO PLAN.</w:t>
      </w:r>
    </w:p>
    <w:p>
      <w:pPr>
        <w:spacing w:after="0" w:line="114" w:lineRule="exact"/>
        <w:rPr>
          <w:sz w:val="20"/>
          <w:szCs w:val="20"/>
          <w:color w:val="auto"/>
        </w:rPr>
      </w:pPr>
    </w:p>
    <w:p>
      <w:pPr>
        <w:ind w:firstLine="982"/>
        <w:spacing w:after="0" w:line="231" w:lineRule="auto"/>
        <w:rPr>
          <w:sz w:val="20"/>
          <w:szCs w:val="20"/>
          <w:color w:val="auto"/>
        </w:rPr>
      </w:pPr>
      <w:r>
        <w:rPr>
          <w:rFonts w:ascii="Times New Roman" w:cs="Times New Roman" w:eastAsia="Times New Roman" w:hAnsi="Times New Roman"/>
          <w:sz w:val="18"/>
          <w:szCs w:val="18"/>
          <w:color w:val="auto"/>
        </w:rPr>
        <w:t>(a)  Basic Limitation. Not more than 48,228,475 Shares may be issued under the Plan, subject to Subsection (b) below and Section 8(a).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All of these Shares may be issued upon the exercise of ISOs. The number of Shares that are subject to Options or other rights outstanding at any time under the Plan may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199" w:lineRule="exact"/>
        <w:rPr>
          <w:sz w:val="20"/>
          <w:szCs w:val="20"/>
          <w:color w:val="auto"/>
        </w:rPr>
      </w:pPr>
    </w:p>
    <w:p>
      <w:pPr>
        <w:ind w:right="320" w:firstLine="982"/>
        <w:spacing w:after="0" w:line="255" w:lineRule="auto"/>
        <w:rPr>
          <w:sz w:val="20"/>
          <w:szCs w:val="20"/>
          <w:color w:val="auto"/>
        </w:rPr>
      </w:pPr>
      <w:r>
        <w:rPr>
          <w:rFonts w:ascii="Times New Roman" w:cs="Times New Roman" w:eastAsia="Times New Roman" w:hAnsi="Times New Roman"/>
          <w:sz w:val="18"/>
          <w:szCs w:val="18"/>
          <w:color w:val="auto"/>
        </w:rPr>
        <w:t>(b)  Additional Shares. In the event that Shares previously issued under the Plan are reacquired by the Company,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TERMS AND CONDITIONS OF AWARDS OR SALES.</w:t>
      </w:r>
    </w:p>
    <w:p>
      <w:pPr>
        <w:spacing w:after="0" w:line="114" w:lineRule="exact"/>
        <w:rPr>
          <w:sz w:val="20"/>
          <w:szCs w:val="20"/>
          <w:color w:val="auto"/>
        </w:rPr>
      </w:pPr>
    </w:p>
    <w:p>
      <w:pPr>
        <w:ind w:right="40" w:firstLine="982"/>
        <w:spacing w:after="0" w:line="254" w:lineRule="auto"/>
        <w:rPr>
          <w:sz w:val="20"/>
          <w:szCs w:val="20"/>
          <w:color w:val="auto"/>
        </w:rPr>
      </w:pPr>
      <w:r>
        <w:rPr>
          <w:rFonts w:ascii="Times New Roman" w:cs="Times New Roman" w:eastAsia="Times New Roman" w:hAnsi="Times New Roman"/>
          <w:sz w:val="18"/>
          <w:szCs w:val="18"/>
          <w:color w:val="auto"/>
        </w:rPr>
        <w:t>(a)  Stock Grant or Purchase Agreement. Each award of Shares under the Plan shall be evidenced by a Stock 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spacing w:after="0" w:line="184" w:lineRule="exact"/>
        <w:rPr>
          <w:sz w:val="20"/>
          <w:szCs w:val="20"/>
          <w:color w:val="auto"/>
        </w:rPr>
      </w:pPr>
    </w:p>
    <w:p>
      <w:pPr>
        <w:ind w:right="100" w:firstLine="982"/>
        <w:spacing w:after="0" w:line="258" w:lineRule="auto"/>
        <w:rPr>
          <w:sz w:val="20"/>
          <w:szCs w:val="20"/>
          <w:color w:val="auto"/>
        </w:rPr>
      </w:pPr>
      <w:r>
        <w:rPr>
          <w:rFonts w:ascii="Times New Roman" w:cs="Times New Roman" w:eastAsia="Times New Roman" w:hAnsi="Times New Roman"/>
          <w:sz w:val="18"/>
          <w:szCs w:val="18"/>
          <w:color w:val="auto"/>
        </w:rPr>
        <w:t>(b)  Duration of Offers and Nontransferability of Rights. Any right to purchase Shares under the Plan (other 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   Purchase Price. The Board of Directors shall determine the Purchase Price of Shares to be offered under the Plan at its sole discretion.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shall be payable in a form described in Section 7.</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TERMS AND CONDITIONS OF OPTIONS.</w:t>
      </w:r>
    </w:p>
    <w:p>
      <w:pPr>
        <w:spacing w:after="0" w:line="114" w:lineRule="exact"/>
        <w:rPr>
          <w:sz w:val="20"/>
          <w:szCs w:val="20"/>
          <w:color w:val="auto"/>
        </w:rPr>
      </w:pPr>
    </w:p>
    <w:p>
      <w:pPr>
        <w:ind w:right="460" w:firstLine="982"/>
        <w:spacing w:after="0" w:line="278" w:lineRule="auto"/>
        <w:rPr>
          <w:sz w:val="20"/>
          <w:szCs w:val="20"/>
          <w:color w:val="auto"/>
        </w:rPr>
      </w:pPr>
      <w:r>
        <w:rPr>
          <w:rFonts w:ascii="Times New Roman" w:cs="Times New Roman" w:eastAsia="Times New Roman" w:hAnsi="Times New Roman"/>
          <w:sz w:val="18"/>
          <w:szCs w:val="18"/>
          <w:color w:val="auto"/>
        </w:rPr>
        <w:t>(a)  Stock Option Agreement. Each grant of an Option under the Plan shall be evidenced by a Stock Option Agreement between the Optionee and the Company. The Option shall be subject to all applicable terms and conditions of the Plan and may be subject to any 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6454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16" w:lineRule="exact"/>
        <w:rPr>
          <w:sz w:val="20"/>
          <w:szCs w:val="20"/>
          <w:color w:val="auto"/>
        </w:rPr>
      </w:pPr>
    </w:p>
    <w:p>
      <w:pPr>
        <w:ind w:left="5420" w:right="2600" w:hanging="5413"/>
        <w:spacing w:after="0" w:line="328" w:lineRule="auto"/>
        <w:tabs>
          <w:tab w:leader="none" w:pos="436" w:val="left"/>
        </w:tabs>
        <w:numPr>
          <w:ilvl w:val="0"/>
          <w:numId w:val="50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refer to Exhibit A for a schedule of the initial share reserve and any subsequent increases in the reserve. 2</w:t>
      </w:r>
    </w:p>
    <w:p>
      <w:pPr>
        <w:sectPr>
          <w:pgSz w:w="11900" w:h="16838" w:orient="portrait"/>
          <w:cols w:equalWidth="0" w:num="1">
            <w:col w:w="10920"/>
          </w:cols>
          <w:pgMar w:left="480" w:top="269" w:right="499" w:bottom="1440" w:gutter="0" w:footer="0" w:header="0"/>
        </w:sectPr>
      </w:pPr>
    </w:p>
    <w:bookmarkStart w:id="703" w:name="page704"/>
    <w:bookmarkEnd w:id="703"/>
    <w:p>
      <w:pPr>
        <w:ind w:right="8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conditions that are not inconsistent with the Plan and that the Board of Directors deems appropriate for inclusion in a Stock Option Agreement. The provisions of the various Stock Option Agreements entered into under the Plan need not be identical.</w:t>
      </w:r>
    </w:p>
    <w:p>
      <w:pPr>
        <w:spacing w:after="0" w:line="162" w:lineRule="exact"/>
        <w:rPr>
          <w:sz w:val="20"/>
          <w:szCs w:val="20"/>
          <w:color w:val="auto"/>
        </w:rPr>
      </w:pPr>
    </w:p>
    <w:p>
      <w:pPr>
        <w:ind w:right="80" w:firstLine="982"/>
        <w:spacing w:after="0" w:line="263" w:lineRule="auto"/>
        <w:rPr>
          <w:sz w:val="20"/>
          <w:szCs w:val="20"/>
          <w:color w:val="auto"/>
        </w:rPr>
      </w:pPr>
      <w:r>
        <w:rPr>
          <w:rFonts w:ascii="Times New Roman" w:cs="Times New Roman" w:eastAsia="Times New Roman" w:hAnsi="Times New Roman"/>
          <w:sz w:val="18"/>
          <w:szCs w:val="18"/>
          <w:color w:val="auto"/>
        </w:rPr>
        <w:t>(b)  Number of Shares. Each Stock Option Agreement shall specify the number of Shares that are subject to the Option and shall provide for the adjustment of such number in accordance with Section 8. The Stock Option Agreement shall also specify whether the Option is an ISO or a Nonstatutory Option.</w:t>
      </w:r>
    </w:p>
    <w:p>
      <w:pPr>
        <w:spacing w:after="0" w:line="175"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(c)  Exercise Price. Each Stock Option Agreement shall specify the Exercise Price. The Exercise Price of an Option shall not be less than 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 This Subsection (c) shall not apply to an Option granted pursuant to an assumption of, or substitution for, another option in a manner that complies with Code Section 409A and, if applicable, Code Section 424(a).</w:t>
      </w:r>
    </w:p>
    <w:p>
      <w:pPr>
        <w:spacing w:after="0" w:line="184" w:lineRule="exact"/>
        <w:rPr>
          <w:sz w:val="20"/>
          <w:szCs w:val="20"/>
          <w:color w:val="auto"/>
        </w:rPr>
      </w:pPr>
    </w:p>
    <w:p>
      <w:pPr>
        <w:ind w:right="240" w:firstLine="982"/>
        <w:spacing w:after="0" w:line="274" w:lineRule="auto"/>
        <w:rPr>
          <w:sz w:val="20"/>
          <w:szCs w:val="20"/>
          <w:color w:val="auto"/>
        </w:rPr>
      </w:pPr>
      <w:r>
        <w:rPr>
          <w:rFonts w:ascii="Times New Roman" w:cs="Times New Roman" w:eastAsia="Times New Roman" w:hAnsi="Times New Roman"/>
          <w:sz w:val="17"/>
          <w:szCs w:val="17"/>
          <w:color w:val="auto"/>
        </w:rPr>
        <w:t>(d)  Exercisability. Each Stock Option Agreement shall specify the date when all or any installment of the Option is to become exercisable. No Option shall be exercisable unless the Optionee (i) has delivered an executed copy of the Stock Option Agreement to the Company or</w:t>
      </w:r>
    </w:p>
    <w:p>
      <w:pPr>
        <w:ind w:right="240" w:firstLine="7"/>
        <w:spacing w:after="0" w:line="256" w:lineRule="auto"/>
        <w:tabs>
          <w:tab w:leader="none" w:pos="262"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agrees to be bound by the terms of the Stock Option Agreement. The Board of Directors shall determine the exercisability provisions of the Stock Option Agreement at its sole discretion.</w:t>
      </w:r>
    </w:p>
    <w:p>
      <w:pPr>
        <w:spacing w:after="0" w:line="182" w:lineRule="exact"/>
        <w:rPr>
          <w:sz w:val="20"/>
          <w:szCs w:val="20"/>
          <w:color w:val="auto"/>
        </w:rPr>
      </w:pPr>
    </w:p>
    <w:p>
      <w:pPr>
        <w:ind w:right="180" w:firstLine="982"/>
        <w:spacing w:after="0" w:line="263" w:lineRule="auto"/>
        <w:rPr>
          <w:sz w:val="20"/>
          <w:szCs w:val="20"/>
          <w:color w:val="auto"/>
        </w:rPr>
      </w:pPr>
      <w:r>
        <w:rPr>
          <w:rFonts w:ascii="Times New Roman" w:cs="Times New Roman" w:eastAsia="Times New Roman" w:hAnsi="Times New Roman"/>
          <w:sz w:val="18"/>
          <w:szCs w:val="18"/>
          <w:color w:val="auto"/>
        </w:rPr>
        <w:t>(e)  Basic Term. The Stock Option Agreement shall specify the term of the Option. The term shall not exceed 10 years from the Date of Grant, and in the case of an ISO, a shorter term may be required by Section 3(b). Subject to the preceding sentence, the Board of Directors at its sole discretion shall determine when an Option is to expire.</w:t>
      </w:r>
    </w:p>
    <w:p>
      <w:pPr>
        <w:spacing w:after="0" w:line="175" w:lineRule="exact"/>
        <w:rPr>
          <w:sz w:val="20"/>
          <w:szCs w:val="20"/>
          <w:color w:val="auto"/>
        </w:rPr>
      </w:pPr>
    </w:p>
    <w:p>
      <w:pPr>
        <w:ind w:right="240" w:firstLine="982"/>
        <w:spacing w:after="0" w:line="278" w:lineRule="auto"/>
        <w:rPr>
          <w:sz w:val="20"/>
          <w:szCs w:val="20"/>
          <w:color w:val="auto"/>
        </w:rPr>
      </w:pPr>
      <w:r>
        <w:rPr>
          <w:rFonts w:ascii="Times New Roman" w:cs="Times New Roman" w:eastAsia="Times New Roman" w:hAnsi="Times New Roman"/>
          <w:sz w:val="18"/>
          <w:szCs w:val="18"/>
          <w:color w:val="auto"/>
        </w:rPr>
        <w:t>(f)  Termination of Service (Except by Death). If an Optionee’s Service terminates for any reason other than the Optionee’s death, then the Optionee’s Options shall expire on the earliest of the following dates:</w:t>
      </w:r>
    </w:p>
    <w:p>
      <w:pPr>
        <w:spacing w:after="0" w:line="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(e) above;</w:t>
      </w:r>
    </w:p>
    <w:p>
      <w:pPr>
        <w:spacing w:after="0" w:line="114" w:lineRule="exact"/>
        <w:rPr>
          <w:sz w:val="20"/>
          <w:szCs w:val="20"/>
          <w:color w:val="auto"/>
        </w:rPr>
      </w:pPr>
    </w:p>
    <w:p>
      <w:pPr>
        <w:ind w:left="440" w:right="340" w:firstLine="943"/>
        <w:spacing w:after="0" w:line="308" w:lineRule="auto"/>
        <w:rPr>
          <w:sz w:val="20"/>
          <w:szCs w:val="20"/>
          <w:color w:val="auto"/>
        </w:rPr>
      </w:pPr>
      <w:r>
        <w:rPr>
          <w:rFonts w:ascii="Times New Roman" w:cs="Times New Roman" w:eastAsia="Times New Roman" w:hAnsi="Times New Roman"/>
          <w:sz w:val="17"/>
          <w:szCs w:val="17"/>
          <w:color w:val="auto"/>
        </w:rPr>
        <w:t>(ii)  The date three months after the termination of the Optionee’s Service for any reason other than Disability, or such earlier or later date as the Board of Directors may determine (but in no event earlier than 30 days after the termination of the Optionee’s Service); or</w:t>
      </w:r>
    </w:p>
    <w:p>
      <w:pPr>
        <w:spacing w:after="0" w:line="33" w:lineRule="exact"/>
        <w:rPr>
          <w:sz w:val="20"/>
          <w:szCs w:val="20"/>
          <w:color w:val="auto"/>
        </w:rPr>
      </w:pPr>
    </w:p>
    <w:p>
      <w:pPr>
        <w:ind w:left="440" w:right="200" w:firstLine="943"/>
        <w:spacing w:after="0" w:line="278" w:lineRule="auto"/>
        <w:rPr>
          <w:sz w:val="20"/>
          <w:szCs w:val="20"/>
          <w:color w:val="auto"/>
        </w:rPr>
      </w:pPr>
      <w:r>
        <w:rPr>
          <w:rFonts w:ascii="Times New Roman" w:cs="Times New Roman" w:eastAsia="Times New Roman" w:hAnsi="Times New Roman"/>
          <w:sz w:val="18"/>
          <w:szCs w:val="18"/>
          <w:color w:val="auto"/>
        </w:rPr>
        <w:t>(iii)  The date six months after the termination of the Optionee’s Service by reason of Disability, or such later date as the Board of Directors may determine.</w:t>
      </w:r>
    </w:p>
    <w:p>
      <w:pPr>
        <w:spacing w:after="0" w:line="16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704" w:name="page705"/>
    <w:bookmarkEnd w:id="704"/>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184" w:lineRule="exact"/>
        <w:rPr>
          <w:sz w:val="20"/>
          <w:szCs w:val="20"/>
          <w:color w:val="auto"/>
        </w:rPr>
      </w:pPr>
    </w:p>
    <w:p>
      <w:pPr>
        <w:jc w:val="both"/>
        <w:ind w:right="160" w:firstLine="982"/>
        <w:spacing w:after="0" w:line="263" w:lineRule="auto"/>
        <w:rPr>
          <w:sz w:val="20"/>
          <w:szCs w:val="20"/>
          <w:color w:val="auto"/>
        </w:rPr>
      </w:pPr>
      <w:r>
        <w:rPr>
          <w:rFonts w:ascii="Times New Roman" w:cs="Times New Roman" w:eastAsia="Times New Roman" w:hAnsi="Times New Roman"/>
          <w:sz w:val="18"/>
          <w:szCs w:val="18"/>
          <w:color w:val="auto"/>
        </w:rPr>
        <w:t>(g)  Leaves of Absence. For purposes of Subsection (f) above, Service shall be deemed to continue while the Optionee is on a bona fide leave of absence, if such leave was approved by the Company in writing and if continued crediting of Service for this purpose is expressly required by the terms of such leave or by applicable law (as determined by the Company).</w:t>
      </w:r>
    </w:p>
    <w:p>
      <w:pPr>
        <w:spacing w:after="0" w:line="175" w:lineRule="exact"/>
        <w:rPr>
          <w:sz w:val="20"/>
          <w:szCs w:val="20"/>
          <w:color w:val="auto"/>
        </w:rPr>
      </w:pPr>
    </w:p>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t>(h)  Death of Optionee. If an Optionee dies while the Optionee is in Service, then the Optionee’s Options shall expire on the earlier of the following dates:</w:t>
      </w:r>
    </w:p>
    <w:p>
      <w:pPr>
        <w:spacing w:after="0" w:line="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(e) above; or</w:t>
      </w:r>
    </w:p>
    <w:p>
      <w:pPr>
        <w:spacing w:after="0" w:line="114" w:lineRule="exact"/>
        <w:rPr>
          <w:sz w:val="20"/>
          <w:szCs w:val="20"/>
          <w:color w:val="auto"/>
        </w:rPr>
      </w:pPr>
    </w:p>
    <w:p>
      <w:pPr>
        <w:ind w:left="440" w:right="140" w:firstLine="943"/>
        <w:spacing w:after="0" w:line="278" w:lineRule="auto"/>
        <w:rPr>
          <w:sz w:val="20"/>
          <w:szCs w:val="20"/>
          <w:color w:val="auto"/>
        </w:rPr>
      </w:pPr>
      <w:r>
        <w:rPr>
          <w:rFonts w:ascii="Times New Roman" w:cs="Times New Roman" w:eastAsia="Times New Roman" w:hAnsi="Times New Roman"/>
          <w:sz w:val="18"/>
          <w:szCs w:val="18"/>
          <w:color w:val="auto"/>
        </w:rPr>
        <w:t>(ii)  The date 12 months after the Optionee’s death, or such earlier or later date as the Board of Directors may determine (but in no event earlier than six months after the Optionee’s death).</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Pre-Exercise Restrictions on Transfer of Options or Shares. An Option shall be transferable by the Optionee only by (i) a beneficiary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designation, (ii) a will or (iii) the laws of descent and distribution, except as provided in the next sentence. If the applicable Stock Option Agreement so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a Nonstatutory Option shall also be transferable by gift or domestic relations order to a Family Member of the Optionee. An ISO may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during the lifetime of the Optionee only by the Optionee or by the Optionee’s guardian or legal representative. In addition, an Option shall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all conditions of Rule 12h-1(f)(1) under the Exchange Act until the Company becomes subject to the reporting requirements of Section 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15(d) of the Exchange Act. Such conditions include, without limitation, the transferability restrictions set forth in Rule 12h-1(f)(1)(iv) and (v) under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Act, which shall apply to an Option and, prior to exercise, to the Shares to be issued upon exercise of such Option during the period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commencing on the Date of Grant and ending on the earlier of (i) the date when the Company becomes subject to the reporting requirements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13 or 15(d) of the Exchange Act or (ii) the date when the Company makes a determination that it will cease to rely on the exemption afforded by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9" w:right="519" w:bottom="1440" w:gutter="0" w:footer="0" w:header="0"/>
        </w:sectPr>
      </w:pPr>
    </w:p>
    <w:bookmarkStart w:id="705" w:name="page706"/>
    <w:bookmarkEnd w:id="705"/>
    <w:p>
      <w:pPr>
        <w:ind w:right="30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Rule 12h-1(f)(1) under the Exchange Act. During such period, an Option and, prior to exercise, the Shares to be issued upon exercise of such Option shall be restricted as to any pledge, hypothecation or other transfer by the Optionee, including any short position, any “put equivalent position” (as defined in Rule 16a-1(h) under the Exchange Act) or any “call equivalent position” (as defined in Rule 16a-1(b) under the Exchange Act).</w:t>
      </w:r>
    </w:p>
    <w:p>
      <w:pPr>
        <w:spacing w:after="0" w:line="160"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(j)  No Rights as a Stockholder. An Optionee, or a transferee of an Optionee, shall have no rights as a stockholder with respect to any Shares covered by the Optionee’s Option until such person becomes entitled to receive such Shares by filing a notice of exercise and paying the Exercise Price pursuant to the terms of such Option.</w:t>
      </w:r>
    </w:p>
    <w:p>
      <w:pPr>
        <w:spacing w:after="0" w:line="175" w:lineRule="exact"/>
        <w:rPr>
          <w:sz w:val="20"/>
          <w:szCs w:val="20"/>
          <w:color w:val="auto"/>
        </w:rPr>
      </w:pPr>
    </w:p>
    <w:p>
      <w:pPr>
        <w:ind w:right="140" w:firstLine="982"/>
        <w:spacing w:after="0" w:line="255" w:lineRule="auto"/>
        <w:rPr>
          <w:sz w:val="20"/>
          <w:szCs w:val="20"/>
          <w:color w:val="auto"/>
        </w:rPr>
      </w:pPr>
      <w:r>
        <w:rPr>
          <w:rFonts w:ascii="Times New Roman" w:cs="Times New Roman" w:eastAsia="Times New Roman" w:hAnsi="Times New Roman"/>
          <w:sz w:val="18"/>
          <w:szCs w:val="18"/>
          <w:color w:val="auto"/>
        </w:rPr>
        <w:t>(k)  Modification, Extension and Assumption of Options. Within the limitations of the Plan, the Board of Directors may modify,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w:t>
      </w:r>
    </w:p>
    <w:p>
      <w:pPr>
        <w:spacing w:after="0" w:line="184"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(l)  Company’s Right to Cancel Certain Options. Any other provision of the Plan or a Stock Option Agreement 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Fair Market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PAYMENT FOR SHARES.</w:t>
      </w:r>
    </w:p>
    <w:p>
      <w:pPr>
        <w:spacing w:after="0" w:line="114" w:lineRule="exact"/>
        <w:rPr>
          <w:sz w:val="20"/>
          <w:szCs w:val="20"/>
          <w:color w:val="auto"/>
        </w:rPr>
      </w:pPr>
    </w:p>
    <w:p>
      <w:pPr>
        <w:jc w:val="both"/>
        <w:ind w:firstLine="982"/>
        <w:spacing w:after="0" w:line="263" w:lineRule="auto"/>
        <w:rPr>
          <w:sz w:val="20"/>
          <w:szCs w:val="20"/>
          <w:color w:val="auto"/>
        </w:rPr>
      </w:pPr>
      <w:r>
        <w:rPr>
          <w:rFonts w:ascii="Times New Roman" w:cs="Times New Roman" w:eastAsia="Times New Roman" w:hAnsi="Times New Roman"/>
          <w:sz w:val="18"/>
          <w:szCs w:val="18"/>
          <w:color w:val="auto"/>
        </w:rPr>
        <w:t>(a)  General Rule. The entire Purchase Price or Exercise Price of Shares issued under the Plan shall be payable in cash or cash equivalents at the time when such Shares are purchased, except as otherwise provided in this Section 7. In addition, the Board of Directors in its sole discretion may also permit payment through any of the methods described in (b) through (g) below:</w:t>
      </w:r>
    </w:p>
    <w:p>
      <w:pPr>
        <w:spacing w:after="0" w:line="175" w:lineRule="exact"/>
        <w:rPr>
          <w:sz w:val="20"/>
          <w:szCs w:val="20"/>
          <w:color w:val="auto"/>
        </w:rPr>
      </w:pPr>
    </w:p>
    <w:p>
      <w:pPr>
        <w:ind w:right="540" w:firstLine="982"/>
        <w:spacing w:after="0" w:line="278" w:lineRule="auto"/>
        <w:rPr>
          <w:sz w:val="20"/>
          <w:szCs w:val="20"/>
          <w:color w:val="auto"/>
        </w:rPr>
      </w:pPr>
      <w:r>
        <w:rPr>
          <w:rFonts w:ascii="Times New Roman" w:cs="Times New Roman" w:eastAsia="Times New Roman" w:hAnsi="Times New Roman"/>
          <w:sz w:val="18"/>
          <w:szCs w:val="18"/>
          <w:color w:val="auto"/>
        </w:rPr>
        <w:t>(b)  Services Rendered. Shares may be awarded under the Plan in consideration of services rendered to the Company, a Parent or a Subsidiary prior to the award.</w:t>
      </w:r>
    </w:p>
    <w:p>
      <w:pPr>
        <w:spacing w:after="0" w:line="162"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(c)  Promissory Note. All or a portion of the Purchase Price or Exercise Price (as the case may be) 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706" w:name="page707"/>
    <w:bookmarkEnd w:id="706"/>
    <w:p>
      <w:pPr>
        <w:ind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  Surrender of Stock. All or any part of the Exercise Price may be paid by surrendering, or attesting to the ownership of, Shares that are already owned by the Optionee. Such Shares shall be surrendered to the Company in good form for transfer and shall be valued at their Fair Market Value as of the date when the Option is exercised.</w:t>
      </w:r>
    </w:p>
    <w:p>
      <w:pPr>
        <w:spacing w:after="0" w:line="175" w:lineRule="exact"/>
        <w:rPr>
          <w:sz w:val="20"/>
          <w:szCs w:val="20"/>
          <w:color w:val="auto"/>
        </w:rPr>
      </w:pPr>
    </w:p>
    <w:p>
      <w:pPr>
        <w:ind w:right="120" w:firstLine="982"/>
        <w:spacing w:after="0" w:line="263" w:lineRule="auto"/>
        <w:rPr>
          <w:sz w:val="20"/>
          <w:szCs w:val="20"/>
          <w:color w:val="auto"/>
        </w:rPr>
      </w:pPr>
      <w:r>
        <w:rPr>
          <w:rFonts w:ascii="Times New Roman" w:cs="Times New Roman" w:eastAsia="Times New Roman" w:hAnsi="Times New Roman"/>
          <w:sz w:val="18"/>
          <w:szCs w:val="18"/>
          <w:color w:val="auto"/>
        </w:rPr>
        <w:t>(e)  Exercise/Sale. If the Stock is publicly traded, all or part of the Exercise Price and any withholding taxes may be paid by the delivery (on a form prescribed by the Company) of an irrevocable direction to a securities broker approved by the Company to sell Shares and to deliver all or part of the sales proceeds to the Company.</w:t>
      </w:r>
    </w:p>
    <w:p>
      <w:pPr>
        <w:spacing w:after="0" w:line="175"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(f)  Net Exercise. An Option may permit exercise through a “net exercise” arrangement pursuant to which the Company will reduce the number of Shares issued upon exercise by the largest whole number of Shares having an aggregate Fair Market Value (determined by the Board of Directors as of the exercise date) that does not exceed the aggregate Exercise Price or the sum of the aggregate Exercise Price plus all or a portion of the minimum amount required to be withheld under applicable tax law (with the Company accepting from the Optionee payment of cash or cash equivalents to satisfy any remaining balance of the aggregate Exercise Price and, if applicable, any additional withholding obligation not satisfied through such reduction in Shares); provided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spacing w:after="0" w:line="187" w:lineRule="exact"/>
        <w:rPr>
          <w:sz w:val="20"/>
          <w:szCs w:val="20"/>
          <w:color w:val="auto"/>
        </w:rPr>
      </w:pPr>
    </w:p>
    <w:p>
      <w:pPr>
        <w:ind w:right="160" w:firstLine="982"/>
        <w:spacing w:after="0" w:line="278" w:lineRule="auto"/>
        <w:rPr>
          <w:sz w:val="20"/>
          <w:szCs w:val="20"/>
          <w:color w:val="auto"/>
        </w:rPr>
      </w:pPr>
      <w:r>
        <w:rPr>
          <w:rFonts w:ascii="Times New Roman" w:cs="Times New Roman" w:eastAsia="Times New Roman" w:hAnsi="Times New Roman"/>
          <w:sz w:val="18"/>
          <w:szCs w:val="18"/>
          <w:color w:val="auto"/>
        </w:rPr>
        <w:t>(g)  Other Forms of Payment. To the extent that an Award Agreement so provides, the Purchase Price or Exercise Price of Shares issued under the Plan may be paid in any other form permitted by the Delaware General Corporation Law, as amended.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ADJUSTMENT OF SHARES.</w:t>
      </w:r>
    </w:p>
    <w:p>
      <w:pPr>
        <w:spacing w:after="0" w:line="114" w:lineRule="exact"/>
        <w:rPr>
          <w:sz w:val="20"/>
          <w:szCs w:val="20"/>
          <w:color w:val="auto"/>
        </w:rPr>
      </w:pPr>
    </w:p>
    <w:p>
      <w:pPr>
        <w:ind w:right="40" w:firstLine="982"/>
        <w:spacing w:after="0" w:line="251" w:lineRule="auto"/>
        <w:rPr>
          <w:sz w:val="20"/>
          <w:szCs w:val="20"/>
          <w:color w:val="auto"/>
        </w:rPr>
      </w:pPr>
      <w:r>
        <w:rPr>
          <w:rFonts w:ascii="Times New Roman" w:cs="Times New Roman" w:eastAsia="Times New Roman" w:hAnsi="Times New Roman"/>
          <w:sz w:val="18"/>
          <w:szCs w:val="18"/>
          <w:color w:val="auto"/>
        </w:rPr>
        <w:t>(a)  General. In the event of a subdivision of the outstanding Stock, a declaration of a dividend payable in 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and kind of Shares available for future grants under Section 4, (ii) the number and kind of Shares covered by each outstanding Option and any outstanding and unexercised right to purchase Shares that has not yet expired pursuant to Section 5(b), (iii) the Exercise Price under each outstanding Option and the Purchase Price applicable to any unexercised stock purchase right described in clause (ii) 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9" w:right="499" w:bottom="1440" w:gutter="0" w:footer="0" w:header="0"/>
        </w:sectPr>
      </w:pPr>
    </w:p>
    <w:bookmarkStart w:id="707" w:name="page708"/>
    <w:bookmarkEnd w:id="707"/>
    <w:p>
      <w:pPr>
        <w:ind w:right="3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shall in any event make such adjustments as may be required by Section 25102(o) of the California Corporations Code. No fractional Shares shall be issued under the Plan as a result of an adjustment under this Section 8(a), although the Board of Directors in its sole discretion may make a cash payment in lieu of fractional Shares.</w:t>
      </w:r>
    </w:p>
    <w:p>
      <w:pPr>
        <w:spacing w:after="0" w:line="175"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(b)  Corporate Transactions. In the event that the Company is a party to a merger or consolidation, or in the event of a sale of all or substantially all of the Company’s stock or assets, all Shares acquired under the Plan and all Options and other Plan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Options and awards (or all portions of an Option or an award) in an identical manner. The treatment specified in the transaction agreement may include (without limitation) one or more of the following with respect to each outstanding Option or award:</w:t>
      </w:r>
    </w:p>
    <w:p>
      <w:pPr>
        <w:spacing w:after="0" w:line="7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Continuation of the Option or award by the Company (if the Company is the surviving corporation).</w:t>
      </w:r>
    </w:p>
    <w:p>
      <w:pPr>
        <w:spacing w:after="0" w:line="114" w:lineRule="exact"/>
        <w:rPr>
          <w:sz w:val="20"/>
          <w:szCs w:val="20"/>
          <w:color w:val="auto"/>
        </w:rPr>
      </w:pPr>
    </w:p>
    <w:p>
      <w:pPr>
        <w:ind w:left="440" w:right="560" w:firstLine="943"/>
        <w:spacing w:after="0" w:line="278" w:lineRule="auto"/>
        <w:rPr>
          <w:sz w:val="20"/>
          <w:szCs w:val="20"/>
          <w:color w:val="auto"/>
        </w:rPr>
      </w:pPr>
      <w:r>
        <w:rPr>
          <w:rFonts w:ascii="Times New Roman" w:cs="Times New Roman" w:eastAsia="Times New Roman" w:hAnsi="Times New Roman"/>
          <w:sz w:val="18"/>
          <w:szCs w:val="18"/>
          <w:color w:val="auto"/>
        </w:rPr>
        <w:t>(ii)  Assumption of the Option by the surviving corporation or its parent in a manner that complies with Code Section 424(a) (whether or not the Option is an ISO).</w:t>
      </w:r>
    </w:p>
    <w:p>
      <w:pPr>
        <w:spacing w:after="0" w:line="55" w:lineRule="exact"/>
        <w:rPr>
          <w:sz w:val="20"/>
          <w:szCs w:val="20"/>
          <w:color w:val="auto"/>
        </w:rPr>
      </w:pPr>
    </w:p>
    <w:p>
      <w:pPr>
        <w:ind w:left="440" w:right="380" w:firstLine="943"/>
        <w:spacing w:after="0" w:line="278" w:lineRule="auto"/>
        <w:rPr>
          <w:sz w:val="20"/>
          <w:szCs w:val="20"/>
          <w:color w:val="auto"/>
        </w:rPr>
      </w:pPr>
      <w:r>
        <w:rPr>
          <w:rFonts w:ascii="Times New Roman" w:cs="Times New Roman" w:eastAsia="Times New Roman" w:hAnsi="Times New Roman"/>
          <w:sz w:val="18"/>
          <w:szCs w:val="18"/>
          <w:color w:val="auto"/>
        </w:rPr>
        <w:t>(iii)  Substitution by the surviving corporation or its parent of a new option for the Option in a manner that complies with Code Section 424(a) (whether or not the Option is an ISO).</w:t>
      </w:r>
    </w:p>
    <w:p>
      <w:pPr>
        <w:spacing w:after="0" w:line="55" w:lineRule="exact"/>
        <w:rPr>
          <w:sz w:val="20"/>
          <w:szCs w:val="20"/>
          <w:color w:val="auto"/>
        </w:rPr>
      </w:pPr>
    </w:p>
    <w:p>
      <w:pPr>
        <w:ind w:left="440" w:firstLine="943"/>
        <w:spacing w:after="0" w:line="253" w:lineRule="auto"/>
        <w:rPr>
          <w:sz w:val="20"/>
          <w:szCs w:val="20"/>
          <w:color w:val="auto"/>
        </w:rPr>
      </w:pPr>
      <w:r>
        <w:rPr>
          <w:rFonts w:ascii="Times New Roman" w:cs="Times New Roman" w:eastAsia="Times New Roman" w:hAnsi="Times New Roman"/>
          <w:sz w:val="18"/>
          <w:szCs w:val="18"/>
          <w:color w:val="auto"/>
        </w:rPr>
        <w:t>(iv)  Cancellation of the Option and a payment to the Optionee with respect to each Share subject to the portion of the Option that is vested as of the transaction date equal to the excess of (A) the value, as determined by the Board of Directors in its absolute discretion, of the property (including cash) received by the holder of a share of Stock as a result of the transaction, over (B) the per-Share Exercise Price of the Option (such excess, the “Spread”). Such payment shall be made in the form of cash, cash equivalents, or securities of the surviving corporation or its parent having a value equal to the Spread. In addition, any escrow, holdback, earn-out or similar provisions in the transaction agreement may apply to such payment to the same extent and in the same manner as such provisions apply to the holders of Stock. If the Spread applicable to an Option is zero or a negative number, then the Option may be cancelled without making a payment to the Optionee.</w:t>
      </w:r>
    </w:p>
    <w:p>
      <w:pPr>
        <w:spacing w:after="0" w:line="77" w:lineRule="exact"/>
        <w:rPr>
          <w:sz w:val="20"/>
          <w:szCs w:val="20"/>
          <w:color w:val="auto"/>
        </w:rPr>
      </w:pPr>
    </w:p>
    <w:p>
      <w:pPr>
        <w:ind w:left="440" w:right="120" w:firstLine="943"/>
        <w:spacing w:after="0" w:line="255" w:lineRule="auto"/>
        <w:rPr>
          <w:sz w:val="20"/>
          <w:szCs w:val="20"/>
          <w:color w:val="auto"/>
        </w:rPr>
      </w:pPr>
      <w:r>
        <w:rPr>
          <w:rFonts w:ascii="Times New Roman" w:cs="Times New Roman" w:eastAsia="Times New Roman" w:hAnsi="Times New Roman"/>
          <w:sz w:val="18"/>
          <w:szCs w:val="18"/>
          <w:color w:val="auto"/>
        </w:rPr>
        <w:t>(v)  Cancellation of the Option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 Any exercise of the Option during such period may be contingent upon the closing of the transaction.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708" w:name="page709"/>
    <w:bookmarkEnd w:id="708"/>
    <w:p>
      <w:pPr>
        <w:ind w:left="440" w:right="740" w:firstLine="943"/>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(vi)  Suspension of the Optionee’s right to exercise the Option during a limited period of time preceding the closing of the transaction if such suspension is administratively necessary to permit the closing of the transaction.</w:t>
      </w:r>
    </w:p>
    <w:p>
      <w:pPr>
        <w:spacing w:after="0" w:line="55" w:lineRule="exact"/>
        <w:rPr>
          <w:sz w:val="20"/>
          <w:szCs w:val="20"/>
          <w:color w:val="auto"/>
        </w:rPr>
      </w:pPr>
    </w:p>
    <w:p>
      <w:pPr>
        <w:ind w:left="440" w:right="440" w:firstLine="943"/>
        <w:spacing w:after="0" w:line="278" w:lineRule="auto"/>
        <w:rPr>
          <w:sz w:val="20"/>
          <w:szCs w:val="20"/>
          <w:color w:val="auto"/>
        </w:rPr>
      </w:pPr>
      <w:r>
        <w:rPr>
          <w:rFonts w:ascii="Times New Roman" w:cs="Times New Roman" w:eastAsia="Times New Roman" w:hAnsi="Times New Roman"/>
          <w:sz w:val="18"/>
          <w:szCs w:val="18"/>
          <w:color w:val="auto"/>
        </w:rPr>
        <w:t>(vii)  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6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For the avoidance of doubt, the Board of Directors has discretion to accelerate, in whole or part, the vesting and exercisability of an Option or other Plan award in connection with a corporate transaction covered by this Section 8(b).</w:t>
      </w:r>
    </w:p>
    <w:p>
      <w:pPr>
        <w:spacing w:after="0" w:line="162" w:lineRule="exact"/>
        <w:rPr>
          <w:sz w:val="20"/>
          <w:szCs w:val="20"/>
          <w:color w:val="auto"/>
        </w:rPr>
      </w:pPr>
    </w:p>
    <w:p>
      <w:pPr>
        <w:ind w:right="80" w:firstLine="982"/>
        <w:spacing w:after="0" w:line="254" w:lineRule="auto"/>
        <w:rPr>
          <w:sz w:val="20"/>
          <w:szCs w:val="20"/>
          <w:color w:val="auto"/>
        </w:rPr>
      </w:pPr>
      <w:r>
        <w:rPr>
          <w:rFonts w:ascii="Times New Roman" w:cs="Times New Roman" w:eastAsia="Times New Roman" w:hAnsi="Times New Roman"/>
          <w:sz w:val="18"/>
          <w:szCs w:val="18"/>
          <w:color w:val="auto"/>
        </w:rPr>
        <w:t>(c)  Reservation of Rights. Except as provided in this Section 8, a Participant shall have no 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 PRE-EXERCISE INFORMATION REQUIREMENT.</w:t>
      </w:r>
    </w:p>
    <w:p>
      <w:pPr>
        <w:spacing w:after="0" w:line="114" w:lineRule="exact"/>
        <w:rPr>
          <w:sz w:val="20"/>
          <w:szCs w:val="20"/>
          <w:color w:val="auto"/>
        </w:rPr>
      </w:pPr>
    </w:p>
    <w:p>
      <w:pPr>
        <w:ind w:right="20" w:firstLine="982"/>
        <w:spacing w:after="0" w:line="274" w:lineRule="auto"/>
        <w:rPr>
          <w:sz w:val="20"/>
          <w:szCs w:val="20"/>
          <w:color w:val="auto"/>
        </w:rPr>
      </w:pPr>
      <w:r>
        <w:rPr>
          <w:rFonts w:ascii="Times New Roman" w:cs="Times New Roman" w:eastAsia="Times New Roman" w:hAnsi="Times New Roman"/>
          <w:sz w:val="17"/>
          <w:szCs w:val="17"/>
          <w:color w:val="auto"/>
        </w:rPr>
        <w:t>(a)  Application of Requirement. This Section 9 shall apply only during a period that (i) commences when the Company begins to rely on the exemption described in Rule 12h-1(f)(1) under the Exchange Act, as determined by the Company in its sole discretion, and (ii) ends on the earlier of</w:t>
      </w:r>
    </w:p>
    <w:p>
      <w:pPr>
        <w:ind w:right="160" w:firstLine="7"/>
        <w:spacing w:after="0" w:line="252" w:lineRule="auto"/>
        <w:tabs>
          <w:tab w:leader="none" w:pos="292"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the Company ceases to rely on such exemption, as determined by the Company in its sole discretion, or (B) the date when the Company becomes subject to the reporting requirements of Section 13 or 15(d) of the Exchange Act. In addition, this Section 9 shall in no event apply to an Optionee after he or she has fully exercised all of his or her Options.</w:t>
      </w:r>
    </w:p>
    <w:p>
      <w:pPr>
        <w:spacing w:after="0" w:line="185" w:lineRule="exact"/>
        <w:rPr>
          <w:sz w:val="20"/>
          <w:szCs w:val="20"/>
          <w:color w:val="auto"/>
        </w:rPr>
      </w:pPr>
    </w:p>
    <w:p>
      <w:pPr>
        <w:ind w:right="100" w:firstLine="982"/>
        <w:spacing w:after="0" w:line="258" w:lineRule="auto"/>
        <w:rPr>
          <w:sz w:val="20"/>
          <w:szCs w:val="20"/>
          <w:color w:val="auto"/>
        </w:rPr>
      </w:pPr>
      <w:r>
        <w:rPr>
          <w:rFonts w:ascii="Times New Roman" w:cs="Times New Roman" w:eastAsia="Times New Roman" w:hAnsi="Times New Roman"/>
          <w:sz w:val="18"/>
          <w:szCs w:val="18"/>
          <w:color w:val="auto"/>
        </w:rPr>
        <w:t>(b)  Scope of Requirement. The Company shall provide to each Optionee the information described in Rule 701(e)(3), (4) and (5) under the Securities Act. Such information shall be provided at six-month intervals, and the financial statements included in such information shall not be more than 180 days old. The foregoing notwithstanding, the Company shall not be required to provide such information unless the Optionee has agreed in writing, on a form prescribed by the Company, to keep such information confidential.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MISCELLANEOUS PROVISIONS.</w:t>
      </w:r>
    </w:p>
    <w:p>
      <w:pPr>
        <w:spacing w:after="0" w:line="114"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(a)  Securities Law Requirements. Shares shall not be issued under the Plan unless, in the opinion of counsel acceptable to the Board of Directors, the issuance and delivery of</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9" w:right="519" w:bottom="1440" w:gutter="0" w:footer="0" w:header="0"/>
        </w:sectPr>
      </w:pPr>
    </w:p>
    <w:bookmarkStart w:id="709" w:name="page710"/>
    <w:bookmarkEnd w:id="709"/>
    <w:p>
      <w:pPr>
        <w:ind w:right="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Shares comply with (or are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w:t>
      </w:r>
    </w:p>
    <w:p>
      <w:pPr>
        <w:spacing w:after="0" w:line="175" w:lineRule="exact"/>
        <w:rPr>
          <w:sz w:val="20"/>
          <w:szCs w:val="20"/>
          <w:color w:val="auto"/>
        </w:rPr>
      </w:pPr>
    </w:p>
    <w:p>
      <w:pPr>
        <w:ind w:right="80" w:firstLine="982"/>
        <w:spacing w:after="0" w:line="258" w:lineRule="auto"/>
        <w:rPr>
          <w:sz w:val="20"/>
          <w:szCs w:val="20"/>
          <w:color w:val="auto"/>
        </w:rPr>
      </w:pPr>
      <w:r>
        <w:rPr>
          <w:rFonts w:ascii="Times New Roman" w:cs="Times New Roman" w:eastAsia="Times New Roman" w:hAnsi="Times New Roman"/>
          <w:sz w:val="18"/>
          <w:szCs w:val="18"/>
          <w:color w:val="auto"/>
        </w:rPr>
        <w:t>(b)  No Retention Rights. Nothing in the Plan or in any right or Option granted under the Plan shall confer upon the 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180"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(c)  Treatment as Compensation. Any compensation that an individual earns or is deemed to earn under this Plan shall not be considered a part of his or her compensation for purposes of calculating contributions, accruals or benefits under any other plan or program that is maintained or funded by the Company, a Parent or a Subsidiary.</w:t>
      </w:r>
    </w:p>
    <w:p>
      <w:pPr>
        <w:spacing w:after="0" w:line="175"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(d)  Governing Law. The Plan and all awards, sales and grants under the Plan shall be governed by, and construed in accordance with, the laws of the State of Delaware, as such laws are applied to contracts entered into and performed in such State.</w:t>
      </w:r>
    </w:p>
    <w:p>
      <w:pPr>
        <w:spacing w:after="0" w:line="162" w:lineRule="exact"/>
        <w:rPr>
          <w:sz w:val="20"/>
          <w:szCs w:val="20"/>
          <w:color w:val="auto"/>
        </w:rPr>
      </w:pPr>
    </w:p>
    <w:p>
      <w:pPr>
        <w:ind w:right="100" w:firstLine="982"/>
        <w:spacing w:after="0" w:line="254" w:lineRule="auto"/>
        <w:rPr>
          <w:sz w:val="20"/>
          <w:szCs w:val="20"/>
          <w:color w:val="auto"/>
        </w:rPr>
      </w:pPr>
      <w:r>
        <w:rPr>
          <w:rFonts w:ascii="Times New Roman" w:cs="Times New Roman" w:eastAsia="Times New Roman" w:hAnsi="Times New Roman"/>
          <w:sz w:val="18"/>
          <w:szCs w:val="18"/>
          <w:color w:val="auto"/>
        </w:rPr>
        <w:t>(e)  Conditions and Restrictions on Shares. Shares issued under the Plan shall be subject to such forfeiture 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Tax Matters.</w:t>
      </w:r>
    </w:p>
    <w:p>
      <w:pPr>
        <w:spacing w:after="0" w:line="114" w:lineRule="exact"/>
        <w:rPr>
          <w:sz w:val="20"/>
          <w:szCs w:val="20"/>
          <w:color w:val="auto"/>
        </w:rPr>
      </w:pPr>
    </w:p>
    <w:p>
      <w:pPr>
        <w:ind w:left="440" w:right="220" w:firstLine="943"/>
        <w:spacing w:after="0" w:line="263" w:lineRule="auto"/>
        <w:rPr>
          <w:sz w:val="20"/>
          <w:szCs w:val="20"/>
          <w:color w:val="auto"/>
        </w:rPr>
      </w:pPr>
      <w:r>
        <w:rPr>
          <w:rFonts w:ascii="Times New Roman" w:cs="Times New Roman" w:eastAsia="Times New Roman" w:hAnsi="Times New Roman"/>
          <w:sz w:val="18"/>
          <w:szCs w:val="18"/>
          <w:color w:val="auto"/>
        </w:rPr>
        <w:t>(i)  As a condition to the award, grant, issuance, vesting, purchase, exercise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spacing w:after="0" w:line="68" w:lineRule="exact"/>
        <w:rPr>
          <w:sz w:val="20"/>
          <w:szCs w:val="20"/>
          <w:color w:val="auto"/>
        </w:rPr>
      </w:pPr>
    </w:p>
    <w:p>
      <w:pPr>
        <w:ind w:left="440" w:firstLine="943"/>
        <w:spacing w:after="0" w:line="255" w:lineRule="auto"/>
        <w:rPr>
          <w:sz w:val="20"/>
          <w:szCs w:val="20"/>
          <w:color w:val="auto"/>
        </w:rPr>
      </w:pPr>
      <w:r>
        <w:rPr>
          <w:rFonts w:ascii="Times New Roman" w:cs="Times New Roman" w:eastAsia="Times New Roman" w:hAnsi="Times New Roman"/>
          <w:sz w:val="18"/>
          <w:szCs w:val="18"/>
          <w:color w:val="auto"/>
        </w:rPr>
        <w:t>(ii)  Unless otherwise expressly set forth in an Award Agreement, it is intended that awards granted under the Plan shall be exempt from Code Section 409A, and any ambiguity in the terms of an Award Agreement and the Plan shall be interpreted consistently with this intent. To the extent an award is not exempt from Code Section 409A (any such award, a “409A Award”), any ambiguity in the terms of such award and the Plan shall be interpreted in a manner that to the maximum extent permissible supports the award’s compliance with the requirements of that statute. Notwithstanding anything to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710" w:name="page711"/>
    <w:bookmarkEnd w:id="710"/>
    <w:p>
      <w:pPr>
        <w:ind w:left="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contrary permitted under the Plan, in no event shall a modification of an Award not already subject to Code Section 409A be given effect if such modification would cause the Award to become subject to Code Section 409A unless the parties explicitly acknowledge and consent to the modification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8(b)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82" w:lineRule="exact"/>
        <w:rPr>
          <w:sz w:val="20"/>
          <w:szCs w:val="20"/>
          <w:color w:val="auto"/>
        </w:rPr>
      </w:pPr>
    </w:p>
    <w:p>
      <w:pPr>
        <w:ind w:left="440" w:right="100" w:firstLine="943"/>
        <w:spacing w:after="0" w:line="278" w:lineRule="auto"/>
        <w:rPr>
          <w:sz w:val="20"/>
          <w:szCs w:val="20"/>
          <w:color w:val="auto"/>
        </w:rPr>
      </w:pPr>
      <w:r>
        <w:rPr>
          <w:rFonts w:ascii="Times New Roman" w:cs="Times New Roman" w:eastAsia="Times New Roman" w:hAnsi="Times New Roman"/>
          <w:sz w:val="18"/>
          <w:szCs w:val="18"/>
          <w:color w:val="auto"/>
        </w:rPr>
        <w:t>(iii)  Neither the Company nor any member of the Board of Directors shall have any liability to a Participant in the event an award held by the Participant fails to achieve its intended characterization under applicable tax law.</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DURATION AND AMENDMENTS; STOCKHOLDER APPROVAL.</w:t>
      </w:r>
    </w:p>
    <w:p>
      <w:pPr>
        <w:spacing w:after="0" w:line="114" w:lineRule="exact"/>
        <w:rPr>
          <w:sz w:val="20"/>
          <w:szCs w:val="20"/>
          <w:color w:val="auto"/>
        </w:rPr>
      </w:pPr>
    </w:p>
    <w:p>
      <w:pPr>
        <w:jc w:val="both"/>
        <w:ind w:firstLine="982"/>
        <w:spacing w:after="0" w:line="268" w:lineRule="auto"/>
        <w:rPr>
          <w:sz w:val="20"/>
          <w:szCs w:val="20"/>
          <w:color w:val="auto"/>
        </w:rPr>
      </w:pPr>
      <w:r>
        <w:rPr>
          <w:rFonts w:ascii="Times New Roman" w:cs="Times New Roman" w:eastAsia="Times New Roman" w:hAnsi="Times New Roman"/>
          <w:sz w:val="17"/>
          <w:szCs w:val="17"/>
          <w:color w:val="auto"/>
        </w:rPr>
        <w:t>(a)  Term of the Plan. The Plan, as set forth herein, shall become effective on the date of its adoption by the 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below.</w:t>
      </w:r>
    </w:p>
    <w:p>
      <w:pPr>
        <w:spacing w:after="0" w:line="202" w:lineRule="exact"/>
        <w:rPr>
          <w:sz w:val="20"/>
          <w:szCs w:val="20"/>
          <w:color w:val="auto"/>
        </w:rPr>
      </w:pPr>
    </w:p>
    <w:p>
      <w:pPr>
        <w:jc w:val="both"/>
        <w:ind w:right="20" w:firstLine="982"/>
        <w:spacing w:after="0" w:line="278" w:lineRule="auto"/>
        <w:rPr>
          <w:sz w:val="20"/>
          <w:szCs w:val="20"/>
          <w:color w:val="auto"/>
        </w:rPr>
      </w:pPr>
      <w:r>
        <w:rPr>
          <w:rFonts w:ascii="Times New Roman" w:cs="Times New Roman" w:eastAsia="Times New Roman" w:hAnsi="Times New Roman"/>
          <w:sz w:val="18"/>
          <w:szCs w:val="18"/>
          <w:color w:val="auto"/>
        </w:rPr>
        <w:t>(b)  Right to Amend or Terminate the Plan. Subject to Subsection (d) below, the Board of Directors may amend, suspend or terminate the Plan at any time and for any reason.</w:t>
      </w:r>
    </w:p>
    <w:p>
      <w:pPr>
        <w:spacing w:after="0" w:line="162" w:lineRule="exact"/>
        <w:rPr>
          <w:sz w:val="20"/>
          <w:szCs w:val="20"/>
          <w:color w:val="auto"/>
        </w:rPr>
      </w:pPr>
    </w:p>
    <w:p>
      <w:pPr>
        <w:jc w:val="both"/>
        <w:ind w:right="160" w:firstLine="982"/>
        <w:spacing w:after="0" w:line="263" w:lineRule="auto"/>
        <w:rPr>
          <w:sz w:val="20"/>
          <w:szCs w:val="20"/>
          <w:color w:val="auto"/>
        </w:rPr>
      </w:pPr>
      <w:r>
        <w:rPr>
          <w:rFonts w:ascii="Times New Roman" w:cs="Times New Roman" w:eastAsia="Times New Roman" w:hAnsi="Times New Roman"/>
          <w:sz w:val="18"/>
          <w:szCs w:val="18"/>
          <w:color w:val="auto"/>
        </w:rPr>
        <w:t>(c)  Effect of Amendment or Termination. No Shares shall be issued or sold and no Option granted under the Plan after the termination thereof, except upon exercise of an Option (or any other right to purchase Shares) granted under the Plan prior to such termination. The termination of the Plan, or any amendment thereof, shall not affect any Share previously issued or any Option previously granted under the Plan.</w:t>
      </w:r>
    </w:p>
    <w:p>
      <w:pPr>
        <w:spacing w:after="0" w:line="175" w:lineRule="exact"/>
        <w:rPr>
          <w:sz w:val="20"/>
          <w:szCs w:val="20"/>
          <w:color w:val="auto"/>
        </w:rPr>
      </w:pPr>
    </w:p>
    <w:p>
      <w:pPr>
        <w:ind w:right="80" w:firstLine="982"/>
        <w:spacing w:after="0" w:line="254" w:lineRule="auto"/>
        <w:rPr>
          <w:sz w:val="20"/>
          <w:szCs w:val="20"/>
          <w:color w:val="auto"/>
        </w:rPr>
      </w:pPr>
      <w:r>
        <w:rPr>
          <w:rFonts w:ascii="Times New Roman" w:cs="Times New Roman" w:eastAsia="Times New Roman" w:hAnsi="Times New Roman"/>
          <w:sz w:val="18"/>
          <w:szCs w:val="18"/>
          <w:color w:val="auto"/>
        </w:rPr>
        <w:t>(d)  Stockholder Approval. To the extent required by applicable law, the Plan will be subject to approval of the Company’s stockholders within 12 months of its adoption date. To the extent required by applicable law, any amendment of the Plan will be subject to the approval of the Company’s stockholders within 12 months of the amendment date if it (i) increases the number of Shares available for issuance under the Plan (except as provided in Section 8), or (ii) materially changes the class of persons who are eligible for the grant of ISOs. In addition, an amendment effecting any other material change to the Plan terms will be subject to approval of the Company’s stockholder only if required by applicable law. Stockholder approval shall not be required for any other amendment of the Plan.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9" w:right="539" w:bottom="1440" w:gutter="0" w:footer="0" w:header="0"/>
        </w:sectPr>
      </w:pPr>
    </w:p>
    <w:bookmarkStart w:id="711" w:name="page712"/>
    <w:bookmarkEnd w:id="7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12.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“Award Agreement” means a Stock Grant Agreement, Stock Option Agreement or Stock Purchase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“Board of Directors” means the Board of Directors of the Company, as constituted from time to time.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“Code” means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“Committee” means a committee of the Board of Directors, as described in Section 2(a).</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“Company” means Omada Health, Inc., a Delaware corporation.</w:t>
      </w:r>
    </w:p>
    <w:p>
      <w:pPr>
        <w:spacing w:after="0" w:line="221" w:lineRule="exact"/>
        <w:rPr>
          <w:sz w:val="20"/>
          <w:szCs w:val="20"/>
          <w:color w:val="auto"/>
        </w:rPr>
      </w:pPr>
    </w:p>
    <w:p>
      <w:pPr>
        <w:ind w:right="320" w:firstLine="982"/>
        <w:spacing w:after="0" w:line="263" w:lineRule="auto"/>
        <w:rPr>
          <w:sz w:val="20"/>
          <w:szCs w:val="20"/>
          <w:color w:val="auto"/>
        </w:rPr>
      </w:pPr>
      <w:r>
        <w:rPr>
          <w:rFonts w:ascii="Times New Roman" w:cs="Times New Roman" w:eastAsia="Times New Roman" w:hAnsi="Times New Roman"/>
          <w:sz w:val="18"/>
          <w:szCs w:val="18"/>
          <w:color w:val="auto"/>
        </w:rPr>
        <w:t>(f)  “Consultant” means a person, excluding Employees and Outside Directors, who performs bona fide services for the Company, a Parent or a Subsidiary as a consultant or advisor and who qualifies as a consultant or advisor under Rule 701(c)(1) of the Securities Act or under Instruction A.1.(a)(1) of Form S-8 under the Securities Act.</w:t>
      </w:r>
    </w:p>
    <w:p>
      <w:pPr>
        <w:spacing w:after="0" w:line="175" w:lineRule="exact"/>
        <w:rPr>
          <w:sz w:val="20"/>
          <w:szCs w:val="20"/>
          <w:color w:val="auto"/>
        </w:rPr>
      </w:pPr>
    </w:p>
    <w:p>
      <w:pPr>
        <w:ind w:right="80" w:firstLine="982"/>
        <w:spacing w:after="0" w:line="278" w:lineRule="auto"/>
        <w:rPr>
          <w:sz w:val="20"/>
          <w:szCs w:val="20"/>
          <w:color w:val="auto"/>
        </w:rPr>
      </w:pPr>
      <w:r>
        <w:rPr>
          <w:rFonts w:ascii="Times New Roman" w:cs="Times New Roman" w:eastAsia="Times New Roman" w:hAnsi="Times New Roman"/>
          <w:sz w:val="18"/>
          <w:szCs w:val="18"/>
          <w:color w:val="auto"/>
        </w:rPr>
        <w:t>(g)  “Date of Grant” means the date of grant specified in the applicable Stock Option Agreement, which date shall be the later of (i) the date on which the Board of Directors resolved to grant the Option or (ii) the first day of the Optionee’s Service.</w:t>
      </w:r>
    </w:p>
    <w:p>
      <w:pPr>
        <w:spacing w:after="0" w:line="162"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(h)  “Disability” means that the Optionee is unable to engage in any substantial gainful activity by reason of any medically determinable physical or mental impairment.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“Employee” means any individual who is a common-law employee of the Company, a Parent or a Subsidiary.</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“Exchange Act” means the Securities Exchange Act of 1934, as amended.</w:t>
      </w:r>
    </w:p>
    <w:p>
      <w:pPr>
        <w:spacing w:after="0" w:line="221"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(k)  “Exercise Price” means the amount for which one Share may be purchased upon exercise of an Option, as specified by the Board of Directors in the applicable Stock Option Agreement.</w:t>
      </w:r>
    </w:p>
    <w:p>
      <w:pPr>
        <w:spacing w:after="0" w:line="162" w:lineRule="exact"/>
        <w:rPr>
          <w:sz w:val="20"/>
          <w:szCs w:val="20"/>
          <w:color w:val="auto"/>
        </w:rPr>
      </w:pPr>
    </w:p>
    <w:p>
      <w:pPr>
        <w:ind w:right="860" w:firstLine="982"/>
        <w:spacing w:after="0" w:line="278" w:lineRule="auto"/>
        <w:rPr>
          <w:sz w:val="20"/>
          <w:szCs w:val="20"/>
          <w:color w:val="auto"/>
        </w:rPr>
      </w:pPr>
      <w:r>
        <w:rPr>
          <w:rFonts w:ascii="Times New Roman" w:cs="Times New Roman" w:eastAsia="Times New Roman" w:hAnsi="Times New Roman"/>
          <w:sz w:val="18"/>
          <w:szCs w:val="18"/>
          <w:color w:val="auto"/>
        </w:rPr>
        <w:t>(l)  “Fair Market Value” means the fair market value of a Share, as determined by the Board of Directors in good faith. Such determination shall be conclusive and binding on all persons.</w:t>
      </w:r>
    </w:p>
    <w:p>
      <w:pPr>
        <w:spacing w:after="0" w:line="162"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(m)  “Family Member” means (i) any child, stepchild, grandchild, parent, stepparent, grandparent, spouse, former spouse, sibling, niece, 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480" w:top="269" w:right="619" w:bottom="1440" w:gutter="0" w:footer="0" w:header="0"/>
        </w:sectPr>
      </w:pPr>
    </w:p>
    <w:bookmarkStart w:id="712" w:name="page713"/>
    <w:bookmarkEnd w:id="712"/>
    <w:p>
      <w:pPr>
        <w:ind w:right="18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foundation in which persons described in Clause (i) or (ii) or the Optionee control the management of assets and (v) any other entity in which persons described in Clause (i) or (ii) or the Optionee own more than 50% of the voting interests.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“Grantee” means a person to whom the Board of Directors has awarded Shares under the Plan.</w:t>
      </w:r>
    </w:p>
    <w:p>
      <w:pPr>
        <w:spacing w:after="0" w:line="221" w:lineRule="exact"/>
        <w:rPr>
          <w:sz w:val="20"/>
          <w:szCs w:val="20"/>
          <w:color w:val="auto"/>
        </w:rPr>
      </w:pPr>
    </w:p>
    <w:p>
      <w:pPr>
        <w:ind w:right="580" w:firstLine="982"/>
        <w:spacing w:after="0" w:line="308" w:lineRule="auto"/>
        <w:rPr>
          <w:sz w:val="20"/>
          <w:szCs w:val="20"/>
          <w:color w:val="auto"/>
        </w:rPr>
      </w:pPr>
      <w:r>
        <w:rPr>
          <w:rFonts w:ascii="Times New Roman" w:cs="Times New Roman" w:eastAsia="Times New Roman" w:hAnsi="Times New Roman"/>
          <w:sz w:val="17"/>
          <w:szCs w:val="17"/>
          <w:color w:val="auto"/>
        </w:rPr>
        <w:t>(o)  “ISO” means an Option that qualifies as an incentive stock option as described in Code Section 422(b). Notwithstanding its designation as an ISO, an Option that does not qualify as an ISO under applicable law shall be treated for all purposes as a Nonstatutory Option.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“Nonstatutory Option” means an Option that does not qualify as an incentive stock option as described in Code Section 422(b)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423(b).</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“Option” means an ISO or Nonstatutory Option granted under the Plan and entitling the holder to purchase Shares.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“Optionee” means a person who holds an Option.</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“Outside Director” means a member of the Board of Directors who is not an Employee.</w:t>
      </w:r>
    </w:p>
    <w:p>
      <w:pPr>
        <w:spacing w:after="0" w:line="221"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(t)  “Parent”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“Participant” means a Grantee, Optionee or Purchaser.</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“Plan” means this Omada Health, Inc. 2011 Stock Plan.</w:t>
      </w:r>
    </w:p>
    <w:p>
      <w:pPr>
        <w:spacing w:after="0" w:line="221" w:lineRule="exact"/>
        <w:rPr>
          <w:sz w:val="20"/>
          <w:szCs w:val="20"/>
          <w:color w:val="auto"/>
        </w:rPr>
      </w:pPr>
    </w:p>
    <w:p>
      <w:pPr>
        <w:ind w:right="420" w:firstLine="982"/>
        <w:spacing w:after="0" w:line="278" w:lineRule="auto"/>
        <w:rPr>
          <w:sz w:val="20"/>
          <w:szCs w:val="20"/>
          <w:color w:val="auto"/>
        </w:rPr>
      </w:pPr>
      <w:r>
        <w:rPr>
          <w:rFonts w:ascii="Times New Roman" w:cs="Times New Roman" w:eastAsia="Times New Roman" w:hAnsi="Times New Roman"/>
          <w:sz w:val="18"/>
          <w:szCs w:val="18"/>
          <w:color w:val="auto"/>
        </w:rPr>
        <w:t>(w)  “Purchase Price” means the consideration for which one Share may be acquired under the Plan (other than upon exercise of an Option), as specified by the Board of Directors.</w:t>
      </w:r>
    </w:p>
    <w:p>
      <w:pPr>
        <w:spacing w:after="0" w:line="162"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(x)  “Purchaser” means a person to whom the Board of Directors has offered the right to purchase Shares under the Plan (other than upon exercise of an Option).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“Securities Act” means the Securities Act of 1933,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   “Service” means service as an Employee, Outside Director or Consultant.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“Share” means one share of Stock, as adjusted in accordance with Section 8 (if applicable).</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480" w:top="268" w:right="559" w:bottom="1440" w:gutter="0" w:footer="0" w:header="0"/>
        </w:sectPr>
      </w:pPr>
    </w:p>
    <w:bookmarkStart w:id="713" w:name="page714"/>
    <w:bookmarkEnd w:id="7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(bb)   “Stock” means the Common Stock of the Company.</w:t>
      </w:r>
    </w:p>
    <w:p>
      <w:pPr>
        <w:spacing w:after="0" w:line="221"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(cc)  “Stock Grant Agreement” means the agreement between the Company and a Grantee who is awarded Shares under the Plan that contains the terms, conditions and restrictions pertaining to the award of such Shares.</w:t>
      </w:r>
    </w:p>
    <w:p>
      <w:pPr>
        <w:spacing w:after="0" w:line="162" w:lineRule="exact"/>
        <w:rPr>
          <w:sz w:val="20"/>
          <w:szCs w:val="20"/>
          <w:color w:val="auto"/>
        </w:rPr>
      </w:pPr>
    </w:p>
    <w:p>
      <w:pPr>
        <w:ind w:right="300" w:firstLine="982"/>
        <w:spacing w:after="0" w:line="278" w:lineRule="auto"/>
        <w:rPr>
          <w:sz w:val="20"/>
          <w:szCs w:val="20"/>
          <w:color w:val="auto"/>
        </w:rPr>
      </w:pPr>
      <w:r>
        <w:rPr>
          <w:rFonts w:ascii="Times New Roman" w:cs="Times New Roman" w:eastAsia="Times New Roman" w:hAnsi="Times New Roman"/>
          <w:sz w:val="18"/>
          <w:szCs w:val="18"/>
          <w:color w:val="auto"/>
        </w:rPr>
        <w:t>(dd)  “Stock Option Agreement” means the agreement between the Company and an Optionee that contains the terms, conditions and restrictions pertaining to the Optionee’s Option.</w:t>
      </w:r>
    </w:p>
    <w:p>
      <w:pPr>
        <w:spacing w:after="0" w:line="162"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(ee)  “Stock Purchase Agreement” means the agreement between the Company and a Purchaser who purchases Shares under the Plan that contains the terms, conditions and restrictions pertaining to the purchase of such Shares.</w:t>
      </w:r>
    </w:p>
    <w:p>
      <w:pPr>
        <w:spacing w:after="0" w:line="162" w:lineRule="exact"/>
        <w:rPr>
          <w:sz w:val="20"/>
          <w:szCs w:val="20"/>
          <w:color w:val="auto"/>
        </w:rPr>
      </w:pPr>
    </w:p>
    <w:p>
      <w:pPr>
        <w:jc w:val="both"/>
        <w:ind w:right="20" w:firstLine="982"/>
        <w:spacing w:after="0" w:line="258" w:lineRule="auto"/>
        <w:rPr>
          <w:sz w:val="20"/>
          <w:szCs w:val="20"/>
          <w:color w:val="auto"/>
        </w:rPr>
      </w:pPr>
      <w:r>
        <w:rPr>
          <w:rFonts w:ascii="Times New Roman" w:cs="Times New Roman" w:eastAsia="Times New Roman" w:hAnsi="Times New Roman"/>
          <w:sz w:val="18"/>
          <w:szCs w:val="18"/>
          <w:color w:val="auto"/>
        </w:rPr>
        <w:t>(ff)  “Subsidiary”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714" w:name="page715"/>
    <w:bookmarkEnd w:id="7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SHARES RESERVED FOR ISSUANCE UNDER THE PLAN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Board</w:t>
            </w:r>
          </w:p>
        </w:tc>
        <w:tc>
          <w:tcPr>
            <w:tcW w:w="2080" w:type="dxa"/>
            <w:vAlign w:val="bottom"/>
          </w:tcPr>
          <w:p>
            <w:pPr>
              <w:spacing w:after="0"/>
              <w:rPr>
                <w:sz w:val="13"/>
                <w:szCs w:val="13"/>
                <w:color w:val="auto"/>
              </w:rPr>
            </w:pP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Date of Stockholder</w:t>
            </w:r>
          </w:p>
        </w:tc>
        <w:tc>
          <w:tcPr>
            <w:tcW w:w="1540" w:type="dxa"/>
            <w:vAlign w:val="bottom"/>
          </w:tcPr>
          <w:p>
            <w:pPr>
              <w:spacing w:after="0"/>
              <w:rPr>
                <w:sz w:val="13"/>
                <w:szCs w:val="13"/>
                <w:color w:val="auto"/>
              </w:rPr>
            </w:pPr>
          </w:p>
        </w:tc>
        <w:tc>
          <w:tcPr>
            <w:tcW w:w="3280" w:type="dxa"/>
            <w:vAlign w:val="bottom"/>
            <w:gridSpan w:val="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Cumulative Number</w:t>
            </w:r>
          </w:p>
        </w:tc>
      </w:tr>
      <w:tr>
        <w:trPr>
          <w:trHeight w:val="18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Approval    </w:t>
            </w:r>
          </w:p>
        </w:tc>
        <w:tc>
          <w:tcPr>
            <w:tcW w:w="2080" w:type="dxa"/>
            <w:vAlign w:val="bottom"/>
          </w:tcPr>
          <w:p>
            <w:pPr>
              <w:spacing w:after="0"/>
              <w:rPr>
                <w:sz w:val="15"/>
                <w:szCs w:val="15"/>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540" w:type="dxa"/>
            <w:vAlign w:val="bottom"/>
          </w:tcPr>
          <w:p>
            <w:pPr>
              <w:spacing w:after="0"/>
              <w:rPr>
                <w:sz w:val="15"/>
                <w:szCs w:val="15"/>
                <w:color w:val="auto"/>
              </w:rPr>
            </w:pPr>
          </w:p>
        </w:tc>
        <w:tc>
          <w:tcPr>
            <w:tcW w:w="3280" w:type="dxa"/>
            <w:vAlign w:val="bottom"/>
            <w:gridSpan w:val="2"/>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Shares Added</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201"/>
        </w:trPr>
        <w:tc>
          <w:tcPr>
            <w:tcW w:w="88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5/20/2011</w:t>
            </w:r>
          </w:p>
        </w:tc>
        <w:tc>
          <w:tcPr>
            <w:tcW w:w="20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5/20/2011</w:t>
            </w:r>
          </w:p>
        </w:tc>
        <w:tc>
          <w:tcPr>
            <w:tcW w:w="6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Not Applicable</w:t>
            </w:r>
          </w:p>
        </w:tc>
        <w:tc>
          <w:tcPr>
            <w:tcW w:w="2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1/16/2013</w:t>
            </w:r>
          </w:p>
        </w:tc>
        <w:tc>
          <w:tcPr>
            <w:tcW w:w="3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1/16/2013</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2,534,966</w:t>
            </w:r>
          </w:p>
        </w:tc>
        <w:tc>
          <w:tcPr>
            <w:tcW w:w="2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3,534,966</w:t>
            </w:r>
          </w:p>
        </w:tc>
        <w:tc>
          <w:tcPr>
            <w:tcW w:w="60" w:type="dxa"/>
            <w:vAlign w:val="bottom"/>
          </w:tcPr>
          <w:p>
            <w:pPr>
              <w:spacing w:after="0"/>
              <w:rPr>
                <w:sz w:val="18"/>
                <w:szCs w:val="18"/>
                <w:color w:val="auto"/>
              </w:rPr>
            </w:pPr>
          </w:p>
        </w:tc>
      </w:tr>
      <w:tr>
        <w:trPr>
          <w:trHeight w:val="21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4/4/2014</w:t>
            </w:r>
          </w:p>
        </w:tc>
        <w:tc>
          <w:tcPr>
            <w:tcW w:w="39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4/4/2014</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4,055,886</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7,590,852</w:t>
            </w:r>
          </w:p>
        </w:tc>
        <w:tc>
          <w:tcPr>
            <w:tcW w:w="60" w:type="dxa"/>
            <w:vAlign w:val="bottom"/>
            <w:shd w:val="clear" w:color="auto" w:fill="CCEEFF"/>
          </w:tcPr>
          <w:p>
            <w:pPr>
              <w:spacing w:after="0"/>
              <w:rPr>
                <w:sz w:val="18"/>
                <w:szCs w:val="18"/>
                <w:color w:val="auto"/>
              </w:rPr>
            </w:pP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7/9/2015</w:t>
            </w:r>
          </w:p>
        </w:tc>
        <w:tc>
          <w:tcPr>
            <w:tcW w:w="3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7/9/2015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4,455,055</w:t>
            </w:r>
          </w:p>
        </w:tc>
        <w:tc>
          <w:tcPr>
            <w:tcW w:w="2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12,045,907</w:t>
            </w:r>
          </w:p>
        </w:tc>
      </w:tr>
      <w:tr>
        <w:trPr>
          <w:trHeight w:val="21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9/3/2015</w:t>
            </w:r>
          </w:p>
        </w:tc>
        <w:tc>
          <w:tcPr>
            <w:tcW w:w="39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9/3/2015</w:t>
            </w:r>
          </w:p>
        </w:tc>
        <w:tc>
          <w:tcPr>
            <w:tcW w:w="4820" w:type="dxa"/>
            <w:vAlign w:val="bottom"/>
            <w:gridSpan w:val="3"/>
            <w:shd w:val="clear" w:color="auto" w:fill="CCEEFF"/>
          </w:tcPr>
          <w:p>
            <w:pPr>
              <w:jc w:val="right"/>
              <w:ind w:right="2120"/>
              <w:spacing w:after="0"/>
              <w:rPr>
                <w:sz w:val="20"/>
                <w:szCs w:val="20"/>
                <w:color w:val="auto"/>
              </w:rPr>
            </w:pPr>
            <w:r>
              <w:rPr>
                <w:rFonts w:ascii="Times New Roman" w:cs="Times New Roman" w:eastAsia="Times New Roman" w:hAnsi="Times New Roman"/>
                <w:sz w:val="18"/>
                <w:szCs w:val="18"/>
                <w:color w:val="auto"/>
              </w:rPr>
              <w:t>238,252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12,284,159</w:t>
            </w: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1/28/2016</w:t>
            </w:r>
          </w:p>
        </w:tc>
        <w:tc>
          <w:tcPr>
            <w:tcW w:w="3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1/28/2016</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2,084,563</w:t>
            </w:r>
          </w:p>
        </w:tc>
        <w:tc>
          <w:tcPr>
            <w:tcW w:w="2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14,368,722</w:t>
            </w:r>
          </w:p>
        </w:tc>
      </w:tr>
      <w:tr>
        <w:trPr>
          <w:trHeight w:val="21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5/9/2017</w:t>
            </w:r>
          </w:p>
        </w:tc>
        <w:tc>
          <w:tcPr>
            <w:tcW w:w="39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5/9/2017</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1,973,386</w:t>
            </w:r>
          </w:p>
        </w:tc>
        <w:tc>
          <w:tcPr>
            <w:tcW w:w="2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16,342,108</w:t>
            </w: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6/6/2019</w:t>
            </w:r>
          </w:p>
        </w:tc>
        <w:tc>
          <w:tcPr>
            <w:tcW w:w="3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6/6/2019</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7,338,315</w:t>
            </w:r>
          </w:p>
        </w:tc>
        <w:tc>
          <w:tcPr>
            <w:tcW w:w="2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23,680,423</w:t>
            </w:r>
          </w:p>
        </w:tc>
      </w:tr>
      <w:tr>
        <w:trPr>
          <w:trHeight w:val="21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7/1/2020</w:t>
            </w:r>
          </w:p>
        </w:tc>
        <w:tc>
          <w:tcPr>
            <w:tcW w:w="39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7/1/2020</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25,780,423</w:t>
            </w: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3/9/2021</w:t>
            </w:r>
          </w:p>
        </w:tc>
        <w:tc>
          <w:tcPr>
            <w:tcW w:w="3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3/16/2021</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2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29,280,423</w:t>
            </w:r>
          </w:p>
        </w:tc>
      </w:tr>
      <w:tr>
        <w:trPr>
          <w:trHeight w:val="21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12/16/2021</w:t>
            </w:r>
          </w:p>
        </w:tc>
        <w:tc>
          <w:tcPr>
            <w:tcW w:w="39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12/21/2021</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5,760,834</w:t>
            </w:r>
          </w:p>
        </w:tc>
        <w:tc>
          <w:tcPr>
            <w:tcW w:w="2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35,041,257</w:t>
            </w:r>
          </w:p>
        </w:tc>
      </w:tr>
      <w:tr>
        <w:trPr>
          <w:trHeight w:val="2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3/8/2022</w:t>
            </w:r>
          </w:p>
        </w:tc>
        <w:tc>
          <w:tcPr>
            <w:tcW w:w="3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4/29/2022</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2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39,541,257</w:t>
            </w:r>
          </w:p>
        </w:tc>
      </w:tr>
      <w:tr>
        <w:trPr>
          <w:trHeight w:val="214"/>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6/1/2023</w:t>
            </w:r>
          </w:p>
        </w:tc>
        <w:tc>
          <w:tcPr>
            <w:tcW w:w="39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6/13/2023</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5,137,218</w:t>
            </w:r>
          </w:p>
        </w:tc>
        <w:tc>
          <w:tcPr>
            <w:tcW w:w="2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44,678,475</w:t>
            </w:r>
          </w:p>
        </w:tc>
      </w:tr>
      <w:tr>
        <w:trPr>
          <w:trHeight w:val="23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12/5/2023</w:t>
            </w:r>
          </w:p>
        </w:tc>
        <w:tc>
          <w:tcPr>
            <w:tcW w:w="3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2/27/2024</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3,550,000</w:t>
            </w:r>
          </w:p>
        </w:tc>
        <w:tc>
          <w:tcPr>
            <w:tcW w:w="2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48,228,475</w:t>
            </w:r>
          </w:p>
        </w:tc>
      </w:tr>
      <w:tr>
        <w:trPr>
          <w:trHeight w:val="343"/>
        </w:trPr>
        <w:tc>
          <w:tcPr>
            <w:tcW w:w="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20"/>
          </w:cols>
          <w:pgMar w:left="480" w:top="263" w:right="499" w:bottom="1440" w:gutter="0" w:footer="0" w:header="0"/>
        </w:sectPr>
      </w:pPr>
    </w:p>
    <w:bookmarkStart w:id="715" w:name="page716"/>
    <w:bookmarkEnd w:id="715"/>
    <w:p>
      <w:pPr>
        <w:jc w:val="right"/>
        <w:spacing w:after="0"/>
        <w:rPr>
          <w:sz w:val="20"/>
          <w:szCs w:val="20"/>
          <w:color w:val="auto"/>
        </w:rPr>
      </w:pPr>
      <w:r>
        <w:rPr>
          <w:rFonts w:ascii="Times New Roman" w:cs="Times New Roman" w:eastAsia="Times New Roman" w:hAnsi="Times New Roman"/>
          <w:sz w:val="18"/>
          <w:szCs w:val="18"/>
          <w:b w:val="1"/>
          <w:bCs w:val="1"/>
          <w:color w:val="auto"/>
        </w:rPr>
        <w:t>Exhibit 10.7(b)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 2011 STOCK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 OPTION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Optionee has been granted the following option to purchase shares of the Common Stock of Omada Health, Inc.:</w:t>
      </w:r>
    </w:p>
    <w:p>
      <w:pPr>
        <w:sectPr>
          <w:pgSz w:w="11900" w:h="16838" w:orient="portrait"/>
          <w:cols w:equalWidth="0" w:num="1">
            <w:col w:w="10920"/>
          </w:cols>
          <w:pgMar w:left="480" w:top="117" w:right="499" w:bottom="1440" w:gutter="0" w:footer="0" w:header="0"/>
        </w:sectPr>
      </w:pP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Exercisable: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5"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ind w:right="10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The date ten (10) years after the Date of Grant set forth above. This option expires earlier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Optionee’s Service terminates earlier, as provided in Section 6 of the Stock Option Agreement.</w:t>
      </w:r>
    </w:p>
    <w:p>
      <w:pPr>
        <w:spacing w:after="0" w:line="161" w:lineRule="exact"/>
        <w:rPr>
          <w:sz w:val="20"/>
          <w:szCs w:val="20"/>
          <w:color w:val="auto"/>
        </w:rPr>
      </w:pPr>
    </w:p>
    <w:p>
      <w:pPr>
        <w:sectPr>
          <w:pgSz w:w="11900" w:h="16838" w:orient="portrait"/>
          <w:cols w:equalWidth="0" w:num="2">
            <w:col w:w="2780" w:space="720"/>
            <w:col w:w="7420"/>
          </w:cols>
          <w:pgMar w:left="480" w:top="117" w:right="499" w:bottom="1440" w:gutter="0" w:footer="0" w:header="0"/>
          <w:type w:val="continuous"/>
        </w:sect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13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b w:val="1"/>
          <w:bCs w:val="1"/>
          <w:color w:val="auto"/>
        </w:rPr>
        <w:t>Execution and Delivery</w:t>
      </w:r>
      <w:r>
        <w:rPr>
          <w:rFonts w:ascii="Times New Roman" w:cs="Times New Roman" w:eastAsia="Times New Roman" w:hAnsi="Times New Roman"/>
          <w:sz w:val="18"/>
          <w:szCs w:val="18"/>
          <w:color w:val="auto"/>
        </w:rPr>
        <w:t>: 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920"/>
          </w:cols>
          <w:pgMar w:left="480" w:top="117" w:right="499" w:bottom="1440" w:gutter="0" w:footer="0" w:header="0"/>
          <w:type w:val="continuous"/>
        </w:sectPr>
      </w:pPr>
    </w:p>
    <w:bookmarkStart w:id="716" w:name="page717"/>
    <w:bookmarkEnd w:id="716"/>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OMADA HEALTH, INC. 2011 STOCK PLAN:</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1.   GRANT OF OPTION.</w:t>
      </w:r>
    </w:p>
    <w:p>
      <w:pPr>
        <w:spacing w:after="0" w:line="114" w:lineRule="exact"/>
        <w:rPr>
          <w:sz w:val="20"/>
          <w:szCs w:val="20"/>
          <w:color w:val="auto"/>
        </w:rPr>
      </w:pPr>
    </w:p>
    <w:p>
      <w:pPr>
        <w:ind w:right="200"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6" w:lineRule="exact"/>
        <w:rPr>
          <w:sz w:val="20"/>
          <w:szCs w:val="20"/>
          <w:color w:val="auto"/>
        </w:rPr>
      </w:pPr>
    </w:p>
    <w:p>
      <w:pPr>
        <w:ind w:right="2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14 of this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2.   RIGHT TO EXERCISE.</w:t>
      </w:r>
    </w:p>
    <w:p>
      <w:pPr>
        <w:spacing w:after="0" w:line="114"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w:t>
      </w:r>
    </w:p>
    <w:p>
      <w:pPr>
        <w:spacing w:after="0" w:line="156"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3.   NO TRANSFER OR ASSIGNMENT OF OPTION.</w:t>
      </w:r>
    </w:p>
    <w:p>
      <w:pPr>
        <w:spacing w:after="0" w:line="118" w:lineRule="exact"/>
        <w:rPr>
          <w:sz w:val="20"/>
          <w:szCs w:val="20"/>
          <w:color w:val="auto"/>
        </w:rPr>
      </w:pPr>
    </w:p>
    <w:p>
      <w:pPr>
        <w:jc w:val="both"/>
        <w:ind w:right="180" w:firstLine="982"/>
        <w:spacing w:after="0" w:line="308"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480" w:top="265" w:right="579" w:bottom="1440" w:gutter="0" w:footer="0" w:header="0"/>
        </w:sectPr>
      </w:pPr>
    </w:p>
    <w:bookmarkStart w:id="717" w:name="page718"/>
    <w:bookmarkEnd w:id="7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4.   EXERCISE PROCEDURES.</w:t>
      </w:r>
    </w:p>
    <w:p>
      <w:pPr>
        <w:spacing w:after="0" w:line="114"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4" w:lineRule="exact"/>
        <w:rPr>
          <w:sz w:val="20"/>
          <w:szCs w:val="20"/>
          <w:color w:val="auto"/>
        </w:rPr>
      </w:pPr>
    </w:p>
    <w:p>
      <w:pPr>
        <w:ind w:right="420" w:firstLine="982"/>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right="500" w:firstLine="7"/>
        <w:spacing w:after="0" w:line="252" w:lineRule="auto"/>
        <w:tabs>
          <w:tab w:leader="none" w:pos="262"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181" w:lineRule="exact"/>
        <w:rPr>
          <w:sz w:val="20"/>
          <w:szCs w:val="20"/>
          <w:color w:val="auto"/>
        </w:rPr>
      </w:pPr>
    </w:p>
    <w:p>
      <w:pPr>
        <w:ind w:right="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5.   PAYMENT FOR STOCK.</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Cash</w:t>
      </w:r>
      <w:r>
        <w:rPr>
          <w:rFonts w:ascii="Times New Roman" w:cs="Times New Roman" w:eastAsia="Times New Roman" w:hAnsi="Times New Roman"/>
          <w:sz w:val="18"/>
          <w:szCs w:val="18"/>
          <w:color w:val="auto"/>
        </w:rPr>
        <w:t>. All or part of the Purchase Price may be paid in cash or cash equivalents.</w:t>
      </w:r>
    </w:p>
    <w:p>
      <w:pPr>
        <w:spacing w:after="0" w:line="221" w:lineRule="exact"/>
        <w:rPr>
          <w:sz w:val="20"/>
          <w:szCs w:val="20"/>
          <w:color w:val="auto"/>
        </w:rPr>
      </w:pPr>
    </w:p>
    <w:p>
      <w:pPr>
        <w:jc w:val="both"/>
        <w:ind w:firstLine="982"/>
        <w:spacing w:after="0" w:line="265"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70" w:lineRule="exact"/>
        <w:rPr>
          <w:sz w:val="20"/>
          <w:szCs w:val="20"/>
          <w:color w:val="auto"/>
        </w:rPr>
      </w:pPr>
    </w:p>
    <w:p>
      <w:pPr>
        <w:ind w:right="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718" w:name="page719"/>
    <w:bookmarkEnd w:id="7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6.   TERM AND EXPIRATION.</w:t>
      </w:r>
    </w:p>
    <w:p>
      <w:pPr>
        <w:spacing w:after="0" w:line="114" w:lineRule="exact"/>
        <w:rPr>
          <w:sz w:val="20"/>
          <w:szCs w:val="20"/>
          <w:color w:val="auto"/>
        </w:rPr>
      </w:pPr>
    </w:p>
    <w:p>
      <w:pPr>
        <w:ind w:right="1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70" w:lineRule="exact"/>
        <w:rPr>
          <w:sz w:val="20"/>
          <w:szCs w:val="20"/>
          <w:color w:val="auto"/>
        </w:rPr>
      </w:pPr>
    </w:p>
    <w:p>
      <w:pPr>
        <w:ind w:right="28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w:t>
      </w:r>
    </w:p>
    <w:p>
      <w:pPr>
        <w:spacing w:after="0" w:line="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   The date three months after the termination of the Optionee’s Service for any reason other than Disability; or</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(iii)   The date six months after the termination of the Optionee’s Service by reason of Disability.</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 or</w:t>
      </w:r>
    </w:p>
    <w:p>
      <w:pPr>
        <w:spacing w:after="0" w:line="114" w:lineRule="exact"/>
        <w:rPr>
          <w:sz w:val="20"/>
          <w:szCs w:val="20"/>
          <w:color w:val="auto"/>
        </w:rPr>
      </w:pPr>
    </w:p>
    <w:p>
      <w:pPr>
        <w:ind w:left="980"/>
        <w:spacing w:after="0"/>
        <w:tabs>
          <w:tab w:leader="none" w:pos="1420" w:val="left"/>
        </w:tabs>
        <w:rPr>
          <w:sz w:val="20"/>
          <w:szCs w:val="20"/>
          <w:color w:val="auto"/>
        </w:rPr>
      </w:pPr>
      <w:r>
        <w:rPr>
          <w:rFonts w:ascii="Times New Roman" w:cs="Times New Roman" w:eastAsia="Times New Roman" w:hAnsi="Times New Roman"/>
          <w:sz w:val="18"/>
          <w:szCs w:val="18"/>
          <w:color w:val="auto"/>
        </w:rPr>
        <w:t xml:space="preserve">(ii) </w:t>
      </w:r>
      <w:r>
        <w:rPr>
          <w:sz w:val="20"/>
          <w:szCs w:val="20"/>
          <w:color w:val="auto"/>
        </w:rPr>
        <w:tab/>
      </w:r>
      <w:r>
        <w:rPr>
          <w:rFonts w:ascii="Times New Roman" w:cs="Times New Roman" w:eastAsia="Times New Roman" w:hAnsi="Times New Roman"/>
          <w:sz w:val="17"/>
          <w:szCs w:val="17"/>
          <w:color w:val="auto"/>
        </w:rPr>
        <w:t>The date 12 months after the Optionee’s death.</w:t>
      </w:r>
    </w:p>
    <w:p>
      <w:pPr>
        <w:spacing w:after="0" w:line="2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5" w:right="499" w:bottom="1440" w:gutter="0" w:footer="0" w:header="0"/>
        </w:sectPr>
      </w:pPr>
    </w:p>
    <w:bookmarkStart w:id="719" w:name="page720"/>
    <w:bookmarkEnd w:id="719"/>
    <w:p>
      <w:pPr>
        <w:ind w:right="4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4" w:lineRule="exact"/>
        <w:rPr>
          <w:sz w:val="20"/>
          <w:szCs w:val="20"/>
          <w:color w:val="auto"/>
        </w:rPr>
      </w:pPr>
    </w:p>
    <w:p>
      <w:pPr>
        <w:ind w:right="320" w:firstLine="982"/>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3" w:lineRule="exact"/>
        <w:rPr>
          <w:sz w:val="20"/>
          <w:szCs w:val="20"/>
          <w:color w:val="auto"/>
        </w:rPr>
      </w:pPr>
    </w:p>
    <w:p>
      <w:pPr>
        <w:ind w:left="440" w:right="180" w:firstLine="419"/>
        <w:spacing w:after="0" w:line="278"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5" w:lineRule="exact"/>
        <w:rPr>
          <w:sz w:val="20"/>
          <w:szCs w:val="20"/>
          <w:color w:val="auto"/>
        </w:rPr>
      </w:pPr>
    </w:p>
    <w:p>
      <w:pPr>
        <w:ind w:left="440" w:right="500" w:firstLine="419"/>
        <w:spacing w:after="0" w:line="278"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55" w:lineRule="exact"/>
        <w:rPr>
          <w:sz w:val="20"/>
          <w:szCs w:val="20"/>
          <w:color w:val="auto"/>
        </w:rPr>
      </w:pPr>
    </w:p>
    <w:p>
      <w:pPr>
        <w:ind w:left="440" w:right="800" w:firstLine="419"/>
        <w:spacing w:after="0" w:line="278" w:lineRule="auto"/>
        <w:rPr>
          <w:sz w:val="20"/>
          <w:szCs w:val="20"/>
          <w:color w:val="auto"/>
        </w:rPr>
      </w:pPr>
      <w:r>
        <w:rPr>
          <w:rFonts w:ascii="Times New Roman" w:cs="Times New Roman" w:eastAsia="Times New Roman" w:hAnsi="Times New Roman"/>
          <w:sz w:val="18"/>
          <w:szCs w:val="18"/>
          <w:color w:val="auto"/>
        </w:rPr>
        <w:t>(iii)  More than three months after the date when the Optionee has been on a leave of absence for 90 days, unless the Optionee’s reemployment rights following such leave were guaranteed by statute or by contract.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7.   RIGHT OF FIRST REFUSAL.</w:t>
      </w:r>
    </w:p>
    <w:p>
      <w:pPr>
        <w:spacing w:after="0" w:line="114"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480" w:top="264" w:right="539" w:bottom="1440" w:gutter="0" w:footer="0" w:header="0"/>
        </w:sectPr>
      </w:pPr>
    </w:p>
    <w:bookmarkStart w:id="720" w:name="page721"/>
    <w:bookmarkEnd w:id="720"/>
    <w:p>
      <w:pPr>
        <w:ind w:right="60" w:firstLine="98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7" w:lineRule="exact"/>
        <w:rPr>
          <w:sz w:val="20"/>
          <w:szCs w:val="20"/>
          <w:color w:val="auto"/>
        </w:rPr>
      </w:pPr>
    </w:p>
    <w:p>
      <w:pPr>
        <w:ind w:right="1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78" w:lineRule="exact"/>
        <w:rPr>
          <w:sz w:val="20"/>
          <w:szCs w:val="20"/>
          <w:color w:val="auto"/>
        </w:rPr>
      </w:pPr>
    </w:p>
    <w:p>
      <w:pPr>
        <w:ind w:right="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7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7 shall not apply to (i) a transfer by beneficiary designation, will or 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80" w:top="264" w:right="559" w:bottom="1440" w:gutter="0" w:footer="0" w:header="0"/>
        </w:sectPr>
      </w:pPr>
    </w:p>
    <w:bookmarkStart w:id="721" w:name="page722"/>
    <w:bookmarkEnd w:id="721"/>
    <w:p>
      <w:pPr>
        <w:ind w:right="40" w:firstLine="98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80" w:lineRule="exact"/>
        <w:rPr>
          <w:sz w:val="20"/>
          <w:szCs w:val="20"/>
          <w:color w:val="auto"/>
        </w:rPr>
      </w:pPr>
    </w:p>
    <w:p>
      <w:pPr>
        <w:jc w:val="both"/>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8.   LEGALITY OF INITIAL ISSUANCE.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221" w:lineRule="exact"/>
        <w:rPr>
          <w:sz w:val="20"/>
          <w:szCs w:val="20"/>
          <w:color w:val="auto"/>
        </w:rPr>
      </w:pPr>
    </w:p>
    <w:p>
      <w:pPr>
        <w:ind w:right="220" w:firstLine="982"/>
        <w:spacing w:after="0" w:line="278"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Any applicable listing requirement of any stock exchange or other securities market on which Stock is listed has been satisfied; and</w:t>
      </w:r>
    </w:p>
    <w:p>
      <w:pPr>
        <w:spacing w:after="0" w:line="22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(c) </w:t>
      </w:r>
      <w:r>
        <w:rPr>
          <w:sz w:val="20"/>
          <w:szCs w:val="20"/>
          <w:color w:val="auto"/>
        </w:rPr>
        <w:tab/>
      </w:r>
      <w:r>
        <w:rPr>
          <w:rFonts w:ascii="Times New Roman" w:cs="Times New Roman" w:eastAsia="Times New Roman" w:hAnsi="Times New Roman"/>
          <w:sz w:val="17"/>
          <w:szCs w:val="17"/>
          <w:color w:val="auto"/>
        </w:rPr>
        <w:t>Any other applicable provision of federal, State or foreign law has been satisfied.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9.   NO REGISTRATION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10.   RESTRICTIONS ON TRANSFER OF SHARES.</w:t>
      </w:r>
    </w:p>
    <w:p>
      <w:pPr>
        <w:spacing w:after="0" w:line="114"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80" w:lineRule="exact"/>
        <w:rPr>
          <w:sz w:val="20"/>
          <w:szCs w:val="20"/>
          <w:color w:val="auto"/>
        </w:rPr>
      </w:pPr>
    </w:p>
    <w:p>
      <w:pPr>
        <w:ind w:right="4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722" w:name="page723"/>
    <w:bookmarkEnd w:id="722"/>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18"/>
          <w:szCs w:val="18"/>
          <w:b w:val="1"/>
          <w:bCs w:val="1"/>
          <w:i w:val="1"/>
          <w:iCs w:val="1"/>
          <w:color w:val="auto"/>
        </w:rPr>
        <w:t>Market Stand-Off</w:t>
      </w:r>
      <w:r>
        <w:rPr>
          <w:rFonts w:ascii="Times New Roman" w:cs="Times New Roman" w:eastAsia="Times New Roman" w:hAnsi="Times New Roman"/>
          <w:sz w:val="18"/>
          <w:szCs w:val="18"/>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4" w:lineRule="exact"/>
        <w:rPr>
          <w:sz w:val="20"/>
          <w:szCs w:val="20"/>
          <w:color w:val="auto"/>
        </w:rPr>
      </w:pPr>
    </w:p>
    <w:p>
      <w:pPr>
        <w:ind w:right="180" w:firstLine="982"/>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156" w:lineRule="exact"/>
        <w:rPr>
          <w:sz w:val="20"/>
          <w:szCs w:val="20"/>
          <w:color w:val="auto"/>
        </w:rPr>
      </w:pPr>
    </w:p>
    <w:p>
      <w:pPr>
        <w:jc w:val="both"/>
        <w:ind w:right="100" w:firstLine="982"/>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980" w:right="280"/>
        <w:spacing w:after="0" w:line="277" w:lineRule="auto"/>
        <w:rPr>
          <w:sz w:val="20"/>
          <w:szCs w:val="20"/>
          <w:color w:val="auto"/>
        </w:rPr>
      </w:pPr>
      <w:r>
        <w:rPr>
          <w:rFonts w:ascii="Times New Roman" w:cs="Times New Roman" w:eastAsia="Times New Roman" w:hAnsi="Times New Roman"/>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9" w:right="519" w:bottom="1440" w:gutter="0" w:footer="0" w:header="0"/>
        </w:sectPr>
      </w:pPr>
    </w:p>
    <w:bookmarkStart w:id="723" w:name="page724"/>
    <w:bookmarkEnd w:id="723"/>
    <w:p>
      <w:pPr>
        <w:ind w:left="980" w:right="6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TRANSFER OF THE SHARES. THE SECRETARY OF THE COMPANY WILL UPON WRITTEN REQUEST FURNISH A COPY OF SUCH AGREEMENT TO THE HOLDER HEREOF WITHOUT CHARGE.”</w:t>
      </w:r>
    </w:p>
    <w:p>
      <w:pPr>
        <w:spacing w:after="0" w:line="162"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5"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6" w:lineRule="exact"/>
        <w:rPr>
          <w:sz w:val="20"/>
          <w:szCs w:val="20"/>
          <w:color w:val="auto"/>
        </w:rPr>
      </w:pPr>
    </w:p>
    <w:p>
      <w:pPr>
        <w:jc w:val="both"/>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70"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10 shall be conclusive and binding on the Optionee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11.    ADJUSTMENT OF SHARES.</w:t>
      </w:r>
    </w:p>
    <w:p>
      <w:pPr>
        <w:spacing w:after="0" w:line="118"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12.    MISCELLANEOUS PROVISIONS.</w:t>
      </w:r>
    </w:p>
    <w:p>
      <w:pPr>
        <w:spacing w:after="0" w:line="114" w:lineRule="exact"/>
        <w:rPr>
          <w:sz w:val="20"/>
          <w:szCs w:val="20"/>
          <w:color w:val="auto"/>
        </w:rPr>
      </w:pPr>
    </w:p>
    <w:p>
      <w:pPr>
        <w:ind w:right="1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70" w:lineRule="exact"/>
        <w:rPr>
          <w:sz w:val="20"/>
          <w:szCs w:val="20"/>
          <w:color w:val="auto"/>
        </w:rPr>
      </w:pPr>
    </w:p>
    <w:p>
      <w:pPr>
        <w:ind w:right="260" w:firstLine="982"/>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724" w:name="page725"/>
    <w:bookmarkEnd w:id="724"/>
    <w:p>
      <w:pPr>
        <w:ind w:right="180" w:firstLine="98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76" w:lineRule="exact"/>
        <w:rPr>
          <w:sz w:val="20"/>
          <w:szCs w:val="20"/>
          <w:color w:val="auto"/>
        </w:rPr>
      </w:pPr>
    </w:p>
    <w:p>
      <w:pPr>
        <w:ind w:right="3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70"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13.   ACKNOWLEDGEMENTS OF THE OPTIONEE.</w:t>
      </w:r>
    </w:p>
    <w:p>
      <w:pPr>
        <w:spacing w:after="0" w:line="114"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0" w:lineRule="exact"/>
        <w:rPr>
          <w:sz w:val="20"/>
          <w:szCs w:val="20"/>
          <w:color w:val="auto"/>
        </w:rPr>
      </w:pPr>
    </w:p>
    <w:p>
      <w:pPr>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4" w:right="519" w:bottom="1440" w:gutter="0" w:footer="0" w:header="0"/>
        </w:sectPr>
      </w:pPr>
    </w:p>
    <w:bookmarkStart w:id="725" w:name="page726"/>
    <w:bookmarkEnd w:id="72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14. 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1"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1" w:lineRule="exact"/>
        <w:rPr>
          <w:sz w:val="20"/>
          <w:szCs w:val="20"/>
          <w:color w:val="auto"/>
        </w:rPr>
      </w:pPr>
    </w:p>
    <w:p>
      <w:pPr>
        <w:ind w:right="320" w:firstLine="982"/>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shall mean a person who performs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for the Company, a Parent or a Subsidiary as a consultant or advisor, excluding Employees and Outside Directors.</w:t>
      </w:r>
    </w:p>
    <w:p>
      <w:pPr>
        <w:spacing w:after="0" w:line="156"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6" w:lineRule="exact"/>
        <w:rPr>
          <w:sz w:val="20"/>
          <w:szCs w:val="20"/>
          <w:color w:val="auto"/>
        </w:rPr>
      </w:pPr>
    </w:p>
    <w:p>
      <w:pPr>
        <w:ind w:right="660" w:firstLine="982"/>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20"/>
          </w:cols>
          <w:pgMar w:left="480" w:top="269" w:right="599" w:bottom="1440" w:gutter="0" w:footer="0" w:header="0"/>
        </w:sectPr>
      </w:pPr>
    </w:p>
    <w:bookmarkStart w:id="726" w:name="page727"/>
    <w:bookmarkEnd w:id="726"/>
    <w:p>
      <w:pPr>
        <w:ind w:right="480" w:firstLine="98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56" w:lineRule="exact"/>
        <w:rPr>
          <w:sz w:val="20"/>
          <w:szCs w:val="20"/>
          <w:color w:val="auto"/>
        </w:rPr>
      </w:pPr>
    </w:p>
    <w:p>
      <w:pPr>
        <w:ind w:right="520" w:firstLine="982"/>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6" w:lineRule="exact"/>
        <w:rPr>
          <w:sz w:val="20"/>
          <w:szCs w:val="20"/>
          <w:color w:val="auto"/>
        </w:rPr>
      </w:pPr>
    </w:p>
    <w:p>
      <w:pPr>
        <w:ind w:right="340" w:firstLine="982"/>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7.</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5" w:right="499" w:bottom="1440" w:gutter="0" w:footer="0" w:header="0"/>
        </w:sectPr>
      </w:pPr>
    </w:p>
    <w:bookmarkStart w:id="727" w:name="page728"/>
    <w:bookmarkEnd w:id="7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6135" cy="38735"/>
                    </a:xfrm>
                    <a:prstGeom prst="rect">
                      <a:avLst/>
                    </a:prstGeom>
                    <a:noFill/>
                  </pic:spPr>
                </pic:pic>
              </a:graphicData>
            </a:graphic>
          </wp:anchor>
        </w:drawing>
        <w:t>(x)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7.</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0"/>
          </w:cols>
          <w:pgMar w:left="480" w:top="265" w:right="799" w:bottom="1440" w:gutter="0" w:footer="0" w:header="0"/>
        </w:sectPr>
      </w:pPr>
    </w:p>
    <w:bookmarkStart w:id="728" w:name="page729"/>
    <w:bookmarkEnd w:id="72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OMADA HEALTH, INC. 2011 STOCK PLAN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STOCK OPTION GRANT (EARLY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Omada Health, Inc.:</w:t>
      </w:r>
    </w:p>
    <w:p>
      <w:pPr>
        <w:sectPr>
          <w:pgSz w:w="11900" w:h="16838" w:orient="portrait"/>
          <w:cols w:equalWidth="0" w:num="1">
            <w:col w:w="10820"/>
          </w:cols>
          <w:pgMar w:left="480" w:top="264" w:right="599" w:bottom="1440" w:gutter="0" w:footer="0" w:header="0"/>
        </w:sect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Exercisable:</w:t>
      </w:r>
    </w:p>
    <w:p>
      <w:pPr>
        <w:spacing w:after="0" w:line="20" w:lineRule="exact"/>
        <w:rPr>
          <w:sz w:val="20"/>
          <w:szCs w:val="20"/>
          <w:color w:val="auto"/>
        </w:rPr>
      </w:pPr>
      <w:r>
        <w:rPr>
          <w:sz w:val="20"/>
          <w:szCs w:val="20"/>
          <w:color w:val="auto"/>
        </w:rPr>
        <w:br w:type="column"/>
      </w:r>
    </w:p>
    <w:p>
      <w:pPr>
        <w:ind w:right="34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This Option is immediately exercisable for all of the Shares,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Agreement Vesting Commencement</w:t>
      </w:r>
    </w:p>
    <w:p>
      <w:pPr>
        <w:spacing w:after="0" w:line="52"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The date ten (10) years after the Date of Grant set forth above. This option expires earlier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Optionee’s Service terminates earlier, as provided in Section 6 of the Stock Option Agreement.</w:t>
      </w:r>
    </w:p>
    <w:p>
      <w:pPr>
        <w:spacing w:after="0" w:line="161" w:lineRule="exact"/>
        <w:rPr>
          <w:sz w:val="20"/>
          <w:szCs w:val="20"/>
          <w:color w:val="auto"/>
        </w:rPr>
      </w:pPr>
    </w:p>
    <w:p>
      <w:pPr>
        <w:sectPr>
          <w:pgSz w:w="11900" w:h="16838" w:orient="portrait"/>
          <w:cols w:equalWidth="0" w:num="2">
            <w:col w:w="2780" w:space="720"/>
            <w:col w:w="7320"/>
          </w:cols>
          <w:pgMar w:left="480" w:top="264" w:right="599" w:bottom="1440" w:gutter="0" w:footer="0" w:header="0"/>
          <w:type w:val="continuous"/>
        </w:sect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14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Execution and Delivery</w:t>
      </w:r>
      <w:r>
        <w:rPr>
          <w:rFonts w:ascii="Times New Roman" w:cs="Times New Roman" w:eastAsia="Times New Roman" w:hAnsi="Times New Roman"/>
          <w:sz w:val="18"/>
          <w:szCs w:val="18"/>
          <w:color w:val="auto"/>
        </w:rPr>
        <w:t>: 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820"/>
          </w:cols>
          <w:pgMar w:left="480" w:top="264" w:right="599" w:bottom="1440" w:gutter="0" w:footer="0" w:header="0"/>
          <w:type w:val="continuous"/>
        </w:sectPr>
      </w:pPr>
    </w:p>
    <w:bookmarkStart w:id="729" w:name="page730"/>
    <w:bookmarkEnd w:id="729"/>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OMADA HEALTH, INC. 2011 STOCK PLAN:</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00"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6" w:lineRule="exact"/>
        <w:rPr>
          <w:sz w:val="20"/>
          <w:szCs w:val="20"/>
          <w:color w:val="auto"/>
        </w:rPr>
      </w:pPr>
    </w:p>
    <w:p>
      <w:pPr>
        <w:ind w:right="2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15 of this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 Shares purchased by exercising this option may be subject to the Right of Repurchase under Section 7.</w:t>
      </w:r>
    </w:p>
    <w:p>
      <w:pPr>
        <w:spacing w:after="0" w:line="63"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118"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480" w:top="265" w:right="579" w:bottom="1440" w:gutter="0" w:footer="0" w:header="0"/>
        </w:sectPr>
      </w:pPr>
    </w:p>
    <w:bookmarkStart w:id="730" w:name="page731"/>
    <w:bookmarkEnd w:id="7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 EXERCISE PROCEDURES.</w:t>
      </w:r>
    </w:p>
    <w:p>
      <w:pPr>
        <w:spacing w:after="0" w:line="114"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4" w:lineRule="exact"/>
        <w:rPr>
          <w:sz w:val="20"/>
          <w:szCs w:val="20"/>
          <w:color w:val="auto"/>
        </w:rPr>
      </w:pPr>
    </w:p>
    <w:p>
      <w:pPr>
        <w:ind w:right="420" w:firstLine="982"/>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right="440" w:firstLine="7"/>
        <w:spacing w:after="0" w:line="250" w:lineRule="auto"/>
        <w:tabs>
          <w:tab w:leader="none" w:pos="262"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185" w:lineRule="exact"/>
        <w:rPr>
          <w:sz w:val="20"/>
          <w:szCs w:val="20"/>
          <w:color w:val="auto"/>
        </w:rPr>
      </w:pPr>
    </w:p>
    <w:p>
      <w:pPr>
        <w:ind w:right="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w:t>
      </w:r>
    </w:p>
    <w:p>
      <w:pPr>
        <w:spacing w:after="0" w:line="221" w:lineRule="exact"/>
        <w:rPr>
          <w:sz w:val="20"/>
          <w:szCs w:val="20"/>
          <w:color w:val="auto"/>
        </w:rPr>
      </w:pPr>
    </w:p>
    <w:p>
      <w:pPr>
        <w:jc w:val="both"/>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731" w:name="page732"/>
    <w:bookmarkEnd w:id="731"/>
    <w:p>
      <w:pPr>
        <w:ind w:firstLine="98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114" w:lineRule="exact"/>
        <w:rPr>
          <w:sz w:val="20"/>
          <w:szCs w:val="20"/>
          <w:color w:val="auto"/>
        </w:rPr>
      </w:pPr>
    </w:p>
    <w:p>
      <w:pPr>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70"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date three months after the termination of the Optionee’s Service for any reason other than Disability; or</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The date six months after the termination of the Optionee’s Service by reason of Disability.</w:t>
      </w:r>
    </w:p>
    <w:p>
      <w:pPr>
        <w:spacing w:after="0" w:line="2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ectPr>
          <w:pgSz w:w="11900" w:h="16838" w:orient="portrait"/>
          <w:cols w:equalWidth="0" w:num="1">
            <w:col w:w="10880"/>
          </w:cols>
          <w:pgMar w:left="480" w:top="265" w:right="539" w:bottom="1440" w:gutter="0" w:footer="0" w:header="0"/>
        </w:sectPr>
      </w:pPr>
    </w:p>
    <w:p>
      <w:pPr>
        <w:spacing w:after="0" w:line="1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color w:val="auto"/>
        </w:rPr>
        <w:t>(i)  </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expiration date determined pursuant to Subsection (a) above; or</w:t>
      </w:r>
    </w:p>
    <w:p>
      <w:pPr>
        <w:spacing w:after="0" w:line="125" w:lineRule="exact"/>
        <w:rPr>
          <w:sz w:val="20"/>
          <w:szCs w:val="20"/>
          <w:color w:val="auto"/>
        </w:rPr>
      </w:pPr>
    </w:p>
    <w:p>
      <w:pPr>
        <w:sectPr>
          <w:pgSz w:w="11900" w:h="16838" w:orient="portrait"/>
          <w:cols w:equalWidth="0" w:num="2">
            <w:col w:w="1640" w:space="140"/>
            <w:col w:w="9100"/>
          </w:cols>
          <w:pgMar w:left="480" w:top="265" w:right="5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12 months after the Optionee’s death.</w:t>
      </w:r>
    </w:p>
    <w:p>
      <w:pPr>
        <w:spacing w:after="0" w:line="166" w:lineRule="exact"/>
        <w:rPr>
          <w:sz w:val="20"/>
          <w:szCs w:val="20"/>
          <w:color w:val="auto"/>
        </w:rPr>
      </w:pPr>
    </w:p>
    <w:p>
      <w:pPr>
        <w:sectPr>
          <w:pgSz w:w="11900" w:h="16838" w:orient="portrait"/>
          <w:cols w:equalWidth="0" w:num="2">
            <w:col w:w="1700" w:space="120"/>
            <w:col w:w="9060"/>
          </w:cols>
          <w:pgMar w:left="480" w:top="265" w:right="5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480" w:top="265" w:right="539" w:bottom="1440" w:gutter="0" w:footer="0" w:header="0"/>
          <w:type w:val="continuous"/>
        </w:sectPr>
      </w:pPr>
    </w:p>
    <w:bookmarkStart w:id="732" w:name="page733"/>
    <w:bookmarkEnd w:id="73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176"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4" w:lineRule="exact"/>
        <w:rPr>
          <w:sz w:val="20"/>
          <w:szCs w:val="20"/>
          <w:color w:val="auto"/>
        </w:rPr>
      </w:pPr>
    </w:p>
    <w:p>
      <w:pPr>
        <w:ind w:right="3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3" w:lineRule="exact"/>
        <w:rPr>
          <w:sz w:val="20"/>
          <w:szCs w:val="20"/>
          <w:color w:val="auto"/>
        </w:rPr>
      </w:pPr>
    </w:p>
    <w:p>
      <w:pPr>
        <w:ind w:left="440" w:right="760" w:firstLine="943"/>
        <w:spacing w:after="0" w:line="278"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5" w:lineRule="exact"/>
        <w:rPr>
          <w:sz w:val="20"/>
          <w:szCs w:val="20"/>
          <w:color w:val="auto"/>
        </w:rPr>
      </w:pPr>
    </w:p>
    <w:p>
      <w:pPr>
        <w:ind w:left="440" w:firstLine="943"/>
        <w:spacing w:after="0" w:line="278"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55" w:lineRule="exact"/>
        <w:rPr>
          <w:sz w:val="20"/>
          <w:szCs w:val="20"/>
          <w:color w:val="auto"/>
        </w:rPr>
      </w:pPr>
    </w:p>
    <w:p>
      <w:pPr>
        <w:ind w:left="440" w:right="300" w:firstLine="943"/>
        <w:spacing w:after="0" w:line="278" w:lineRule="auto"/>
        <w:rPr>
          <w:sz w:val="20"/>
          <w:szCs w:val="20"/>
          <w:color w:val="auto"/>
        </w:rPr>
      </w:pPr>
      <w:r>
        <w:rPr>
          <w:rFonts w:ascii="Times New Roman" w:cs="Times New Roman" w:eastAsia="Times New Roman" w:hAnsi="Times New Roman"/>
          <w:sz w:val="18"/>
          <w:szCs w:val="18"/>
          <w:color w:val="auto"/>
        </w:rPr>
        <w:t>(iii)  More than three months after the date when the Optionee has been on a leave of absence for 90 days, unless the Optionee’s reemployment rights following such leave were guaranteed by statute or by contract.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REPURCHASE.</w:t>
      </w:r>
    </w:p>
    <w:p>
      <w:pPr>
        <w:spacing w:after="0" w:line="114" w:lineRule="exact"/>
        <w:rPr>
          <w:sz w:val="20"/>
          <w:szCs w:val="20"/>
          <w:color w:val="auto"/>
        </w:rPr>
      </w:pPr>
    </w:p>
    <w:p>
      <w:pPr>
        <w:ind w:right="40"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Scope of Repurchase Right</w:t>
      </w:r>
      <w:r>
        <w:rPr>
          <w:rFonts w:ascii="Times New Roman" w:cs="Times New Roman" w:eastAsia="Times New Roman" w:hAnsi="Times New Roman"/>
          <w:sz w:val="18"/>
          <w:szCs w:val="18"/>
          <w:color w:val="auto"/>
        </w:rPr>
        <w:t>. Until they vest in accordance with the Notice of Stock Option Grant and Subsection (b) 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70" w:right="519" w:bottom="1440" w:gutter="0" w:footer="0" w:header="0"/>
        </w:sectPr>
      </w:pPr>
    </w:p>
    <w:bookmarkStart w:id="733" w:name="page734"/>
    <w:bookmarkEnd w:id="733"/>
    <w:p>
      <w:pPr>
        <w:ind w:right="8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shall pay the Optionee an amount equal to the lower of (i) the Exercise Price of each Restricted Share being repurchased or (ii) the Fair Market Value of such Restricted Share at the time the Right of Repurchase is exercised.</w:t>
      </w:r>
    </w:p>
    <w:p>
      <w:pPr>
        <w:spacing w:after="0" w:line="158" w:lineRule="exact"/>
        <w:rPr>
          <w:sz w:val="20"/>
          <w:szCs w:val="20"/>
          <w:color w:val="auto"/>
        </w:rPr>
      </w:pPr>
    </w:p>
    <w:p>
      <w:pPr>
        <w:ind w:right="52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Lapse of Repurchase Right</w:t>
      </w:r>
      <w:r>
        <w:rPr>
          <w:rFonts w:ascii="Times New Roman" w:cs="Times New Roman" w:eastAsia="Times New Roman" w:hAnsi="Times New Roman"/>
          <w:sz w:val="18"/>
          <w:szCs w:val="18"/>
          <w:color w:val="auto"/>
        </w:rPr>
        <w:t>. The Right of Repurchase shall lapse with respect to the Restricted Shares in accordance with the vesting schedule set forth in the Notice of Stock Option Grant.</w:t>
      </w:r>
    </w:p>
    <w:p>
      <w:pPr>
        <w:spacing w:after="0" w:line="156" w:lineRule="exact"/>
        <w:rPr>
          <w:sz w:val="20"/>
          <w:szCs w:val="20"/>
          <w:color w:val="auto"/>
        </w:rPr>
      </w:pPr>
    </w:p>
    <w:p>
      <w:pPr>
        <w:ind w:firstLine="982"/>
        <w:spacing w:after="0" w:line="26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Escrow</w:t>
      </w:r>
      <w:r>
        <w:rPr>
          <w:rFonts w:ascii="Times New Roman" w:cs="Times New Roman" w:eastAsia="Times New Roman" w:hAnsi="Times New Roman"/>
          <w:sz w:val="17"/>
          <w:szCs w:val="17"/>
          <w:color w:val="auto"/>
        </w:rPr>
        <w:t>. Upon issuance, the certificate(s) for Restricted Shares shall be deposited in escrow with the Company 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173"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Exercise of Repurchase Right</w:t>
      </w:r>
      <w:r>
        <w:rPr>
          <w:rFonts w:ascii="Times New Roman" w:cs="Times New Roman" w:eastAsia="Times New Roman" w:hAnsi="Times New Roman"/>
          <w:sz w:val="18"/>
          <w:szCs w:val="18"/>
          <w:color w:val="auto"/>
        </w:rPr>
        <w:t>. The Company shall be deemed to have exercised its Right of Repurchase automatically for all Restricted Shares as of the commencement of the Repurchase Period, unless the Company during the Repurchase Period notifies the holder of the Restricted Shares pursuant to Section 13(c)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178" w:lineRule="exact"/>
        <w:rPr>
          <w:sz w:val="20"/>
          <w:szCs w:val="20"/>
          <w:color w:val="auto"/>
        </w:rPr>
      </w:pPr>
    </w:p>
    <w:p>
      <w:pPr>
        <w:ind w:right="140" w:firstLine="982"/>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Right of Repurchase is exercised in accordance with this Section 7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80" w:lineRule="exact"/>
        <w:rPr>
          <w:sz w:val="20"/>
          <w:szCs w:val="20"/>
          <w:color w:val="auto"/>
        </w:rPr>
      </w:pPr>
    </w:p>
    <w:p>
      <w:pPr>
        <w:ind w:right="1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734" w:name="page735"/>
    <w:bookmarkEnd w:id="73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180"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Transfer of Restricted Shares</w:t>
      </w:r>
      <w:r>
        <w:rPr>
          <w:rFonts w:ascii="Times New Roman" w:cs="Times New Roman" w:eastAsia="Times New Roman" w:hAnsi="Times New Roman"/>
          <w:sz w:val="18"/>
          <w:szCs w:val="18"/>
          <w:color w:val="auto"/>
        </w:rPr>
        <w:t>. The Optionee shall not transfer, assign, encumber or otherwise dispose of any Restricted Shares without 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178" w:lineRule="exact"/>
        <w:rPr>
          <w:sz w:val="20"/>
          <w:szCs w:val="20"/>
          <w:color w:val="auto"/>
        </w:rPr>
      </w:pPr>
    </w:p>
    <w:p>
      <w:pPr>
        <w:jc w:val="both"/>
        <w:ind w:right="2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Assignment of Repurchase Right</w:t>
      </w:r>
      <w:r>
        <w:rPr>
          <w:rFonts w:ascii="Times New Roman" w:cs="Times New Roman" w:eastAsia="Times New Roman" w:hAnsi="Times New Roman"/>
          <w:sz w:val="18"/>
          <w:szCs w:val="18"/>
          <w:color w:val="auto"/>
        </w:rPr>
        <w:t>. The Board of Directors may freely assign the Company’s Right of Repurchase, in whole or in part. Any person who accepts an assignment of the Right of Repurchase from the Company shall assume all of the Company’s rights and obligations under this Section 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RIGHT OF FIRST REFUSAL.</w:t>
      </w:r>
    </w:p>
    <w:p>
      <w:pPr>
        <w:spacing w:after="0" w:line="114"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4" w:lineRule="exact"/>
        <w:rPr>
          <w:sz w:val="20"/>
          <w:szCs w:val="20"/>
          <w:color w:val="auto"/>
        </w:rPr>
      </w:pPr>
    </w:p>
    <w:p>
      <w:pPr>
        <w:ind w:right="3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8" w:right="539" w:bottom="1440" w:gutter="0" w:footer="0" w:header="0"/>
        </w:sectPr>
      </w:pPr>
    </w:p>
    <w:bookmarkStart w:id="735" w:name="page736"/>
    <w:bookmarkEnd w:id="735"/>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71" w:lineRule="exact"/>
        <w:rPr>
          <w:sz w:val="20"/>
          <w:szCs w:val="20"/>
          <w:color w:val="auto"/>
        </w:rPr>
      </w:pPr>
    </w:p>
    <w:p>
      <w:pPr>
        <w:ind w:right="1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78" w:lineRule="exact"/>
        <w:rPr>
          <w:sz w:val="20"/>
          <w:szCs w:val="20"/>
          <w:color w:val="auto"/>
        </w:rPr>
      </w:pPr>
    </w:p>
    <w:p>
      <w:pPr>
        <w:ind w:right="120" w:firstLine="982"/>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8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0"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8 shall not apply to (i) a transfer by beneficiary designation, will or 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sz w:val="20"/>
          <w:szCs w:val="20"/>
          <w:color w:val="auto"/>
        </w:rPr>
      </w:pPr>
    </w:p>
    <w:p>
      <w:pPr>
        <w:ind w:right="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8, then after such time the person</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7" w:right="519" w:bottom="1440" w:gutter="0" w:footer="0" w:header="0"/>
        </w:sectPr>
      </w:pPr>
    </w:p>
    <w:bookmarkStart w:id="736" w:name="page737"/>
    <w:bookmarkEnd w:id="736"/>
    <w:p>
      <w:pPr>
        <w:ind w:right="1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1" w:lineRule="exact"/>
        <w:rPr>
          <w:sz w:val="20"/>
          <w:szCs w:val="20"/>
          <w:color w:val="auto"/>
        </w:rPr>
      </w:pPr>
    </w:p>
    <w:p>
      <w:pPr>
        <w:jc w:val="both"/>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LEGALITY OF INITIAL ISSUANCE.</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221" w:lineRule="exact"/>
        <w:rPr>
          <w:sz w:val="20"/>
          <w:szCs w:val="20"/>
          <w:color w:val="auto"/>
        </w:rPr>
      </w:pPr>
    </w:p>
    <w:p>
      <w:pPr>
        <w:ind w:right="220" w:firstLine="982"/>
        <w:spacing w:after="0" w:line="278"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Any applicable listing requirement of any stock exchange or other securities market on which Stock is listed has been satisfied; and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Any other applicable provision of federal, State or foreign law has been satisfied.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 REGISTRATION RIGHTS.</w:t>
      </w:r>
    </w:p>
    <w:p>
      <w:pPr>
        <w:spacing w:after="0" w:line="118" w:lineRule="exact"/>
        <w:rPr>
          <w:sz w:val="20"/>
          <w:szCs w:val="20"/>
          <w:color w:val="auto"/>
        </w:rPr>
      </w:pPr>
    </w:p>
    <w:p>
      <w:pPr>
        <w:ind w:right="240" w:firstLine="436"/>
        <w:spacing w:after="0" w:line="308" w:lineRule="auto"/>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RESTRICTIONS ON TRANSFER OF SHARES.</w:t>
      </w:r>
    </w:p>
    <w:p>
      <w:pPr>
        <w:spacing w:after="0" w:line="114"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80" w:lineRule="exact"/>
        <w:rPr>
          <w:sz w:val="20"/>
          <w:szCs w:val="20"/>
          <w:color w:val="auto"/>
        </w:rPr>
      </w:pPr>
    </w:p>
    <w:p>
      <w:pPr>
        <w:ind w:right="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8" w:right="539" w:bottom="1440" w:gutter="0" w:footer="0" w:header="0"/>
        </w:sectPr>
      </w:pPr>
    </w:p>
    <w:bookmarkStart w:id="737" w:name="page738"/>
    <w:bookmarkEnd w:id="737"/>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18"/>
          <w:szCs w:val="18"/>
          <w:b w:val="1"/>
          <w:bCs w:val="1"/>
          <w:i w:val="1"/>
          <w:iCs w:val="1"/>
          <w:color w:val="auto"/>
        </w:rPr>
        <w:t>Market Stand-Off</w:t>
      </w:r>
      <w:r>
        <w:rPr>
          <w:rFonts w:ascii="Times New Roman" w:cs="Times New Roman" w:eastAsia="Times New Roman" w:hAnsi="Times New Roman"/>
          <w:sz w:val="18"/>
          <w:szCs w:val="18"/>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7" w:lineRule="exact"/>
        <w:rPr>
          <w:sz w:val="20"/>
          <w:szCs w:val="20"/>
          <w:color w:val="auto"/>
        </w:rPr>
      </w:pPr>
    </w:p>
    <w:p>
      <w:pPr>
        <w:ind w:right="200" w:firstLine="982"/>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156" w:lineRule="exact"/>
        <w:rPr>
          <w:sz w:val="20"/>
          <w:szCs w:val="20"/>
          <w:color w:val="auto"/>
        </w:rPr>
      </w:pPr>
    </w:p>
    <w:p>
      <w:pPr>
        <w:jc w:val="both"/>
        <w:ind w:right="1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980" w:right="300"/>
        <w:spacing w:after="0" w:line="253"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738" w:name="page739"/>
    <w:bookmarkEnd w:id="738"/>
    <w:p>
      <w:pPr>
        <w:ind w:right="6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5"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6" w:lineRule="exact"/>
        <w:rPr>
          <w:sz w:val="20"/>
          <w:szCs w:val="20"/>
          <w:color w:val="auto"/>
        </w:rPr>
      </w:pPr>
    </w:p>
    <w:p>
      <w:pPr>
        <w:jc w:val="both"/>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70"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11 shall be conclusive and binding on the Optionee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ADJUSTMENT OF SHARES.</w:t>
      </w:r>
    </w:p>
    <w:p>
      <w:pPr>
        <w:spacing w:after="0" w:line="118" w:lineRule="exact"/>
        <w:rPr>
          <w:sz w:val="20"/>
          <w:szCs w:val="20"/>
          <w:color w:val="auto"/>
        </w:rPr>
      </w:pPr>
    </w:p>
    <w:p>
      <w:pPr>
        <w:jc w:val="both"/>
        <w:ind w:right="40" w:firstLine="436"/>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MISCELLANEOUS PROVISIONS.</w:t>
      </w:r>
    </w:p>
    <w:p>
      <w:pPr>
        <w:spacing w:after="0" w:line="114" w:lineRule="exact"/>
        <w:rPr>
          <w:sz w:val="20"/>
          <w:szCs w:val="20"/>
          <w:color w:val="auto"/>
        </w:rPr>
      </w:pPr>
    </w:p>
    <w:p>
      <w:pPr>
        <w:ind w:right="1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70" w:lineRule="exact"/>
        <w:rPr>
          <w:sz w:val="20"/>
          <w:szCs w:val="20"/>
          <w:color w:val="auto"/>
        </w:rPr>
      </w:pPr>
    </w:p>
    <w:p>
      <w:pPr>
        <w:ind w:right="260" w:firstLine="982"/>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739" w:name="page740"/>
    <w:bookmarkEnd w:id="739"/>
    <w:p>
      <w:pPr>
        <w:ind w:right="180" w:firstLine="98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76" w:lineRule="exact"/>
        <w:rPr>
          <w:sz w:val="20"/>
          <w:szCs w:val="20"/>
          <w:color w:val="auto"/>
        </w:rPr>
      </w:pPr>
    </w:p>
    <w:p>
      <w:pPr>
        <w:ind w:right="3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70"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ACKNOWLEDGEMENTS OF THE OPTIONEE.</w:t>
      </w:r>
    </w:p>
    <w:p>
      <w:pPr>
        <w:spacing w:after="0" w:line="114"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0" w:lineRule="exact"/>
        <w:rPr>
          <w:sz w:val="20"/>
          <w:szCs w:val="20"/>
          <w:color w:val="auto"/>
        </w:rPr>
      </w:pPr>
    </w:p>
    <w:p>
      <w:pPr>
        <w:ind w:right="100" w:firstLine="982"/>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5" w:right="519" w:bottom="1440" w:gutter="0" w:footer="0" w:header="0"/>
        </w:sectPr>
      </w:pPr>
    </w:p>
    <w:bookmarkStart w:id="740" w:name="page741"/>
    <w:bookmarkEnd w:id="740"/>
    <w:p>
      <w:pPr>
        <w:ind w:right="2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71"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1"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6"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(c)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shall mean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(e)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shall mean Omada Health, Inc., a Delaware corporation.</w:t>
      </w:r>
    </w:p>
    <w:p>
      <w:pPr>
        <w:spacing w:after="0" w:line="221" w:lineRule="exact"/>
        <w:rPr>
          <w:sz w:val="20"/>
          <w:szCs w:val="20"/>
          <w:color w:val="auto"/>
        </w:rPr>
      </w:pPr>
    </w:p>
    <w:p>
      <w:pPr>
        <w:ind w:right="320" w:firstLine="982"/>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shall mean a person who performs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for the Company, a Parent or a Subsidiary as a consultant or advisor, excluding Employees and Outside Directors.</w:t>
      </w:r>
    </w:p>
    <w:p>
      <w:pPr>
        <w:spacing w:after="0" w:line="156"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6" w:lineRule="exact"/>
        <w:rPr>
          <w:sz w:val="20"/>
          <w:szCs w:val="20"/>
          <w:color w:val="auto"/>
        </w:rPr>
      </w:pPr>
    </w:p>
    <w:p>
      <w:pPr>
        <w:ind w:right="660" w:firstLine="982"/>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221" w:lineRule="exact"/>
        <w:rPr>
          <w:sz w:val="20"/>
          <w:szCs w:val="20"/>
          <w:color w:val="auto"/>
        </w:rPr>
      </w:pPr>
    </w:p>
    <w:p>
      <w:pPr>
        <w:ind w:right="380" w:firstLine="982"/>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20"/>
          </w:cols>
          <w:pgMar w:left="480" w:top="268" w:right="599" w:bottom="1440" w:gutter="0" w:footer="0" w:header="0"/>
        </w:sectPr>
      </w:pPr>
    </w:p>
    <w:bookmarkStart w:id="741" w:name="page742"/>
    <w:bookmarkEnd w:id="741"/>
    <w:p>
      <w:pPr>
        <w:ind w:right="520" w:firstLine="98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6" w:lineRule="exact"/>
        <w:rPr>
          <w:sz w:val="20"/>
          <w:szCs w:val="20"/>
          <w:color w:val="auto"/>
        </w:rPr>
      </w:pPr>
    </w:p>
    <w:p>
      <w:pPr>
        <w:ind w:right="340" w:firstLine="982"/>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22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(p)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Optionee</w:t>
      </w:r>
      <w:r>
        <w:rPr>
          <w:rFonts w:ascii="Times New Roman" w:cs="Times New Roman" w:eastAsia="Times New Roman" w:hAnsi="Times New Roman"/>
          <w:sz w:val="17"/>
          <w:szCs w:val="17"/>
          <w:color w:val="auto"/>
        </w:rPr>
        <w:t>” shall mean the person named in the Notice of Stock Option Grant.</w:t>
      </w:r>
    </w:p>
    <w:p>
      <w:pPr>
        <w:spacing w:after="0" w:line="22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(q)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Outside Director</w:t>
      </w:r>
      <w:r>
        <w:rPr>
          <w:rFonts w:ascii="Times New Roman" w:cs="Times New Roman" w:eastAsia="Times New Roman" w:hAnsi="Times New Roman"/>
          <w:sz w:val="17"/>
          <w:szCs w:val="17"/>
          <w:color w:val="auto"/>
        </w:rPr>
        <w:t>” shall mean a member of the Board of Directors who is not an Employee.</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98"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Repurchase Period</w:t>
      </w:r>
      <w:r>
        <w:rPr>
          <w:rFonts w:ascii="Times New Roman" w:cs="Times New Roman" w:eastAsia="Times New Roman" w:hAnsi="Times New Roman"/>
          <w:sz w:val="18"/>
          <w:szCs w:val="18"/>
          <w:color w:val="auto"/>
        </w:rPr>
        <w:t>” shall mean a period of 90 consecutive days commencing on the date when the Optionee’s Service terminates for any reason, including (without limitation) death or disability.</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color w:val="auto"/>
        </w:rPr>
        <w:t xml:space="preserve">   Restricted Share</w:t>
      </w:r>
      <w:r>
        <w:rPr>
          <w:rFonts w:ascii="Times New Roman" w:cs="Times New Roman" w:eastAsia="Times New Roman" w:hAnsi="Times New Roman"/>
          <w:sz w:val="18"/>
          <w:szCs w:val="18"/>
          <w:color w:val="auto"/>
        </w:rPr>
        <w:t>” shall mean a Share that is subject to the Right of Repurchase.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8.</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Right of Repurchase</w:t>
      </w:r>
      <w:r>
        <w:rPr>
          <w:rFonts w:ascii="Times New Roman" w:cs="Times New Roman" w:eastAsia="Times New Roman" w:hAnsi="Times New Roman"/>
          <w:sz w:val="18"/>
          <w:szCs w:val="18"/>
          <w:color w:val="auto"/>
        </w:rPr>
        <w:t>” shall mean the Company’s right of repurchase described in Section 7.</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5" w:right="499" w:bottom="1440" w:gutter="0" w:footer="0" w:header="0"/>
        </w:sectPr>
      </w:pPr>
    </w:p>
    <w:bookmarkStart w:id="742" w:name="page743"/>
    <w:bookmarkEnd w:id="7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(y)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18"/>
          <w:szCs w:val="18"/>
          <w:color w:val="auto"/>
        </w:rPr>
        <w:t xml:space="preserve">(dd) </w:t>
      </w:r>
      <w:r>
        <w:rPr>
          <w:sz w:val="20"/>
          <w:szCs w:val="20"/>
          <w:color w:val="auto"/>
        </w:rPr>
        <w:tab/>
      </w:r>
      <w:r>
        <w:rPr>
          <w:rFonts w:ascii="Times New Roman" w:cs="Times New Roman" w:eastAsia="Times New Roman" w:hAnsi="Times New Roman"/>
          <w:sz w:val="17"/>
          <w:szCs w:val="17"/>
          <w:b w:val="1"/>
          <w:bCs w:val="1"/>
          <w:color w:val="auto"/>
        </w:rPr>
        <w:t>Transferee</w:t>
      </w:r>
      <w:r>
        <w:rPr>
          <w:rFonts w:ascii="Times New Roman" w:cs="Times New Roman" w:eastAsia="Times New Roman" w:hAnsi="Times New Roman"/>
          <w:sz w:val="17"/>
          <w:szCs w:val="17"/>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 xml:space="preserve">(ee)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 Notice</w:t>
      </w:r>
      <w:r>
        <w:rPr>
          <w:rFonts w:ascii="Times New Roman" w:cs="Times New Roman" w:eastAsia="Times New Roman" w:hAnsi="Times New Roman"/>
          <w:sz w:val="17"/>
          <w:szCs w:val="17"/>
          <w:color w:val="auto"/>
        </w:rPr>
        <w:t>” shall mean the notice of a proposed transfer of Shares described in Section 8.</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20"/>
          </w:cols>
          <w:pgMar w:left="480" w:top="264" w:right="799" w:bottom="1440" w:gutter="0" w:footer="0" w:header="0"/>
        </w:sectPr>
      </w:pPr>
    </w:p>
    <w:bookmarkStart w:id="743" w:name="page744"/>
    <w:bookmarkEnd w:id="7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Omada Health, Inc.:</w:t>
      </w:r>
    </w:p>
    <w:p>
      <w:pPr>
        <w:sectPr>
          <w:pgSz w:w="11900" w:h="16838" w:orient="portrait"/>
          <w:cols w:equalWidth="0" w:num="1">
            <w:col w:w="10920"/>
          </w:cols>
          <w:pgMar w:left="480" w:top="265" w:right="499" w:bottom="1440" w:gutter="0" w:footer="0" w:header="0"/>
        </w:sect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Exercisable: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5"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See Carta</w:t>
      </w:r>
    </w:p>
    <w:p>
      <w:pPr>
        <w:spacing w:after="0" w:line="124"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See Carta. </w:t>
      </w:r>
      <w:r>
        <w:rPr>
          <w:rFonts w:ascii="Times New Roman" w:cs="Times New Roman" w:eastAsia="Times New Roman" w:hAnsi="Times New Roman"/>
          <w:sz w:val="18"/>
          <w:szCs w:val="18"/>
          <w:color w:val="auto"/>
        </w:rPr>
        <w:t>The date ten (10) years after the Date of Grant set forth above. This option expires earlier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Optionee’s Service terminates earlier, as provided in Section 6 of the Stock Option Agreement.</w:t>
      </w:r>
    </w:p>
    <w:p>
      <w:pPr>
        <w:spacing w:after="0" w:line="161" w:lineRule="exact"/>
        <w:rPr>
          <w:sz w:val="20"/>
          <w:szCs w:val="20"/>
          <w:color w:val="auto"/>
        </w:rPr>
      </w:pPr>
    </w:p>
    <w:p>
      <w:pPr>
        <w:sectPr>
          <w:pgSz w:w="11900" w:h="16838" w:orient="portrait"/>
          <w:cols w:equalWidth="0" w:num="2">
            <w:col w:w="2880" w:space="720"/>
            <w:col w:w="7320"/>
          </w:cols>
          <w:pgMar w:left="480" w:top="265" w:right="499" w:bottom="1440" w:gutter="0" w:footer="0" w:header="0"/>
          <w:type w:val="continuous"/>
        </w:sect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13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920"/>
          </w:cols>
          <w:pgMar w:left="480" w:top="265" w:right="499" w:bottom="1440" w:gutter="0" w:footer="0" w:header="0"/>
          <w:type w:val="continuous"/>
        </w:sectPr>
      </w:pPr>
    </w:p>
    <w:bookmarkStart w:id="744" w:name="page745"/>
    <w:bookmarkEnd w:id="744"/>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00"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6" w:lineRule="exact"/>
        <w:rPr>
          <w:sz w:val="20"/>
          <w:szCs w:val="20"/>
          <w:color w:val="auto"/>
        </w:rPr>
      </w:pPr>
    </w:p>
    <w:p>
      <w:pPr>
        <w:ind w:right="2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14 of this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w:t>
      </w:r>
    </w:p>
    <w:p>
      <w:pPr>
        <w:spacing w:after="0" w:line="156"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118" w:lineRule="exact"/>
        <w:rPr>
          <w:sz w:val="20"/>
          <w:szCs w:val="20"/>
          <w:color w:val="auto"/>
        </w:rPr>
      </w:pPr>
    </w:p>
    <w:p>
      <w:pPr>
        <w:jc w:val="both"/>
        <w:ind w:right="180" w:firstLine="982"/>
        <w:spacing w:after="0" w:line="308"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ectPr>
          <w:pgSz w:w="11900" w:h="16838" w:orient="portrait"/>
          <w:cols w:equalWidth="0" w:num="1">
            <w:col w:w="10840"/>
          </w:cols>
          <w:pgMar w:left="480" w:top="264" w:right="579" w:bottom="1440" w:gutter="0" w:footer="0" w:header="0"/>
        </w:sectPr>
      </w:pPr>
    </w:p>
    <w:bookmarkStart w:id="745" w:name="page746"/>
    <w:bookmarkEnd w:id="7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 EXERCISE PROCEDURES.</w:t>
      </w:r>
    </w:p>
    <w:p>
      <w:pPr>
        <w:spacing w:after="0" w:line="114" w:lineRule="exact"/>
        <w:rPr>
          <w:sz w:val="20"/>
          <w:szCs w:val="20"/>
          <w:color w:val="auto"/>
        </w:rPr>
      </w:pPr>
    </w:p>
    <w:p>
      <w:pPr>
        <w:ind w:right="40"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4" w:lineRule="exact"/>
        <w:rPr>
          <w:sz w:val="20"/>
          <w:szCs w:val="20"/>
          <w:color w:val="auto"/>
        </w:rPr>
      </w:pPr>
    </w:p>
    <w:p>
      <w:pPr>
        <w:ind w:right="400" w:firstLine="982"/>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right="480" w:firstLine="7"/>
        <w:spacing w:after="0" w:line="252" w:lineRule="auto"/>
        <w:tabs>
          <w:tab w:leader="none" w:pos="262"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181"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4"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sz w:val="20"/>
          <w:szCs w:val="20"/>
          <w:color w:val="auto"/>
        </w:rPr>
        <w:tab/>
      </w: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All or part of the Purchase Price may be paid in cash or cash equivalents.</w:t>
      </w:r>
    </w:p>
    <w:p>
      <w:pPr>
        <w:spacing w:after="0" w:line="221" w:lineRule="exact"/>
        <w:rPr>
          <w:sz w:val="20"/>
          <w:szCs w:val="20"/>
          <w:color w:val="auto"/>
        </w:rPr>
      </w:pPr>
    </w:p>
    <w:p>
      <w:pPr>
        <w:ind w:right="120" w:firstLine="982"/>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70"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4" w:right="539" w:bottom="1440" w:gutter="0" w:footer="0" w:header="0"/>
        </w:sectPr>
      </w:pPr>
    </w:p>
    <w:bookmarkStart w:id="746" w:name="page747"/>
    <w:bookmarkEnd w:id="7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6. TERM AND EXPIRATION.</w:t>
      </w:r>
    </w:p>
    <w:p>
      <w:pPr>
        <w:spacing w:after="0" w:line="114" w:lineRule="exact"/>
        <w:rPr>
          <w:sz w:val="20"/>
          <w:szCs w:val="20"/>
          <w:color w:val="auto"/>
        </w:rPr>
      </w:pPr>
    </w:p>
    <w:p>
      <w:pPr>
        <w:ind w:right="1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70" w:lineRule="exact"/>
        <w:rPr>
          <w:sz w:val="20"/>
          <w:szCs w:val="20"/>
          <w:color w:val="auto"/>
        </w:rPr>
      </w:pPr>
    </w:p>
    <w:p>
      <w:pPr>
        <w:ind w:right="28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 above;</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date three months after the termination of the Optionee’s Service for any reason other than Disability; or</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The date six months after the termination of the Optionee’s Service by reason of Disability.</w:t>
      </w:r>
    </w:p>
    <w:p>
      <w:pPr>
        <w:spacing w:after="0" w:line="114" w:lineRule="exact"/>
        <w:rPr>
          <w:sz w:val="20"/>
          <w:szCs w:val="20"/>
          <w:color w:val="auto"/>
        </w:rPr>
      </w:pPr>
    </w:p>
    <w:p>
      <w:pPr>
        <w:ind w:left="440" w:right="540" w:firstLine="943"/>
        <w:spacing w:after="0" w:line="278" w:lineRule="auto"/>
        <w:rPr>
          <w:sz w:val="20"/>
          <w:szCs w:val="20"/>
          <w:color w:val="auto"/>
        </w:rPr>
      </w:pPr>
      <w:r>
        <w:rPr>
          <w:rFonts w:ascii="Times New Roman" w:cs="Times New Roman" w:eastAsia="Times New Roman" w:hAnsi="Times New Roman"/>
          <w:sz w:val="18"/>
          <w:szCs w:val="18"/>
          <w:color w:val="auto"/>
        </w:rPr>
        <w:t>(iv)  If the Optionee had completed three (3) years of employment or more, the date two (2) years after the termination of the Optionee’s Service for any reason other than Disability or for Cause.</w:t>
      </w:r>
    </w:p>
    <w:p>
      <w:pPr>
        <w:spacing w:after="0" w:line="55" w:lineRule="exact"/>
        <w:rPr>
          <w:sz w:val="20"/>
          <w:szCs w:val="20"/>
          <w:color w:val="auto"/>
        </w:rPr>
      </w:pPr>
    </w:p>
    <w:p>
      <w:pPr>
        <w:ind w:left="440" w:right="560" w:firstLine="943"/>
        <w:spacing w:after="0" w:line="278" w:lineRule="auto"/>
        <w:rPr>
          <w:sz w:val="20"/>
          <w:szCs w:val="20"/>
          <w:color w:val="auto"/>
        </w:rPr>
      </w:pPr>
      <w:r>
        <w:rPr>
          <w:rFonts w:ascii="Times New Roman" w:cs="Times New Roman" w:eastAsia="Times New Roman" w:hAnsi="Times New Roman"/>
          <w:sz w:val="18"/>
          <w:szCs w:val="18"/>
          <w:color w:val="auto"/>
        </w:rPr>
        <w:t>(v)  If the Optionee had completed four (4) years of employment or more, the date three (3) years after the termination of the Optionee’s Service for any reason other than Disability or for Cause.</w:t>
      </w:r>
    </w:p>
    <w:p>
      <w:pPr>
        <w:spacing w:after="0" w:line="55" w:lineRule="exact"/>
        <w:rPr>
          <w:sz w:val="20"/>
          <w:szCs w:val="20"/>
          <w:color w:val="auto"/>
        </w:rPr>
      </w:pPr>
    </w:p>
    <w:p>
      <w:pPr>
        <w:ind w:left="440" w:right="580" w:firstLine="943"/>
        <w:spacing w:after="0" w:line="278" w:lineRule="auto"/>
        <w:rPr>
          <w:sz w:val="20"/>
          <w:szCs w:val="20"/>
          <w:color w:val="auto"/>
        </w:rPr>
      </w:pPr>
      <w:r>
        <w:rPr>
          <w:rFonts w:ascii="Times New Roman" w:cs="Times New Roman" w:eastAsia="Times New Roman" w:hAnsi="Times New Roman"/>
          <w:sz w:val="18"/>
          <w:szCs w:val="18"/>
          <w:color w:val="auto"/>
        </w:rPr>
        <w:t>(vi)  If the Optionee had completed five (5) years of employment or more, the date four (4) years after the termination of the Optionee’s Service for any reason other than Disability or for Cause.</w:t>
      </w:r>
    </w:p>
    <w:p>
      <w:pPr>
        <w:spacing w:after="0" w:line="55" w:lineRule="exact"/>
        <w:rPr>
          <w:sz w:val="20"/>
          <w:szCs w:val="20"/>
          <w:color w:val="auto"/>
        </w:rPr>
      </w:pPr>
    </w:p>
    <w:p>
      <w:pPr>
        <w:ind w:left="440" w:right="140" w:firstLine="943"/>
        <w:spacing w:after="0" w:line="263" w:lineRule="auto"/>
        <w:rPr>
          <w:sz w:val="20"/>
          <w:szCs w:val="20"/>
          <w:color w:val="auto"/>
        </w:rPr>
      </w:pPr>
      <w:r>
        <w:rPr>
          <w:rFonts w:ascii="Times New Roman" w:cs="Times New Roman" w:eastAsia="Times New Roman" w:hAnsi="Times New Roman"/>
          <w:sz w:val="18"/>
          <w:szCs w:val="18"/>
          <w:color w:val="auto"/>
        </w:rPr>
        <w:t>(vii)  If the Optionee had completed less than three (3) years of employment, and Optionee’s employment was terminated in connection with a reduction in force as determined by the Company, then the date one (1) year after the termination of the Optionee’s Service for any reason other than Disability or for Cause.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4" w:right="499" w:bottom="1440" w:gutter="0" w:footer="0" w:header="0"/>
        </w:sectPr>
      </w:pPr>
    </w:p>
    <w:bookmarkStart w:id="747" w:name="page748"/>
    <w:bookmarkEnd w:id="747"/>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7"/>
          <w:szCs w:val="17"/>
          <w:b w:val="1"/>
          <w:bCs w:val="1"/>
          <w:color w:val="auto"/>
        </w:rPr>
        <w:t>Death of the Optionee</w:t>
      </w:r>
      <w:r>
        <w:rPr>
          <w:rFonts w:ascii="Times New Roman" w:cs="Times New Roman" w:eastAsia="Times New Roman" w:hAnsi="Times New Roman"/>
          <w:sz w:val="17"/>
          <w:szCs w:val="17"/>
          <w:color w:val="auto"/>
        </w:rPr>
        <w:t>. If the Optionee dies while in Service, then this option shall expire on the earlier of the following dates:</w:t>
      </w:r>
    </w:p>
    <w:p>
      <w:pPr>
        <w:sectPr>
          <w:pgSz w:w="11900" w:h="16838" w:orient="portrait"/>
          <w:cols w:equalWidth="0" w:num="1">
            <w:col w:w="10900"/>
          </w:cols>
          <w:pgMar w:left="480" w:top="265" w:right="519" w:bottom="1440" w:gutter="0" w:footer="0" w:header="0"/>
        </w:sectPr>
      </w:pP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color w:val="auto"/>
        </w:rPr>
        <w:t>(i)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expiration date determined pursuant to Subsection (a) above; or</w:t>
      </w:r>
    </w:p>
    <w:p>
      <w:pPr>
        <w:spacing w:after="0" w:line="125" w:lineRule="exact"/>
        <w:rPr>
          <w:sz w:val="20"/>
          <w:szCs w:val="20"/>
          <w:color w:val="auto"/>
        </w:rPr>
      </w:pPr>
    </w:p>
    <w:p>
      <w:pPr>
        <w:sectPr>
          <w:pgSz w:w="11900" w:h="16838" w:orient="portrait"/>
          <w:cols w:equalWidth="0" w:num="2">
            <w:col w:w="1640" w:space="140"/>
            <w:col w:w="9120"/>
          </w:cols>
          <w:pgMar w:left="480" w:top="265" w:right="51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12 months after the Optionee’s death.</w:t>
      </w:r>
    </w:p>
    <w:p>
      <w:pPr>
        <w:spacing w:after="0" w:line="200" w:lineRule="exact"/>
        <w:rPr>
          <w:sz w:val="20"/>
          <w:szCs w:val="20"/>
          <w:color w:val="auto"/>
        </w:rPr>
      </w:pPr>
    </w:p>
    <w:p>
      <w:pPr>
        <w:sectPr>
          <w:pgSz w:w="11900" w:h="16838" w:orient="portrait"/>
          <w:cols w:equalWidth="0" w:num="2">
            <w:col w:w="1700" w:space="120"/>
            <w:col w:w="9080"/>
          </w:cols>
          <w:pgMar w:left="480" w:top="265" w:right="519" w:bottom="1440" w:gutter="0" w:footer="0" w:header="0"/>
          <w:type w:val="continuous"/>
        </w:sectPr>
      </w:pPr>
    </w:p>
    <w:p>
      <w:pPr>
        <w:spacing w:after="0" w:line="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176"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4" w:lineRule="exact"/>
        <w:rPr>
          <w:sz w:val="20"/>
          <w:szCs w:val="20"/>
          <w:color w:val="auto"/>
        </w:rPr>
      </w:pPr>
    </w:p>
    <w:p>
      <w:pPr>
        <w:ind w:right="3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3" w:lineRule="exact"/>
        <w:rPr>
          <w:sz w:val="20"/>
          <w:szCs w:val="20"/>
          <w:color w:val="auto"/>
        </w:rPr>
      </w:pPr>
    </w:p>
    <w:p>
      <w:pPr>
        <w:ind w:left="440" w:right="760" w:firstLine="943"/>
        <w:spacing w:after="0" w:line="278"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5" w:lineRule="exact"/>
        <w:rPr>
          <w:sz w:val="20"/>
          <w:szCs w:val="20"/>
          <w:color w:val="auto"/>
        </w:rPr>
      </w:pPr>
    </w:p>
    <w:p>
      <w:pPr>
        <w:ind w:left="440" w:firstLine="943"/>
        <w:spacing w:after="0" w:line="278"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55" w:lineRule="exact"/>
        <w:rPr>
          <w:sz w:val="20"/>
          <w:szCs w:val="20"/>
          <w:color w:val="auto"/>
        </w:rPr>
      </w:pPr>
    </w:p>
    <w:p>
      <w:pPr>
        <w:ind w:left="440" w:right="300" w:firstLine="943"/>
        <w:spacing w:after="0" w:line="278" w:lineRule="auto"/>
        <w:rPr>
          <w:sz w:val="20"/>
          <w:szCs w:val="20"/>
          <w:color w:val="auto"/>
        </w:rPr>
      </w:pPr>
      <w:r>
        <w:rPr>
          <w:rFonts w:ascii="Times New Roman" w:cs="Times New Roman" w:eastAsia="Times New Roman" w:hAnsi="Times New Roman"/>
          <w:sz w:val="18"/>
          <w:szCs w:val="18"/>
          <w:color w:val="auto"/>
        </w:rPr>
        <w:t>(iii)  More than three months after the date when the Optionee has been on a leave of absence for 90 days, unless the Optionee’s reemployment rights following such leave were guaranteed by statute or by contract.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5" w:right="519" w:bottom="1440" w:gutter="0" w:footer="0" w:header="0"/>
          <w:type w:val="continuous"/>
        </w:sectPr>
      </w:pPr>
    </w:p>
    <w:bookmarkStart w:id="748" w:name="page749"/>
    <w:bookmarkEnd w:id="7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SECTION 7. RIGHT OF FIRST REFUSAL.</w:t>
      </w:r>
    </w:p>
    <w:p>
      <w:pPr>
        <w:spacing w:after="0" w:line="114"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4" w:lineRule="exact"/>
        <w:rPr>
          <w:sz w:val="20"/>
          <w:szCs w:val="20"/>
          <w:color w:val="auto"/>
        </w:rPr>
      </w:pPr>
    </w:p>
    <w:p>
      <w:pPr>
        <w:ind w:right="80" w:firstLine="982"/>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7"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480" w:top="265" w:right="539" w:bottom="1440" w:gutter="0" w:footer="0" w:header="0"/>
        </w:sectPr>
      </w:pPr>
    </w:p>
    <w:bookmarkStart w:id="749" w:name="page750"/>
    <w:bookmarkEnd w:id="749"/>
    <w:p>
      <w:pPr>
        <w:ind w:right="100" w:firstLine="982"/>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7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0"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7 shall not apply to (i) a transfer by beneficiary designation, will or 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sz w:val="20"/>
          <w:szCs w:val="20"/>
          <w:color w:val="auto"/>
        </w:rPr>
      </w:pPr>
    </w:p>
    <w:p>
      <w:pPr>
        <w:ind w:right="40" w:firstLine="982"/>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80" w:lineRule="exact"/>
        <w:rPr>
          <w:sz w:val="20"/>
          <w:szCs w:val="20"/>
          <w:color w:val="auto"/>
        </w:rPr>
      </w:pPr>
    </w:p>
    <w:p>
      <w:pPr>
        <w:jc w:val="both"/>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LEGALITY OF INITIAL ISSUANCE.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114" w:lineRule="exact"/>
        <w:rPr>
          <w:sz w:val="20"/>
          <w:szCs w:val="20"/>
          <w:color w:val="auto"/>
        </w:rPr>
      </w:pPr>
    </w:p>
    <w:p>
      <w:pPr>
        <w:ind w:left="440" w:right="220" w:firstLine="943"/>
        <w:spacing w:after="0" w:line="278"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   Any applicable listing requirement of any stock exchange or other securities market on which Stock is listed has been satisfied;</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Any other applicable provision of federal, State or foreign law has been satisfied.</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4" w:right="539" w:bottom="1440" w:gutter="0" w:footer="0" w:header="0"/>
        </w:sectPr>
      </w:pPr>
    </w:p>
    <w:bookmarkStart w:id="750" w:name="page751"/>
    <w:bookmarkEnd w:id="7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SECTION 9. NO REGISTRATION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RESTRICTIONS ON TRANSFER OF SHARES.</w:t>
      </w:r>
    </w:p>
    <w:p>
      <w:pPr>
        <w:spacing w:after="0" w:line="114" w:lineRule="exact"/>
        <w:rPr>
          <w:sz w:val="20"/>
          <w:szCs w:val="20"/>
          <w:color w:val="auto"/>
        </w:rPr>
      </w:pPr>
    </w:p>
    <w:p>
      <w:pPr>
        <w:ind w:right="40"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80"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6" w:lineRule="exact"/>
        <w:rPr>
          <w:sz w:val="20"/>
          <w:szCs w:val="20"/>
          <w:color w:val="auto"/>
        </w:rPr>
      </w:pPr>
    </w:p>
    <w:p>
      <w:pPr>
        <w:ind w:right="200" w:firstLine="982"/>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5" w:right="499" w:bottom="1440" w:gutter="0" w:footer="0" w:header="0"/>
        </w:sectPr>
      </w:pPr>
    </w:p>
    <w:bookmarkStart w:id="751" w:name="page752"/>
    <w:bookmarkEnd w:id="751"/>
    <w:p>
      <w:pPr>
        <w:jc w:val="both"/>
        <w:ind w:right="120" w:firstLine="98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84"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55" w:lineRule="exact"/>
        <w:rPr>
          <w:sz w:val="20"/>
          <w:szCs w:val="20"/>
          <w:color w:val="auto"/>
        </w:rPr>
      </w:pPr>
    </w:p>
    <w:p>
      <w:pPr>
        <w:ind w:left="440" w:right="240"/>
        <w:spacing w:after="0" w:line="258"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6" w:lineRule="exact"/>
        <w:rPr>
          <w:sz w:val="20"/>
          <w:szCs w:val="20"/>
          <w:color w:val="auto"/>
        </w:rPr>
      </w:pPr>
    </w:p>
    <w:p>
      <w:pPr>
        <w:jc w:val="both"/>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70"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10 shall be conclusive and binding on the Optionee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SHARES.</w:t>
      </w:r>
    </w:p>
    <w:p>
      <w:pPr>
        <w:spacing w:after="0" w:line="118"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5" w:right="499" w:bottom="1440" w:gutter="0" w:footer="0" w:header="0"/>
        </w:sectPr>
      </w:pPr>
    </w:p>
    <w:bookmarkStart w:id="752" w:name="page753"/>
    <w:bookmarkEnd w:id="7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76135" cy="38735"/>
                    </a:xfrm>
                    <a:prstGeom prst="rect">
                      <a:avLst/>
                    </a:prstGeom>
                    <a:noFill/>
                  </pic:spPr>
                </pic:pic>
              </a:graphicData>
            </a:graphic>
          </wp:anchor>
        </w:drawing>
        <w:t>SECTION 12. MISCELLANEOUS PROVISIONS.</w:t>
      </w:r>
    </w:p>
    <w:p>
      <w:pPr>
        <w:spacing w:after="0" w:line="114"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70" w:lineRule="exact"/>
        <w:rPr>
          <w:sz w:val="20"/>
          <w:szCs w:val="20"/>
          <w:color w:val="auto"/>
        </w:rPr>
      </w:pPr>
    </w:p>
    <w:p>
      <w:pPr>
        <w:ind w:right="180" w:firstLine="982"/>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6" w:lineRule="exact"/>
        <w:rPr>
          <w:sz w:val="20"/>
          <w:szCs w:val="20"/>
          <w:color w:val="auto"/>
        </w:rPr>
      </w:pPr>
    </w:p>
    <w:p>
      <w:pPr>
        <w:ind w:right="1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76" w:lineRule="exact"/>
        <w:rPr>
          <w:sz w:val="20"/>
          <w:szCs w:val="20"/>
          <w:color w:val="auto"/>
        </w:rPr>
      </w:pPr>
    </w:p>
    <w:p>
      <w:pPr>
        <w:ind w:right="240" w:firstLine="982"/>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170" w:lineRule="exact"/>
        <w:rPr>
          <w:sz w:val="20"/>
          <w:szCs w:val="20"/>
          <w:color w:val="auto"/>
        </w:rPr>
      </w:pPr>
    </w:p>
    <w:p>
      <w:pPr>
        <w:ind w:right="100" w:firstLine="982"/>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ACKNOWLEDGEMENTS OF THE OPTIONEE.</w:t>
      </w:r>
    </w:p>
    <w:p>
      <w:pPr>
        <w:spacing w:after="0" w:line="114" w:lineRule="exact"/>
        <w:rPr>
          <w:sz w:val="20"/>
          <w:szCs w:val="20"/>
          <w:color w:val="auto"/>
        </w:rPr>
      </w:pPr>
    </w:p>
    <w:p>
      <w:pPr>
        <w:ind w:right="240" w:firstLine="982"/>
        <w:spacing w:after="0" w:line="259"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40"/>
          </w:cols>
          <w:pgMar w:left="480" w:top="265" w:right="579" w:bottom="1440" w:gutter="0" w:footer="0" w:header="0"/>
        </w:sectPr>
      </w:pPr>
    </w:p>
    <w:bookmarkStart w:id="753" w:name="page754"/>
    <w:bookmarkEnd w:id="75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6"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80"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1" w:lineRule="exact"/>
        <w:rPr>
          <w:sz w:val="20"/>
          <w:szCs w:val="20"/>
          <w:color w:val="auto"/>
        </w:rPr>
      </w:pPr>
    </w:p>
    <w:p>
      <w:pPr>
        <w:ind w:right="280" w:firstLine="982"/>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1" w:lineRule="exact"/>
        <w:rPr>
          <w:sz w:val="20"/>
          <w:szCs w:val="20"/>
          <w:color w:val="auto"/>
        </w:rPr>
      </w:pPr>
    </w:p>
    <w:p>
      <w:pPr>
        <w:ind w:right="360" w:firstLine="982"/>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who performs bona fide services for the Company, a Parent or a Subsidiary as a consultant or advisor, excluding Employees and Outside Directors.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480" w:top="268" w:right="559" w:bottom="1440" w:gutter="0" w:footer="0" w:header="0"/>
        </w:sectPr>
      </w:pPr>
    </w:p>
    <w:bookmarkStart w:id="754" w:name="page755"/>
    <w:bookmarkEnd w:id="754"/>
    <w:p>
      <w:pPr>
        <w:ind w:right="260" w:firstLine="98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6" w:lineRule="exact"/>
        <w:rPr>
          <w:sz w:val="20"/>
          <w:szCs w:val="20"/>
          <w:color w:val="auto"/>
        </w:rPr>
      </w:pPr>
    </w:p>
    <w:p>
      <w:pPr>
        <w:ind w:right="760" w:firstLine="982"/>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221" w:lineRule="exact"/>
        <w:rPr>
          <w:sz w:val="20"/>
          <w:szCs w:val="20"/>
          <w:color w:val="auto"/>
        </w:rPr>
      </w:pPr>
    </w:p>
    <w:p>
      <w:pPr>
        <w:ind w:right="480" w:firstLine="982"/>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56" w:lineRule="exact"/>
        <w:rPr>
          <w:sz w:val="20"/>
          <w:szCs w:val="20"/>
          <w:color w:val="auto"/>
        </w:rPr>
      </w:pPr>
    </w:p>
    <w:p>
      <w:pPr>
        <w:ind w:right="520" w:firstLine="982"/>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6" w:lineRule="exact"/>
        <w:rPr>
          <w:sz w:val="20"/>
          <w:szCs w:val="20"/>
          <w:color w:val="auto"/>
        </w:rPr>
      </w:pPr>
    </w:p>
    <w:p>
      <w:pPr>
        <w:ind w:right="340" w:firstLine="982"/>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Notice of Stock Option Grant</w:t>
      </w:r>
      <w:r>
        <w:rPr>
          <w:rFonts w:ascii="Times New Roman" w:cs="Times New Roman" w:eastAsia="Times New Roman" w:hAnsi="Times New Roman"/>
          <w:sz w:val="18"/>
          <w:szCs w:val="18"/>
          <w:color w:val="auto"/>
        </w:rPr>
        <w:t>” shall mean the document so entitled to which this Agreement is attached.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shall mean a stock option not described in Section 422(b) or 423(b) of the Code.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4" w:right="499" w:bottom="1440" w:gutter="0" w:footer="0" w:header="0"/>
        </w:sectPr>
      </w:pPr>
    </w:p>
    <w:bookmarkStart w:id="755" w:name="page756"/>
    <w:bookmarkEnd w:id="75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7.</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7.</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20"/>
          </w:cols>
          <w:pgMar w:left="480" w:top="264" w:right="799" w:bottom="1440" w:gutter="0" w:footer="0" w:header="0"/>
        </w:sectPr>
      </w:pPr>
    </w:p>
    <w:bookmarkStart w:id="756" w:name="page757"/>
    <w:bookmarkEnd w:id="7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O</w:t>
      </w:r>
      <w:r>
        <w:rPr>
          <w:rFonts w:ascii="Times New Roman" w:cs="Times New Roman" w:eastAsia="Times New Roman" w:hAnsi="Times New Roman"/>
          <w:sz w:val="14"/>
          <w:szCs w:val="14"/>
          <w:color w:val="auto"/>
        </w:rPr>
        <w:t>MADA</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2011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OTICE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Y</w:t>
      </w:r>
      <w:r>
        <w:rPr>
          <w:rFonts w:ascii="Times New Roman" w:cs="Times New Roman" w:eastAsia="Times New Roman" w:hAnsi="Times New Roman"/>
          <w:sz w:val="14"/>
          <w:szCs w:val="14"/>
          <w:color w:val="auto"/>
        </w:rPr>
        <w:t>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SIGN THIS</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OTICE 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4"/>
          <w:szCs w:val="14"/>
          <w:color w:val="auto"/>
        </w:rPr>
        <w:t>BEFORE SUBMITTING IT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w:t>
      </w:r>
      <w:r>
        <w:rPr>
          <w:rFonts w:ascii="Times New Roman" w:cs="Times New Roman" w:eastAsia="Times New Roman" w:hAnsi="Times New Roman"/>
          <w:sz w:val="14"/>
          <w:szCs w:val="14"/>
          <w:color w:val="auto"/>
        </w:rPr>
        <w:t>HARES</w:t>
      </w: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ORMS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See eShares</w:t>
            </w: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Social Security Number:</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See eShares</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See eShares</w:t>
            </w: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Employee Number:</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See eShares</w:t>
            </w:r>
          </w:p>
        </w:tc>
      </w:tr>
      <w:tr>
        <w:trPr>
          <w:trHeight w:val="221"/>
        </w:trPr>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435"/>
        </w:trPr>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14"/>
        </w:trPr>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Date of Grant: See eShares</w:t>
            </w:r>
          </w:p>
        </w:tc>
        <w:tc>
          <w:tcPr>
            <w:tcW w:w="80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Stock Option:</w:t>
            </w:r>
          </w:p>
        </w:tc>
      </w:tr>
      <w:tr>
        <w:trPr>
          <w:trHeight w:val="20"/>
        </w:trPr>
        <w:tc>
          <w:tcPr>
            <w:tcW w:w="10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08"/>
        </w:trPr>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Exercise Price per Share: See eShares</w:t>
            </w:r>
          </w:p>
        </w:tc>
        <w:tc>
          <w:tcPr>
            <w:tcW w:w="8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eShares</w:t>
            </w:r>
          </w:p>
        </w:tc>
        <w:tc>
          <w:tcPr>
            <w:tcW w:w="3820" w:type="dxa"/>
            <w:vAlign w:val="bottom"/>
          </w:tcPr>
          <w:p>
            <w:pPr>
              <w:spacing w:after="0"/>
              <w:rPr>
                <w:sz w:val="24"/>
                <w:szCs w:val="24"/>
                <w:color w:val="auto"/>
              </w:rPr>
            </w:pPr>
          </w:p>
        </w:tc>
      </w:tr>
      <w:tr>
        <w:trPr>
          <w:trHeight w:val="20"/>
        </w:trPr>
        <w:tc>
          <w:tcPr>
            <w:tcW w:w="184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0"/>
        </w:trPr>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number of shares of Common Stock of Omada Health, Inc.</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92"/>
        </w:trPr>
        <w:tc>
          <w:tcPr>
            <w:tcW w:w="4900" w:type="dxa"/>
            <w:vAlign w:val="bottom"/>
            <w:gridSpan w:val="8"/>
          </w:tcPr>
          <w:p>
            <w:pPr>
              <w:spacing w:after="0" w:line="192" w:lineRule="exact"/>
              <w:rPr>
                <w:sz w:val="20"/>
                <w:szCs w:val="20"/>
                <w:color w:val="auto"/>
              </w:rPr>
            </w:pPr>
            <w:r>
              <w:rPr>
                <w:rFonts w:ascii="Times New Roman" w:cs="Times New Roman" w:eastAsia="Times New Roman" w:hAnsi="Times New Roman"/>
                <w:sz w:val="18"/>
                <w:szCs w:val="18"/>
                <w:color w:val="auto"/>
              </w:rPr>
              <w:t>(the “Company”) covered by the option: See eShares</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Number of shares of Common Stock of the Company for which the option is being exercised now:           . (These shares are referred to below as the “Purchased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Total Exercise Price for the Purchased Shares: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payment [check all that apply*]:</w:t>
      </w:r>
    </w:p>
    <w:p>
      <w:pPr>
        <w:ind w:left="440" w:hanging="433"/>
        <w:spacing w:after="0" w:line="183" w:lineRule="auto"/>
        <w:tabs>
          <w:tab w:leader="none" w:pos="440" w:val="left"/>
        </w:tabs>
        <w:numPr>
          <w:ilvl w:val="0"/>
          <w:numId w:val="50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for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  , payable to “ESharesForms, Inc.”</w:t>
      </w:r>
    </w:p>
    <w:p>
      <w:pPr>
        <w:spacing w:after="0" w:line="281" w:lineRule="exact"/>
        <w:rPr>
          <w:sz w:val="20"/>
          <w:szCs w:val="20"/>
          <w:color w:val="auto"/>
        </w:rPr>
      </w:pPr>
    </w:p>
    <w:p>
      <w:pPr>
        <w:ind w:left="440" w:right="200" w:hanging="439"/>
        <w:spacing w:after="0" w:line="278" w:lineRule="auto"/>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Certificate(s) for           shares of Common Stock of the Company. These shares will be valued as of the date this notice is received by the Company. [Requires Company consent.]</w:t>
      </w:r>
    </w:p>
    <w:p>
      <w:pPr>
        <w:spacing w:after="0" w:line="69" w:lineRule="exact"/>
        <w:rPr>
          <w:sz w:val="20"/>
          <w:szCs w:val="20"/>
          <w:color w:val="auto"/>
        </w:rPr>
      </w:pPr>
    </w:p>
    <w:p>
      <w:pPr>
        <w:ind w:left="440" w:hanging="439"/>
        <w:spacing w:after="0" w:line="278" w:lineRule="auto"/>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Attestation Form covering           shares of Common Stock of the Company. These shares will be valued as of the date this notice is received by the Company. [Requires Company consent.]</w:t>
      </w:r>
    </w:p>
    <w:p>
      <w:pPr>
        <w:spacing w:after="0" w:line="109" w:lineRule="exact"/>
        <w:rPr>
          <w:sz w:val="20"/>
          <w:szCs w:val="20"/>
          <w:color w:val="auto"/>
        </w:rPr>
      </w:pPr>
    </w:p>
    <w:p>
      <w:pPr>
        <w:ind w:left="440" w:hanging="433"/>
        <w:spacing w:after="0"/>
        <w:tabs>
          <w:tab w:leader="none" w:pos="440" w:val="left"/>
        </w:tabs>
        <w:numPr>
          <w:ilvl w:val="0"/>
          <w:numId w:val="5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If you are a non-U.S. Optionee, please see the Company for permitted forms of payment.</w:t>
      </w:r>
    </w:p>
    <w:p>
      <w:pPr>
        <w:sectPr>
          <w:pgSz w:w="11900" w:h="16838" w:orient="portrait"/>
          <w:cols w:equalWidth="0" w:num="1">
            <w:col w:w="10920"/>
          </w:cols>
          <w:pgMar w:left="480" w:top="268" w:right="499" w:bottom="1440" w:gutter="0" w:footer="0" w:header="0"/>
        </w:sectPr>
      </w:pPr>
    </w:p>
    <w:bookmarkStart w:id="757" w:name="page758"/>
    <w:bookmarkEnd w:id="757"/>
    <w:p>
      <w:pPr>
        <w:ind w:right="44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Name(s) in which the Purchased Shares should be registered [please review the attached explanation of the available forms of ownership, and then check one box]:</w:t>
      </w:r>
    </w:p>
    <w:p>
      <w:pPr>
        <w:spacing w:after="0" w:line="69" w:lineRule="exact"/>
        <w:rPr>
          <w:sz w:val="20"/>
          <w:szCs w:val="20"/>
          <w:color w:val="auto"/>
        </w:rPr>
      </w:pPr>
    </w:p>
    <w:p>
      <w:pPr>
        <w:ind w:left="440" w:hanging="433"/>
        <w:spacing w:after="0"/>
        <w:tabs>
          <w:tab w:leader="none" w:pos="440" w:val="left"/>
        </w:tabs>
        <w:numPr>
          <w:ilvl w:val="0"/>
          <w:numId w:val="5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my name only</w:t>
      </w:r>
    </w:p>
    <w:p>
      <w:pPr>
        <w:spacing w:after="0" w:line="87" w:lineRule="exact"/>
        <w:rPr>
          <w:sz w:val="20"/>
          <w:szCs w:val="20"/>
          <w:color w:val="auto"/>
        </w:rPr>
      </w:pPr>
    </w:p>
    <w:p>
      <w:pPr>
        <w:spacing w:after="0" w:line="207" w:lineRule="exact"/>
        <w:tabs>
          <w:tab w:leader="none" w:pos="340" w:val="left"/>
          <w:tab w:leader="none" w:pos="5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In the names of my spouse and myself as community property</w:t>
      </w:r>
      <w:r>
        <w:rPr>
          <w:sz w:val="20"/>
          <w:szCs w:val="20"/>
          <w:color w:val="auto"/>
        </w:rPr>
        <w:tab/>
      </w:r>
      <w:r>
        <w:rPr>
          <w:rFonts w:ascii="Times New Roman" w:cs="Times New Roman" w:eastAsia="Times New Roman" w:hAnsi="Times New Roman"/>
          <w:sz w:val="17"/>
          <w:szCs w:val="17"/>
          <w:color w:val="auto"/>
        </w:rPr>
        <w:t>My spouse’s name (if applicable):</w:t>
      </w:r>
    </w:p>
    <w:p>
      <w:pPr>
        <w:spacing w:after="0" w:line="155" w:lineRule="exact"/>
        <w:rPr>
          <w:sz w:val="20"/>
          <w:szCs w:val="20"/>
          <w:color w:val="auto"/>
        </w:rPr>
      </w:pPr>
    </w:p>
    <w:p>
      <w:pPr>
        <w:ind w:left="360" w:hanging="353"/>
        <w:spacing w:after="0"/>
        <w:tabs>
          <w:tab w:leader="none" w:pos="360" w:val="left"/>
        </w:tabs>
        <w:numPr>
          <w:ilvl w:val="0"/>
          <w:numId w:val="5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community property with</w:t>
      </w:r>
    </w:p>
    <w:p>
      <w:pPr>
        <w:spacing w:after="0" w:line="27" w:lineRule="exact"/>
        <w:rPr>
          <w:sz w:val="20"/>
          <w:szCs w:val="20"/>
          <w:color w:val="auto"/>
        </w:rPr>
      </w:pPr>
    </w:p>
    <w:p>
      <w:pPr>
        <w:ind w:left="360"/>
        <w:spacing w:after="0"/>
        <w:tabs>
          <w:tab w:leader="none" w:pos="5460" w:val="left"/>
        </w:tabs>
        <w:rPr>
          <w:sz w:val="20"/>
          <w:szCs w:val="20"/>
          <w:color w:val="auto"/>
        </w:rPr>
      </w:pPr>
      <w:r>
        <w:rPr>
          <w:rFonts w:ascii="Times New Roman" w:cs="Times New Roman" w:eastAsia="Times New Roman" w:hAnsi="Times New Roman"/>
          <w:sz w:val="18"/>
          <w:szCs w:val="18"/>
          <w:color w:val="auto"/>
        </w:rPr>
        <w:t>the right of survivorship</w:t>
      </w:r>
      <w:r>
        <w:rPr>
          <w:sz w:val="20"/>
          <w:szCs w:val="20"/>
          <w:color w:val="auto"/>
        </w:rPr>
        <w:tab/>
      </w: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-12700</wp:posOffset>
            </wp:positionV>
            <wp:extent cx="332041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74" w:lineRule="exact"/>
        <w:rPr>
          <w:sz w:val="20"/>
          <w:szCs w:val="20"/>
          <w:color w:val="auto"/>
        </w:rPr>
      </w:pPr>
    </w:p>
    <w:p>
      <w:pPr>
        <w:ind w:left="360" w:right="5680" w:hanging="353"/>
        <w:spacing w:after="0" w:line="278" w:lineRule="auto"/>
        <w:tabs>
          <w:tab w:leader="none" w:pos="360" w:val="left"/>
        </w:tabs>
        <w:numPr>
          <w:ilvl w:val="0"/>
          <w:numId w:val="5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joint tenants with the right of survivorship</w:t>
      </w:r>
    </w:p>
    <w:p>
      <w:pPr>
        <w:spacing w:after="0" w:line="55" w:lineRule="exact"/>
        <w:rPr>
          <w:rFonts w:ascii="MS PGothic" w:cs="MS PGothic" w:eastAsia="MS PGothic" w:hAnsi="MS PGothic"/>
          <w:sz w:val="18"/>
          <w:szCs w:val="18"/>
          <w:color w:val="auto"/>
        </w:rPr>
      </w:pPr>
    </w:p>
    <w:p>
      <w:pPr>
        <w:ind w:left="360" w:hanging="353"/>
        <w:spacing w:after="0"/>
        <w:tabs>
          <w:tab w:leader="none" w:pos="360" w:val="left"/>
        </w:tabs>
        <w:numPr>
          <w:ilvl w:val="0"/>
          <w:numId w:val="5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 of an eligible revocable trust [requires Stock Transfer</w:t>
      </w:r>
    </w:p>
    <w:p>
      <w:pPr>
        <w:spacing w:after="0" w:line="27" w:lineRule="exact"/>
        <w:rPr>
          <w:sz w:val="20"/>
          <w:szCs w:val="20"/>
          <w:color w:val="auto"/>
        </w:rPr>
      </w:pPr>
    </w:p>
    <w:p>
      <w:pPr>
        <w:ind w:left="360"/>
        <w:spacing w:after="0"/>
        <w:tabs>
          <w:tab w:leader="none" w:pos="5680" w:val="left"/>
        </w:tabs>
        <w:rPr>
          <w:sz w:val="20"/>
          <w:szCs w:val="20"/>
          <w:color w:val="auto"/>
        </w:rPr>
      </w:pPr>
      <w:r>
        <w:rPr>
          <w:rFonts w:ascii="Times New Roman" w:cs="Times New Roman" w:eastAsia="Times New Roman" w:hAnsi="Times New Roman"/>
          <w:sz w:val="18"/>
          <w:szCs w:val="18"/>
          <w:color w:val="auto"/>
        </w:rPr>
        <w:t>Agreement]</w:t>
      </w:r>
      <w:r>
        <w:rPr>
          <w:sz w:val="20"/>
          <w:szCs w:val="20"/>
          <w:color w:val="auto"/>
        </w:rPr>
        <w:tab/>
      </w:r>
      <w:r>
        <w:rPr>
          <w:rFonts w:ascii="Times New Roman" w:cs="Times New Roman" w:eastAsia="Times New Roman" w:hAnsi="Times New Roman"/>
          <w:sz w:val="18"/>
          <w:szCs w:val="18"/>
          <w:color w:val="auto"/>
        </w:rPr>
        <w:t>Full legal name of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207010</wp:posOffset>
            </wp:positionV>
            <wp:extent cx="332041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427990</wp:posOffset>
            </wp:positionV>
            <wp:extent cx="332041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648970</wp:posOffset>
            </wp:positionV>
            <wp:extent cx="332041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certificate for the Purchased Shares should be sent to the following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0</wp:posOffset>
            </wp:positionV>
            <wp:extent cx="309943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151765</wp:posOffset>
            </wp:positionV>
            <wp:extent cx="309943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304800</wp:posOffset>
            </wp:positionV>
            <wp:extent cx="309943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457835</wp:posOffset>
            </wp:positionV>
            <wp:extent cx="309943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CKNOWLEDGMENTS OF THE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40" w:right="40" w:hanging="433"/>
        <w:spacing w:after="0" w:line="263" w:lineRule="auto"/>
        <w:tabs>
          <w:tab w:leader="none" w:pos="4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81" w:lineRule="exact"/>
        <w:rPr>
          <w:rFonts w:ascii="Times New Roman" w:cs="Times New Roman" w:eastAsia="Times New Roman" w:hAnsi="Times New Roman"/>
          <w:sz w:val="18"/>
          <w:szCs w:val="18"/>
          <w:color w:val="auto"/>
        </w:rPr>
      </w:pPr>
    </w:p>
    <w:p>
      <w:pPr>
        <w:jc w:val="both"/>
        <w:ind w:left="440" w:right="100" w:hanging="433"/>
        <w:spacing w:after="0" w:line="263" w:lineRule="auto"/>
        <w:tabs>
          <w:tab w:leader="none" w:pos="4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Purchased Shares have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Company is under no obligation to register the Purchased Shares.</w:t>
      </w:r>
    </w:p>
    <w:p>
      <w:pPr>
        <w:spacing w:after="0" w:line="127" w:lineRule="exact"/>
        <w:rPr>
          <w:rFonts w:ascii="Times New Roman" w:cs="Times New Roman" w:eastAsia="Times New Roman" w:hAnsi="Times New Roman"/>
          <w:sz w:val="18"/>
          <w:szCs w:val="18"/>
          <w:color w:val="auto"/>
        </w:rPr>
      </w:pPr>
    </w:p>
    <w:p>
      <w:pPr>
        <w:ind w:left="440" w:hanging="433"/>
        <w:spacing w:after="0" w:line="254" w:lineRule="auto"/>
        <w:tabs>
          <w:tab w:leader="none" w:pos="4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aware of the adoption by the Securities and Exchange Commission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and that the Company is not required to take action to satisfy any conditions applicable to it.</w:t>
      </w:r>
    </w:p>
    <w:p>
      <w:pPr>
        <w:spacing w:after="0" w:line="89" w:lineRule="exact"/>
        <w:rPr>
          <w:rFonts w:ascii="Times New Roman" w:cs="Times New Roman" w:eastAsia="Times New Roman" w:hAnsi="Times New Roman"/>
          <w:sz w:val="18"/>
          <w:szCs w:val="18"/>
          <w:color w:val="auto"/>
        </w:rPr>
      </w:pPr>
    </w:p>
    <w:p>
      <w:pPr>
        <w:ind w:left="440" w:right="60" w:hanging="433"/>
        <w:spacing w:after="0" w:line="278" w:lineRule="auto"/>
        <w:tabs>
          <w:tab w:leader="none" w:pos="4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8" w:lineRule="exact"/>
        <w:rPr>
          <w:rFonts w:ascii="Times New Roman" w:cs="Times New Roman" w:eastAsia="Times New Roman" w:hAnsi="Times New Roman"/>
          <w:sz w:val="18"/>
          <w:szCs w:val="18"/>
          <w:color w:val="auto"/>
        </w:rPr>
      </w:pPr>
    </w:p>
    <w:p>
      <w:pPr>
        <w:jc w:val="both"/>
        <w:ind w:left="440" w:right="80" w:hanging="433"/>
        <w:spacing w:after="0" w:line="263" w:lineRule="auto"/>
        <w:tabs>
          <w:tab w:leader="none" w:pos="4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758" w:name="page759"/>
    <w:bookmarkEnd w:id="758"/>
    <w:p>
      <w:pPr>
        <w:ind w:left="440" w:right="160" w:hanging="433"/>
        <w:spacing w:after="0" w:line="263" w:lineRule="auto"/>
        <w:tabs>
          <w:tab w:leader="none" w:pos="44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1" w:lineRule="exact"/>
        <w:rPr>
          <w:rFonts w:ascii="Times New Roman" w:cs="Times New Roman" w:eastAsia="Times New Roman" w:hAnsi="Times New Roman"/>
          <w:sz w:val="18"/>
          <w:szCs w:val="18"/>
          <w:color w:val="auto"/>
        </w:rPr>
      </w:pPr>
    </w:p>
    <w:p>
      <w:pPr>
        <w:ind w:left="440" w:right="40" w:hanging="433"/>
        <w:spacing w:after="0" w:line="278" w:lineRule="auto"/>
        <w:tabs>
          <w:tab w:leader="none" w:pos="44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Purchased Shares remain subject to the Company’s right of first refusal and the market stand-off (sometimes referred to as the “lock-up”), all in accordance with the applicable Notice of Stock Option Grant and Stock Option Agreement.</w:t>
      </w:r>
    </w:p>
    <w:p>
      <w:pPr>
        <w:spacing w:after="0" w:line="68" w:lineRule="exact"/>
        <w:rPr>
          <w:rFonts w:ascii="Times New Roman" w:cs="Times New Roman" w:eastAsia="Times New Roman" w:hAnsi="Times New Roman"/>
          <w:sz w:val="18"/>
          <w:szCs w:val="18"/>
          <w:color w:val="auto"/>
        </w:rPr>
      </w:pPr>
    </w:p>
    <w:p>
      <w:pPr>
        <w:ind w:left="440" w:right="720" w:hanging="433"/>
        <w:spacing w:after="0" w:line="278" w:lineRule="auto"/>
        <w:tabs>
          <w:tab w:leader="none" w:pos="44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am acquiring the Purchased Shares subject to all other terms of the Notice of Stock Option Grant and Stock Option Agreement.</w:t>
      </w:r>
    </w:p>
    <w:p>
      <w:pPr>
        <w:spacing w:after="0" w:line="68" w:lineRule="exact"/>
        <w:rPr>
          <w:rFonts w:ascii="Times New Roman" w:cs="Times New Roman" w:eastAsia="Times New Roman" w:hAnsi="Times New Roman"/>
          <w:sz w:val="18"/>
          <w:szCs w:val="18"/>
          <w:color w:val="auto"/>
        </w:rPr>
      </w:pPr>
    </w:p>
    <w:p>
      <w:pPr>
        <w:ind w:left="440" w:hanging="433"/>
        <w:spacing w:after="0" w:line="254" w:lineRule="auto"/>
        <w:tabs>
          <w:tab w:leader="none" w:pos="44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Times New Roman" w:cs="Times New Roman" w:eastAsia="Times New Roman" w:hAnsi="Times New Roman"/>
          <w:sz w:val="18"/>
          <w:szCs w:val="18"/>
          <w:color w:val="auto"/>
        </w:rPr>
      </w:pPr>
    </w:p>
    <w:p>
      <w:pPr>
        <w:ind w:left="440" w:right="400" w:hanging="433"/>
        <w:spacing w:after="0" w:line="263" w:lineRule="auto"/>
        <w:tabs>
          <w:tab w:leader="none" w:pos="44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81" w:lineRule="exact"/>
        <w:rPr>
          <w:rFonts w:ascii="Times New Roman" w:cs="Times New Roman" w:eastAsia="Times New Roman" w:hAnsi="Times New Roman"/>
          <w:sz w:val="18"/>
          <w:szCs w:val="18"/>
          <w:color w:val="auto"/>
        </w:rPr>
      </w:pPr>
    </w:p>
    <w:p>
      <w:pPr>
        <w:ind w:left="440" w:right="100" w:hanging="433"/>
        <w:spacing w:after="0" w:line="251" w:lineRule="auto"/>
        <w:tabs>
          <w:tab w:leader="none" w:pos="44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Company does not have a duty to design or administer the 2011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ectPr>
          <w:pgSz w:w="11900" w:h="16838" w:orient="portrait"/>
          <w:cols w:equalWidth="0" w:num="1">
            <w:col w:w="10860"/>
          </w:cols>
          <w:pgMar w:left="480" w:top="268" w:right="559" w:bottom="1440" w:gutter="0" w:footer="0" w:header="0"/>
        </w:sectPr>
      </w:pPr>
    </w:p>
    <w:p>
      <w:pPr>
        <w:spacing w:after="0" w:line="98" w:lineRule="exact"/>
        <w:rPr>
          <w:sz w:val="20"/>
          <w:szCs w:val="20"/>
          <w:color w:val="auto"/>
        </w:rPr>
      </w:pPr>
    </w:p>
    <w:p>
      <w:pPr>
        <w:ind w:left="440" w:hanging="433"/>
        <w:spacing w:after="0"/>
        <w:tabs>
          <w:tab w:leader="none" w:pos="440" w:val="left"/>
        </w:tabs>
        <w:numPr>
          <w:ilvl w:val="0"/>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agree to seek the consent of my spouse to the extent required by the Company to enforce the foregoing.</w:t>
      </w:r>
    </w:p>
    <w:p>
      <w:pPr>
        <w:spacing w:after="0" w:line="259" w:lineRule="exact"/>
        <w:rPr>
          <w:sz w:val="20"/>
          <w:szCs w:val="20"/>
          <w:color w:val="auto"/>
        </w:rPr>
      </w:pPr>
    </w:p>
    <w:p>
      <w:pPr>
        <w:spacing w:after="0"/>
        <w:tabs>
          <w:tab w:leader="none" w:pos="3820" w:val="left"/>
          <w:tab w:leader="none" w:pos="4700"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D</w:t>
      </w:r>
      <w:r>
        <w:rPr>
          <w:rFonts w:ascii="Times New Roman" w:cs="Times New Roman" w:eastAsia="Times New Roman" w:hAnsi="Times New Roman"/>
          <w:sz w:val="13"/>
          <w:szCs w:val="13"/>
          <w:color w:val="auto"/>
        </w:rPr>
        <w:t>ATE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534162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341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ectPr>
          <w:pgSz w:w="11900" w:h="16838" w:orient="portrait"/>
          <w:cols w:equalWidth="0" w:num="2">
            <w:col w:w="7900" w:space="620"/>
            <w:col w:w="2340"/>
          </w:cols>
          <w:pgMar w:left="480" w:top="268" w:right="559" w:bottom="1440" w:gutter="0" w:footer="0" w:header="0"/>
          <w:type w:val="continuous"/>
        </w:sectPr>
      </w:pPr>
    </w:p>
    <w:bookmarkStart w:id="759" w:name="page760"/>
    <w:bookmarkEnd w:id="7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WNERSHIP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69" w:lineRule="exact"/>
        <w:rPr>
          <w:sz w:val="20"/>
          <w:szCs w:val="20"/>
          <w:color w:val="auto"/>
        </w:rPr>
      </w:pPr>
    </w:p>
    <w:p>
      <w:pPr>
        <w:ind w:left="440" w:right="620" w:hanging="433"/>
        <w:spacing w:after="0" w:line="278" w:lineRule="auto"/>
        <w:tabs>
          <w:tab w:leader="none" w:pos="44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legal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situation may well be different from the norm.</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may change, and the Company is not responsible for updating this summary.</w:t>
      </w:r>
    </w:p>
    <w:p>
      <w:pPr>
        <w:spacing w:after="0" w:line="127" w:lineRule="exact"/>
        <w:rPr>
          <w:rFonts w:ascii="Times New Roman" w:cs="Times New Roman" w:eastAsia="Times New Roman" w:hAnsi="Times New Roman"/>
          <w:sz w:val="18"/>
          <w:szCs w:val="18"/>
          <w:color w:val="auto"/>
        </w:rPr>
      </w:pPr>
    </w:p>
    <w:p>
      <w:pPr>
        <w:ind w:left="440" w:right="80" w:hanging="433"/>
        <w:spacing w:after="0" w:line="278" w:lineRule="auto"/>
        <w:tabs>
          <w:tab w:leader="none" w:pos="44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you own your shares may have a substantial impact on the estate tax treatment that applies to those shares when you die or the income tax treatment that applies when your survivors sell the shares after your death.</w:t>
      </w:r>
    </w:p>
    <w:p>
      <w:pPr>
        <w:spacing w:after="0" w:line="162"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ADVISER BEFORE EXERCISING YOUR OPTION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BEFORE MAKING A DECISION ABOUT THE FORM OF OWNERSHIP FOR YOUR SHARES</w:t>
      </w:r>
      <w:r>
        <w:rPr>
          <w:rFonts w:ascii="Times New Roman" w:cs="Times New Roman" w:eastAsia="Times New Roman" w:hAnsi="Times New Roman"/>
          <w:sz w:val="17"/>
          <w:szCs w:val="17"/>
          <w:u w:val="single" w:color="auto"/>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VERVIEW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Stock Option Exercise offers five forms of taking title to the Purchased Shares:</w:t>
      </w:r>
    </w:p>
    <w:p>
      <w:pPr>
        <w:spacing w:after="0" w:line="127" w:lineRule="exact"/>
        <w:rPr>
          <w:sz w:val="20"/>
          <w:szCs w:val="20"/>
          <w:color w:val="auto"/>
        </w:rPr>
      </w:pPr>
    </w:p>
    <w:p>
      <w:pPr>
        <w:ind w:left="440" w:hanging="433"/>
        <w:spacing w:after="0"/>
        <w:tabs>
          <w:tab w:leader="none" w:pos="44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only,</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 with the right of survivorship,</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joint tenants with the right of survivorship, or</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an eligible revocable trust.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760" w:name="page761"/>
    <w:bookmarkEnd w:id="7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w:t>
      </w:r>
      <w:r>
        <w:rPr>
          <w:rFonts w:ascii="Times New Roman" w:cs="Times New Roman" w:eastAsia="Times New Roman" w:hAnsi="Times New Roman"/>
          <w:sz w:val="14"/>
          <w:szCs w:val="14"/>
          <w:color w:val="auto"/>
        </w:rPr>
        <w:t>OMMUNITY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ROPERTY AND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ENANCY</w:t>
      </w:r>
    </w:p>
    <w:p>
      <w:pPr>
        <w:spacing w:after="0" w:line="1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4"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Other states are common-law property states. In a common-law property state, each spouse is generally deemed to own whatever he/she earns or acquires.</w:t>
      </w:r>
    </w:p>
    <w:p>
      <w:pPr>
        <w:spacing w:after="0" w:line="162"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8"/>
          <w:szCs w:val="18"/>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automatically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not control the disposition of the shares.</w:t>
      </w:r>
    </w:p>
    <w:p>
      <w:pPr>
        <w:spacing w:after="0" w:line="18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7" w:right="519" w:bottom="1440" w:gutter="0" w:footer="0" w:header="0"/>
        </w:sectPr>
      </w:pPr>
    </w:p>
    <w:bookmarkStart w:id="761" w:name="page762"/>
    <w:bookmarkEnd w:id="7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Times New Roman" w:cs="Times New Roman" w:eastAsia="Times New Roman" w:hAnsi="Times New Roman"/>
          <w:sz w:val="14"/>
          <w:szCs w:val="14"/>
          <w:color w:val="auto"/>
        </w:rPr>
        <w:t>RUSTS</w:t>
      </w:r>
    </w:p>
    <w:p>
      <w:pPr>
        <w:spacing w:after="0" w:line="11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A transfer to a trust generally should not be treated as a “disposition” of the Purchased Shares for tax purposes if the trust satisfies each of the following conditions:</w:t>
      </w:r>
    </w:p>
    <w:p>
      <w:pPr>
        <w:spacing w:after="0" w:line="69" w:lineRule="exact"/>
        <w:rPr>
          <w:sz w:val="20"/>
          <w:szCs w:val="20"/>
          <w:color w:val="auto"/>
        </w:rPr>
      </w:pPr>
    </w:p>
    <w:p>
      <w:pPr>
        <w:ind w:left="440" w:hanging="433"/>
        <w:spacing w:after="0"/>
        <w:tabs>
          <w:tab w:leader="none" w:pos="44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grantor of the trust,</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trustee, or you and your spouse are the sole co-trustees,</w:t>
      </w:r>
    </w:p>
    <w:p>
      <w:pPr>
        <w:spacing w:after="0" w:line="127" w:lineRule="exact"/>
        <w:rPr>
          <w:rFonts w:ascii="Times New Roman" w:cs="Times New Roman" w:eastAsia="Times New Roman" w:hAnsi="Times New Roman"/>
          <w:sz w:val="18"/>
          <w:szCs w:val="18"/>
          <w:color w:val="auto"/>
        </w:rPr>
      </w:pPr>
    </w:p>
    <w:p>
      <w:pPr>
        <w:ind w:left="440" w:right="260" w:hanging="433"/>
        <w:spacing w:after="0" w:line="278" w:lineRule="auto"/>
        <w:tabs>
          <w:tab w:leader="none" w:pos="44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trustees are not required to distribute the income of the trust to any person other than you and/or your spouse while you are alive, and</w:t>
      </w:r>
    </w:p>
    <w:p>
      <w:pPr>
        <w:spacing w:after="0" w:line="68" w:lineRule="exact"/>
        <w:rPr>
          <w:rFonts w:ascii="Times New Roman" w:cs="Times New Roman" w:eastAsia="Times New Roman" w:hAnsi="Times New Roman"/>
          <w:sz w:val="18"/>
          <w:szCs w:val="18"/>
          <w:color w:val="auto"/>
        </w:rPr>
      </w:pPr>
    </w:p>
    <w:p>
      <w:pPr>
        <w:ind w:left="440" w:right="580" w:hanging="433"/>
        <w:spacing w:after="0" w:line="278" w:lineRule="auto"/>
        <w:tabs>
          <w:tab w:leader="none" w:pos="44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permits you to revoke all or part of the trust and to have the trust’s assets returned to you, without the consent of any other person (including your spouse).</w:t>
      </w:r>
    </w:p>
    <w:p>
      <w:pPr>
        <w:spacing w:after="0" w:line="162"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4"/>
          <w:szCs w:val="14"/>
          <w:u w:val="single" w:color="auto"/>
          <w:color w:val="auto"/>
        </w:rPr>
        <w: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WILL NOT CHECK TO DETERMINE WHETHER THE FORM OF OWNERSHIP THAT YOU ELECT IN YOUR</w:t>
      </w:r>
      <w:r>
        <w:rPr>
          <w:rFonts w:ascii="Times New Roman" w:cs="Times New Roman" w:eastAsia="Times New Roman" w:hAnsi="Times New Roman"/>
          <w:sz w:val="18"/>
          <w:szCs w:val="18"/>
          <w:u w:val="single" w:color="auto"/>
          <w:color w:val="auto"/>
        </w:rPr>
        <w:t xml:space="preserve"> N</w:t>
      </w:r>
      <w:r>
        <w:rPr>
          <w:rFonts w:ascii="Times New Roman" w:cs="Times New Roman" w:eastAsia="Times New Roman" w:hAnsi="Times New Roman"/>
          <w:sz w:val="14"/>
          <w:szCs w:val="14"/>
          <w:u w:val="single" w:color="auto"/>
          <w:color w:val="auto"/>
        </w:rPr>
        <w:t>OTICE OF</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4"/>
          <w:szCs w:val="14"/>
          <w:u w:val="single" w:color="auto"/>
          <w:color w:val="auto"/>
        </w:rPr>
        <w:t>TOCK</w:t>
      </w:r>
      <w:r>
        <w:rPr>
          <w:rFonts w:ascii="Times New Roman" w:cs="Times New Roman" w:eastAsia="Times New Roman" w:hAnsi="Times New Roman"/>
          <w:sz w:val="18"/>
          <w:szCs w:val="18"/>
          <w:u w:val="single" w:color="auto"/>
          <w:color w:val="auto"/>
        </w:rPr>
        <w:t xml:space="preserve"> O</w:t>
      </w:r>
      <w:r>
        <w:rPr>
          <w:rFonts w:ascii="Times New Roman" w:cs="Times New Roman" w:eastAsia="Times New Roman" w:hAnsi="Times New Roman"/>
          <w:sz w:val="14"/>
          <w:szCs w:val="14"/>
          <w:u w:val="single" w:color="auto"/>
          <w:color w:val="auto"/>
        </w:rPr>
        <w:t>PTION</w:t>
      </w:r>
    </w:p>
    <w:p>
      <w:pPr>
        <w:spacing w:after="0" w:line="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4"/>
          <w:szCs w:val="14"/>
          <w:u w:val="single" w:color="auto"/>
          <w:color w:val="auto"/>
        </w:rPr>
        <w:t>XERCISE IS APPROPRIATE</w:t>
      </w:r>
      <w:r>
        <w:rPr>
          <w:rFonts w:ascii="Times New Roman" w:cs="Times New Roman" w:eastAsia="Times New Roman" w:hAnsi="Times New Roman"/>
          <w:sz w:val="18"/>
          <w:szCs w:val="18"/>
          <w:u w:val="single" w:color="auto"/>
          <w:color w:val="auto"/>
        </w:rPr>
        <w:t>. Y</w:t>
      </w:r>
      <w:r>
        <w:rPr>
          <w:rFonts w:ascii="Times New Roman" w:cs="Times New Roman" w:eastAsia="Times New Roman" w:hAnsi="Times New Roman"/>
          <w:sz w:val="14"/>
          <w:szCs w:val="14"/>
          <w:u w:val="single" w:color="auto"/>
          <w:color w:val="auto"/>
        </w:rPr>
        <w:t>OU SHOULD CONSULT YOUR OWN ADVISERS ON THIS SUBJECT</w:t>
      </w:r>
      <w:r>
        <w:rPr>
          <w:rFonts w:ascii="Times New Roman" w:cs="Times New Roman" w:eastAsia="Times New Roman" w:hAnsi="Times New Roman"/>
          <w:sz w:val="18"/>
          <w:szCs w:val="18"/>
          <w:u w:val="single" w:color="auto"/>
          <w:color w:val="auto"/>
        </w:rPr>
        <w:t>. I</w:t>
      </w:r>
      <w:r>
        <w:rPr>
          <w:rFonts w:ascii="Times New Roman" w:cs="Times New Roman" w:eastAsia="Times New Roman" w:hAnsi="Times New Roman"/>
          <w:sz w:val="14"/>
          <w:szCs w:val="14"/>
          <w:u w:val="single" w:color="auto"/>
          <w:color w:val="auto"/>
        </w:rPr>
        <w:t>F AN INAPPROPRIATE ELECTION IS MADE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 FORM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OWNERSHIP MAY NOT WITHSTAND LEGAL SCRUTINY OR MAY HAVE ADVERSE TAX CONSEQUENCES</w:t>
      </w:r>
      <w:r>
        <w:rPr>
          <w:rFonts w:ascii="Times New Roman" w:cs="Times New Roman" w:eastAsia="Times New Roman" w:hAnsi="Times New Roman"/>
          <w:sz w:val="17"/>
          <w:szCs w:val="17"/>
          <w:u w:val="single" w:color="auto"/>
          <w:color w:val="auto"/>
        </w:rPr>
        <w: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762" w:name="page763"/>
    <w:bookmarkEnd w:id="76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U.S. F</w:t>
      </w:r>
      <w:r>
        <w:rPr>
          <w:rFonts w:ascii="Times New Roman" w:cs="Times New Roman" w:eastAsia="Times New Roman" w:hAnsi="Times New Roman"/>
          <w:sz w:val="14"/>
          <w:szCs w:val="14"/>
          <w:color w:val="auto"/>
        </w:rPr>
        <w:t>EDERAL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ONSEQUENCES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(Current as of August 2009)</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tax consequences of exercising your option. For a number of reasons, this explanation is no substitute for personal tax advice:</w:t>
      </w:r>
    </w:p>
    <w:p>
      <w:pPr>
        <w:spacing w:after="0" w:line="69" w:lineRule="exact"/>
        <w:rPr>
          <w:sz w:val="20"/>
          <w:szCs w:val="20"/>
          <w:color w:val="auto"/>
        </w:rPr>
      </w:pPr>
    </w:p>
    <w:p>
      <w:pPr>
        <w:ind w:left="440" w:hanging="433"/>
        <w:spacing w:after="0" w:line="278" w:lineRule="auto"/>
        <w:tabs>
          <w:tab w:leader="none" w:pos="4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tax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tax situation may well be different from the norm.</w:t>
      </w:r>
    </w:p>
    <w:p>
      <w:pPr>
        <w:spacing w:after="0" w:line="127" w:lineRule="exact"/>
        <w:rPr>
          <w:rFonts w:ascii="Times New Roman" w:cs="Times New Roman" w:eastAsia="Times New Roman" w:hAnsi="Times New Roman"/>
          <w:sz w:val="18"/>
          <w:szCs w:val="18"/>
          <w:color w:val="auto"/>
        </w:rPr>
      </w:pPr>
    </w:p>
    <w:p>
      <w:pPr>
        <w:ind w:left="440" w:right="120" w:hanging="433"/>
        <w:spacing w:after="0" w:line="278" w:lineRule="auto"/>
        <w:tabs>
          <w:tab w:leader="none" w:pos="4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income taxes are not addressed at all, even though they could have a significant impact on your tax planning. Likewise, federal gift and estate taxes and state inheritance taxes are not discussed.</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planning involving incentive stock options is exceedingly complex, in part because of the possible application of the alternative minimum tax.</w:t>
      </w:r>
    </w:p>
    <w:p>
      <w:pPr>
        <w:spacing w:after="0" w:line="138" w:lineRule="exact"/>
        <w:rPr>
          <w:rFonts w:ascii="Times New Roman" w:cs="Times New Roman" w:eastAsia="Times New Roman" w:hAnsi="Times New Roman"/>
          <w:sz w:val="17"/>
          <w:szCs w:val="17"/>
          <w:color w:val="auto"/>
        </w:rPr>
      </w:pPr>
    </w:p>
    <w:p>
      <w:pPr>
        <w:ind w:left="440" w:right="80" w:hanging="433"/>
        <w:spacing w:after="0" w:line="308" w:lineRule="auto"/>
        <w:tabs>
          <w:tab w:leader="none" w:pos="440"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46" w:lineRule="exact"/>
        <w:rPr>
          <w:rFonts w:ascii="Times New Roman" w:cs="Times New Roman" w:eastAsia="Times New Roman" w:hAnsi="Times New Roman"/>
          <w:sz w:val="17"/>
          <w:szCs w:val="17"/>
          <w:color w:val="auto"/>
        </w:rPr>
      </w:pPr>
    </w:p>
    <w:p>
      <w:pPr>
        <w:ind w:left="440" w:hanging="433"/>
        <w:spacing w:after="0"/>
        <w:tabs>
          <w:tab w:leader="none" w:pos="4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rules change often, and the Company is not responsible for updating this summary. (Please refer to the date at the top of this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TAX ADVISER BEFORE EXERCISING YOUR OPTION</w:t>
      </w:r>
      <w:r>
        <w:rPr>
          <w:rFonts w:ascii="Times New Roman" w:cs="Times New Roman" w:eastAsia="Times New Roman" w:hAnsi="Times New Roman"/>
          <w:sz w:val="18"/>
          <w:szCs w:val="18"/>
          <w:u w:val="single" w:color="auto"/>
          <w:color w:val="auto"/>
        </w:rPr>
        <w: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IMIT ON</w:t>
      </w:r>
      <w:r>
        <w:rPr>
          <w:rFonts w:ascii="Times New Roman" w:cs="Times New Roman" w:eastAsia="Times New Roman" w:hAnsi="Times New Roman"/>
          <w:sz w:val="18"/>
          <w:szCs w:val="18"/>
          <w:color w:val="auto"/>
        </w:rPr>
        <w:t xml:space="preserve"> ISO T</w:t>
      </w:r>
      <w:r>
        <w:rPr>
          <w:rFonts w:ascii="Times New Roman" w:cs="Times New Roman" w:eastAsia="Times New Roman" w:hAnsi="Times New Roman"/>
          <w:sz w:val="14"/>
          <w:szCs w:val="14"/>
          <w:color w:val="auto"/>
        </w:rPr>
        <w:t>REATMENT</w:t>
      </w:r>
    </w:p>
    <w:p>
      <w:pPr>
        <w:spacing w:after="0" w:line="1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For example, assume that you hold an option to buy 60,000 shares for $8 per share. Assume further that the entire option becomes exercisable in four equal annual installments. Only the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9" w:right="539" w:bottom="1440" w:gutter="0" w:footer="0" w:header="0"/>
        </w:sectPr>
      </w:pPr>
    </w:p>
    <w:bookmarkStart w:id="763" w:name="page764"/>
    <w:bookmarkEnd w:id="763"/>
    <w:p>
      <w:pPr>
        <w:ind w:right="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first 50,000 shares qualify for ISO treatment. (12,500 times $8 equals $100,000.) The remaining 10,000 shares will be treated as if they had been acquired by exercising an NSO. This is true regardless of when the option is actually exercised; what matters is when it first could have been exercised.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NSO</w:t>
      </w:r>
    </w:p>
    <w:p>
      <w:pPr>
        <w:spacing w:after="0" w:line="1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 are exercising an NSO, you will be taxed now.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their fair market value on the date of exercise.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NSO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When you dispose of the Purchased Shares, you will recognize a capital gain equal to the excess of (a) the sale proceeds over (b) your tax basis in the Purchased Shares. As described above, your tax basis in the Purchased Shares is equal to their fair market value on the date of exercise.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15% under current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ISO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ISO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ERIODS</w:t>
      </w:r>
    </w:p>
    <w:p>
      <w:pPr>
        <w:spacing w:after="0" w:line="114"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If you are exercising an ISO, you will not be taxed under the regular tax rules until you dispose of the Purchased Shares.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alternative minimum tax rules are described below.) The tax treatment at the time of disposition depends on how long you hold the shares. You will satisfy the ISO holding periods if you hold the Purchased Shares until the later of the following dates:</w:t>
      </w:r>
    </w:p>
    <w:p>
      <w:pPr>
        <w:spacing w:after="0" w:line="103" w:lineRule="exact"/>
        <w:rPr>
          <w:sz w:val="20"/>
          <w:szCs w:val="20"/>
          <w:color w:val="auto"/>
        </w:rPr>
      </w:pPr>
    </w:p>
    <w:p>
      <w:pPr>
        <w:ind w:left="440" w:hanging="433"/>
        <w:spacing w:after="0"/>
        <w:tabs>
          <w:tab w:leader="none" w:pos="4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two years after the ISO was granted, and</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one year after the ISO is exercised.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ISO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If you dispose of the Purchased Shares after satisfying both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15% under current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6454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69" w:lineRule="exact"/>
        <w:rPr>
          <w:sz w:val="20"/>
          <w:szCs w:val="20"/>
          <w:color w:val="auto"/>
        </w:rPr>
      </w:pPr>
    </w:p>
    <w:p>
      <w:pPr>
        <w:ind w:left="440" w:right="60" w:hanging="433"/>
        <w:spacing w:after="0" w:line="225" w:lineRule="auto"/>
        <w:tabs>
          <w:tab w:leader="none" w:pos="440" w:val="left"/>
        </w:tabs>
        <w:numPr>
          <w:ilvl w:val="0"/>
          <w:numId w:val="5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8" w:right="559" w:bottom="1440" w:gutter="0" w:footer="0" w:header="0"/>
        </w:sectPr>
      </w:pPr>
    </w:p>
    <w:bookmarkStart w:id="764" w:name="page765"/>
    <w:bookmarkEnd w:id="764"/>
    <w:p>
      <w:pPr>
        <w:ind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w:t>
      </w:r>
    </w:p>
    <w:p>
      <w:pPr>
        <w:ind w:right="260" w:firstLine="7"/>
        <w:spacing w:after="0" w:line="256" w:lineRule="auto"/>
        <w:tabs>
          <w:tab w:leader="none" w:pos="252"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spacing w:after="0" w:line="18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Your tax basis in the Purchased Shares will be equal to their fair market value on the date of exercise. Any gain in excess of your basis will be taxed as a capital gain—either long-term or short-term, depending on how long you held the Purchased Shares after the date of exercise.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UMMARY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LTERNATIVE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INIMUM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p>
    <w:p>
      <w:pPr>
        <w:spacing w:after="0" w:line="114" w:lineRule="exact"/>
        <w:rPr>
          <w:sz w:val="20"/>
          <w:szCs w:val="20"/>
          <w:color w:val="auto"/>
        </w:rPr>
      </w:pPr>
    </w:p>
    <w:p>
      <w:pPr>
        <w:jc w:val="both"/>
        <w:ind w:right="300"/>
        <w:spacing w:after="0" w:line="285" w:lineRule="auto"/>
        <w:rPr>
          <w:sz w:val="20"/>
          <w:szCs w:val="20"/>
          <w:color w:val="auto"/>
        </w:rPr>
      </w:pPr>
      <w:r>
        <w:rPr>
          <w:rFonts w:ascii="Times New Roman" w:cs="Times New Roman" w:eastAsia="Times New Roman" w:hAnsi="Times New Roman"/>
          <w:sz w:val="17"/>
          <w:szCs w:val="17"/>
          <w:color w:val="auto"/>
        </w:rPr>
        <w:t>The alternative minimum tax (AMT) must be paid if it exceeds your regular income tax. The AMT is equal to 26% of your alternative minimum tax base up to $175,000 and 28% of the excess over $175,000. (In the case of married individuals filing separately, the breakpoint is $87,500 rather than $175,000.) Your alternative minimum tax base is equal to your alternative minimum taxable income (AMTI) minus your exemption amount.</w:t>
      </w:r>
    </w:p>
    <w:p>
      <w:pPr>
        <w:spacing w:after="0" w:line="66" w:lineRule="exact"/>
        <w:rPr>
          <w:sz w:val="20"/>
          <w:szCs w:val="20"/>
          <w:color w:val="auto"/>
        </w:rPr>
      </w:pPr>
    </w:p>
    <w:p>
      <w:pPr>
        <w:ind w:left="440" w:right="40" w:hanging="433"/>
        <w:spacing w:after="0" w:line="278" w:lineRule="auto"/>
        <w:tabs>
          <w:tab w:leader="none" w:pos="4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native Minimum Taxable Income. Your AMTI is equal to your regular taxable income, subject to certain adjustments and increased by items of tax preference. Among the many adjustments made in computing AMTI are the following:</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and property taxes are not allowed as a deduction.</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itemized deductions are not allowed.</w:t>
      </w:r>
    </w:p>
    <w:p>
      <w:pPr>
        <w:spacing w:after="0" w:line="127" w:lineRule="exact"/>
        <w:rPr>
          <w:rFonts w:ascii="Times New Roman" w:cs="Times New Roman" w:eastAsia="Times New Roman" w:hAnsi="Times New Roman"/>
          <w:sz w:val="18"/>
          <w:szCs w:val="18"/>
          <w:color w:val="auto"/>
        </w:rPr>
      </w:pPr>
    </w:p>
    <w:p>
      <w:pPr>
        <w:ind w:left="980" w:hanging="545"/>
        <w:spacing w:after="0" w:line="278" w:lineRule="auto"/>
        <w:tabs>
          <w:tab w:leader="none" w:pos="9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expenses are not allowed as a deduction until they exceed 10% of adjusted gross income (as opposed to the 7.5% floor that applies to regular income taxes).</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interest deductions are not allowed.</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deduction and personal exemptions are not allowed.</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ISO is exercised, the spread is treated as if the option were an NSO. (See discussion below.)</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9" w:right="519" w:bottom="1440" w:gutter="0" w:footer="0" w:header="0"/>
        </w:sectPr>
      </w:pPr>
    </w:p>
    <w:bookmarkStart w:id="765" w:name="page766"/>
    <w:bookmarkEnd w:id="765"/>
    <w:p>
      <w:pPr>
        <w:ind w:left="440" w:right="500" w:hanging="433"/>
        <w:spacing w:after="0" w:line="278" w:lineRule="auto"/>
        <w:tabs>
          <w:tab w:leader="none" w:pos="44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Exemption Amount. Before AMT is calculated, AMTI is reduced by the exemption amount. Under current law, the exemption amount is as follows:</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w:t>
            </w:r>
          </w:p>
        </w:tc>
        <w:tc>
          <w:tcPr>
            <w:tcW w:w="2980" w:type="dxa"/>
            <w:vAlign w:val="bottom"/>
            <w:gridSpan w:val="3"/>
          </w:tcPr>
          <w:p>
            <w:pPr>
              <w:ind w:left="2180"/>
              <w:spacing w:after="0"/>
              <w:rPr>
                <w:sz w:val="20"/>
                <w:szCs w:val="20"/>
                <w:color w:val="auto"/>
              </w:rPr>
            </w:pPr>
            <w:r>
              <w:rPr>
                <w:rFonts w:ascii="Times New Roman" w:cs="Times New Roman" w:eastAsia="Times New Roman" w:hAnsi="Times New Roman"/>
                <w:sz w:val="14"/>
                <w:szCs w:val="14"/>
                <w:color w:val="auto"/>
                <w:w w:val="99"/>
              </w:rPr>
              <w:t>Joint Returns: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Single Returns:</w:t>
            </w:r>
          </w:p>
        </w:tc>
        <w:tc>
          <w:tcPr>
            <w:tcW w:w="166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Separate Returns:</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2009</w:t>
            </w:r>
          </w:p>
        </w:tc>
        <w:tc>
          <w:tcPr>
            <w:tcW w:w="2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70,950</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46,700</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35,475</w:t>
            </w:r>
          </w:p>
        </w:tc>
        <w:tc>
          <w:tcPr>
            <w:tcW w:w="60" w:type="dxa"/>
            <w:vAlign w:val="bottom"/>
            <w:shd w:val="clear" w:color="auto" w:fill="CCEEFF"/>
          </w:tcPr>
          <w:p>
            <w:pPr>
              <w:spacing w:after="0"/>
              <w:rPr>
                <w:sz w:val="17"/>
                <w:szCs w:val="17"/>
                <w:color w:val="auto"/>
              </w:rPr>
            </w:pPr>
          </w:p>
        </w:tc>
      </w:tr>
      <w:tr>
        <w:trPr>
          <w:trHeight w:val="352"/>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2009</w:t>
            </w:r>
            <w:r>
              <w:rPr>
                <w:rFonts w:ascii="Times New Roman" w:cs="Times New Roman" w:eastAsia="Times New Roman" w:hAnsi="Times New Roman"/>
                <w:sz w:val="26"/>
                <w:szCs w:val="26"/>
                <w:color w:val="auto"/>
                <w:vertAlign w:val="superscript"/>
              </w:rPr>
              <w:t>2</w:t>
            </w:r>
          </w:p>
        </w:tc>
        <w:tc>
          <w:tcPr>
            <w:tcW w:w="23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60" w:type="dxa"/>
            <w:vAlign w:val="bottom"/>
          </w:tcPr>
          <w:p>
            <w:pPr>
              <w:spacing w:after="0"/>
              <w:rPr>
                <w:sz w:val="24"/>
                <w:szCs w:val="24"/>
                <w:color w:val="auto"/>
              </w:rPr>
            </w:pPr>
          </w:p>
        </w:tc>
      </w:tr>
    </w:tbl>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exemption amount is phased out by 25 cents for each $1 by which AMTI exceeds the following levels:</w:t>
      </w:r>
    </w:p>
    <w:p>
      <w:pPr>
        <w:spacing w:after="0" w:line="248" w:lineRule="exact"/>
        <w:rPr>
          <w:sz w:val="20"/>
          <w:szCs w:val="20"/>
          <w:color w:val="auto"/>
        </w:rPr>
      </w:pPr>
    </w:p>
    <w:p>
      <w:pPr>
        <w:ind w:left="880"/>
        <w:spacing w:after="0"/>
        <w:tabs>
          <w:tab w:leader="none" w:pos="4960" w:val="left"/>
          <w:tab w:leader="none" w:pos="8080" w:val="left"/>
        </w:tabs>
        <w:rPr>
          <w:sz w:val="20"/>
          <w:szCs w:val="20"/>
          <w:color w:val="auto"/>
        </w:rPr>
      </w:pPr>
      <w:r>
        <w:rPr>
          <w:rFonts w:ascii="Times New Roman" w:cs="Times New Roman" w:eastAsia="Times New Roman" w:hAnsi="Times New Roman"/>
          <w:sz w:val="18"/>
          <w:szCs w:val="18"/>
          <w:color w:val="auto"/>
        </w:rPr>
        <w:t>Joint Returns: $150,000</w:t>
      </w:r>
      <w:r>
        <w:rPr>
          <w:sz w:val="20"/>
          <w:szCs w:val="20"/>
          <w:color w:val="auto"/>
        </w:rPr>
        <w:tab/>
      </w:r>
      <w:r>
        <w:rPr>
          <w:rFonts w:ascii="Times New Roman" w:cs="Times New Roman" w:eastAsia="Times New Roman" w:hAnsi="Times New Roman"/>
          <w:sz w:val="18"/>
          <w:szCs w:val="18"/>
          <w:color w:val="auto"/>
        </w:rPr>
        <w:t>Single Returns: $112,500</w:t>
      </w:r>
      <w:r>
        <w:rPr>
          <w:sz w:val="20"/>
          <w:szCs w:val="20"/>
          <w:color w:val="auto"/>
        </w:rPr>
        <w:tab/>
      </w:r>
      <w:r>
        <w:rPr>
          <w:rFonts w:ascii="Times New Roman" w:cs="Times New Roman" w:eastAsia="Times New Roman" w:hAnsi="Times New Roman"/>
          <w:sz w:val="17"/>
          <w:szCs w:val="17"/>
          <w:color w:val="auto"/>
        </w:rPr>
        <w:t>Separate Returns: $75,000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-119380</wp:posOffset>
            </wp:positionV>
            <wp:extent cx="5817235" cy="135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spacing w:after="0" w:line="201" w:lineRule="exact"/>
        <w:rPr>
          <w:sz w:val="20"/>
          <w:szCs w:val="20"/>
          <w:color w:val="auto"/>
        </w:rPr>
      </w:pPr>
    </w:p>
    <w:p>
      <w:pPr>
        <w:ind w:left="440" w:right="260"/>
        <w:spacing w:after="0" w:line="278" w:lineRule="auto"/>
        <w:rPr>
          <w:sz w:val="20"/>
          <w:szCs w:val="20"/>
          <w:color w:val="auto"/>
        </w:rPr>
      </w:pPr>
      <w:r>
        <w:rPr>
          <w:rFonts w:ascii="Times New Roman" w:cs="Times New Roman" w:eastAsia="Times New Roman" w:hAnsi="Times New Roman"/>
          <w:sz w:val="18"/>
          <w:szCs w:val="18"/>
          <w:color w:val="auto"/>
        </w:rPr>
        <w:t>This means, for example, that the entire $70,950 exemption amount disappears for married individuals filing joint returns when AMTI reaches $433,800.</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18"/>
          <w:szCs w:val="18"/>
          <w:color w:val="auto"/>
        </w:rPr>
        <w:t xml:space="preserve"> AMT W</w:t>
      </w:r>
      <w:r>
        <w:rPr>
          <w:rFonts w:ascii="Times New Roman" w:cs="Times New Roman" w:eastAsia="Times New Roman" w:hAnsi="Times New Roman"/>
          <w:sz w:val="14"/>
          <w:szCs w:val="14"/>
          <w:color w:val="auto"/>
        </w:rPr>
        <w:t>HEN</w:t>
      </w:r>
      <w:r>
        <w:rPr>
          <w:rFonts w:ascii="Times New Roman" w:cs="Times New Roman" w:eastAsia="Times New Roman" w:hAnsi="Times New Roman"/>
          <w:sz w:val="18"/>
          <w:szCs w:val="18"/>
          <w:color w:val="auto"/>
        </w:rPr>
        <w:t xml:space="preserve"> ISO I</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XERCISED</w:t>
      </w:r>
    </w:p>
    <w:p>
      <w:pPr>
        <w:spacing w:after="0" w:line="11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As noted above, when an ISO is exercised, the spread is treated for AMT purposes as if the option were an NSO. In other words, the spread is included in AMTI at the time of exercise.</w:t>
      </w:r>
    </w:p>
    <w:p>
      <w:pPr>
        <w:spacing w:after="0" w:line="16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26"/>
          <w:szCs w:val="26"/>
          <w:color w:val="auto"/>
          <w:vertAlign w:val="superscript"/>
        </w:rPr>
        <w:t>3</w:t>
      </w:r>
    </w:p>
    <w:p>
      <w:pPr>
        <w:spacing w:after="0" w:line="4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is equal to the exercise price; it does not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6454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01" w:lineRule="exact"/>
        <w:rPr>
          <w:sz w:val="20"/>
          <w:szCs w:val="20"/>
          <w:color w:val="auto"/>
        </w:rPr>
      </w:pPr>
    </w:p>
    <w:p>
      <w:pPr>
        <w:ind w:left="440" w:hanging="433"/>
        <w:spacing w:after="0"/>
        <w:tabs>
          <w:tab w:leader="none" w:pos="440" w:val="left"/>
        </w:tabs>
        <w:numPr>
          <w:ilvl w:val="0"/>
          <w:numId w:val="5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assumes that Congress does not extend AMT relief, as it has done annually in prior years.</w:t>
      </w:r>
    </w:p>
    <w:p>
      <w:pPr>
        <w:spacing w:after="0" w:line="1" w:lineRule="exact"/>
        <w:rPr>
          <w:sz w:val="20"/>
          <w:szCs w:val="20"/>
          <w:color w:val="auto"/>
        </w:rPr>
      </w:pPr>
    </w:p>
    <w:p>
      <w:pPr>
        <w:ind w:left="440" w:hanging="433"/>
        <w:spacing w:after="0" w:line="198" w:lineRule="auto"/>
        <w:tabs>
          <w:tab w:leader="none" w:pos="440" w:val="left"/>
        </w:tabs>
        <w:numPr>
          <w:ilvl w:val="0"/>
          <w:numId w:val="5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766" w:name="page767"/>
    <w:bookmarkEnd w:id="7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409A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EVENUE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ODE</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your option were found to be subject to section 409A, then you would be required to recognize ordinary income whenever a portion of your option vests (i.e. becomes exercisable). The amount of ordinary income would be equal to the fair market value of the shares at the time of vesting minus the exercise price of the shares. This amount would also be subject to a 20% federal tax in addition to the federal income tax at your usual marginal rate for ordinary income.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ISCLAIMER</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t>
      </w:r>
      <w:r>
        <w:rPr>
          <w:rFonts w:ascii="Times New Roman" w:cs="Times New Roman" w:eastAsia="Times New Roman" w:hAnsi="Times New Roman"/>
          <w:sz w:val="18"/>
          <w:szCs w:val="18"/>
          <w:color w:val="auto"/>
        </w:rPr>
        <w:t xml:space="preserve"> IRS C</w:t>
      </w:r>
      <w:r>
        <w:rPr>
          <w:rFonts w:ascii="Times New Roman" w:cs="Times New Roman" w:eastAsia="Times New Roman" w:hAnsi="Times New Roman"/>
          <w:sz w:val="14"/>
          <w:szCs w:val="14"/>
          <w:color w:val="auto"/>
        </w:rPr>
        <w:t>IRCULAR</w:t>
      </w:r>
      <w:r>
        <w:rPr>
          <w:rFonts w:ascii="Times New Roman" w:cs="Times New Roman" w:eastAsia="Times New Roman" w:hAnsi="Times New Roman"/>
          <w:sz w:val="18"/>
          <w:szCs w:val="18"/>
          <w:color w:val="auto"/>
        </w:rPr>
        <w:t xml:space="preserve"> 230</w:t>
      </w:r>
    </w:p>
    <w:p>
      <w:pPr>
        <w:spacing w:after="0" w:line="221"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To comply with IRS rules, you are hereby notified that the foregoing summary was not intended or written in order to be used, and it cannot be used by any taxpayer, for the purpose of avoiding penalties that may be imposed on the taxpayer. In addition, if the foregoing summary would otherwise be considered a “marketed opinion” under the IRS rules, you are hereby notified that the advice was written to support the promotion or marketing of the transactions or matters addressed by the summary. The tax consequences of options will vary depending on the specific circumstances of each taxpayer. Therefore, each taxpayer should seek advice from an independent tax adviser.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9" w:right="539" w:bottom="1440" w:gutter="0" w:footer="0" w:header="0"/>
        </w:sectPr>
      </w:pPr>
    </w:p>
    <w:bookmarkStart w:id="767" w:name="page768"/>
    <w:bookmarkEnd w:id="76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Omada Health, Inc.:</w:t>
      </w:r>
    </w:p>
    <w:p>
      <w:pPr>
        <w:sectPr>
          <w:pgSz w:w="11900" w:h="16838" w:orient="portrait"/>
          <w:cols w:equalWidth="0" w:num="1">
            <w:col w:w="10720"/>
          </w:cols>
          <w:pgMar w:left="480" w:top="264" w:right="699" w:bottom="1440" w:gutter="0" w:footer="0" w:header="0"/>
        </w:sectPr>
      </w:pPr>
    </w:p>
    <w:p>
      <w:pPr>
        <w:spacing w:after="0" w:line="2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Date Exercisable:</w:t>
      </w:r>
    </w:p>
    <w:p>
      <w:pPr>
        <w:spacing w:after="0" w:line="20" w:lineRule="exact"/>
        <w:rPr>
          <w:sz w:val="20"/>
          <w:szCs w:val="20"/>
          <w:color w:val="auto"/>
        </w:rPr>
      </w:pPr>
      <w:r>
        <w:rPr>
          <w:sz w:val="20"/>
          <w:szCs w:val="20"/>
          <w:color w:val="auto"/>
        </w:rPr>
        <w:br w:type="column"/>
      </w:r>
    </w:p>
    <w:p>
      <w:pPr>
        <w:ind w:right="520"/>
        <w:spacing w:after="0" w:line="311" w:lineRule="auto"/>
        <w:rPr>
          <w:sz w:val="20"/>
          <w:szCs w:val="20"/>
          <w:color w:val="auto"/>
        </w:rPr>
      </w:pPr>
      <w:r>
        <w:rPr>
          <w:rFonts w:ascii="Times New Roman" w:cs="Times New Roman" w:eastAsia="Times New Roman" w:hAnsi="Times New Roman"/>
          <w:sz w:val="17"/>
          <w:szCs w:val="17"/>
          <w:i w:val="1"/>
          <w:iCs w:val="1"/>
          <w:color w:val="auto"/>
        </w:rPr>
        <w:t>See Carta</w:t>
      </w:r>
      <w:r>
        <w:rPr>
          <w:rFonts w:ascii="Times New Roman" w:cs="Times New Roman" w:eastAsia="Times New Roman" w:hAnsi="Times New Roman"/>
          <w:sz w:val="17"/>
          <w:szCs w:val="17"/>
          <w:color w:val="auto"/>
        </w:rPr>
        <w:t>. This Option is immediately exercisable for all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subject to the terms of the Stock Option Agreement</w:t>
      </w:r>
    </w:p>
    <w:p>
      <w:pPr>
        <w:spacing w:after="0" w:line="28"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See Carta</w:t>
      </w:r>
    </w:p>
    <w:p>
      <w:pPr>
        <w:spacing w:after="0" w:line="114"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ind w:right="460"/>
        <w:spacing w:after="0" w:line="258" w:lineRule="auto"/>
        <w:rPr>
          <w:sz w:val="20"/>
          <w:szCs w:val="20"/>
          <w:color w:val="auto"/>
        </w:rPr>
      </w:pPr>
      <w:r>
        <w:rPr>
          <w:rFonts w:ascii="Times New Roman" w:cs="Times New Roman" w:eastAsia="Times New Roman" w:hAnsi="Times New Roman"/>
          <w:sz w:val="18"/>
          <w:szCs w:val="18"/>
          <w:i w:val="1"/>
          <w:iCs w:val="1"/>
          <w:color w:val="auto"/>
        </w:rPr>
        <w:t>See Carta</w:t>
      </w:r>
      <w:r>
        <w:rPr>
          <w:rFonts w:ascii="Times New Roman" w:cs="Times New Roman" w:eastAsia="Times New Roman" w:hAnsi="Times New Roman"/>
          <w:sz w:val="18"/>
          <w:szCs w:val="18"/>
          <w:color w:val="auto"/>
        </w:rPr>
        <w:t>. The date ten (10) years after the Date of Grant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above. This option expires earlier if the Optionee’s Service terminates earlier, as provided in Section 6 of the Stock Option Agreement.</w:t>
      </w:r>
    </w:p>
    <w:p>
      <w:pPr>
        <w:spacing w:after="0" w:line="182" w:lineRule="exact"/>
        <w:rPr>
          <w:sz w:val="20"/>
          <w:szCs w:val="20"/>
          <w:color w:val="auto"/>
        </w:rPr>
      </w:pPr>
    </w:p>
    <w:p>
      <w:pPr>
        <w:sectPr>
          <w:pgSz w:w="11900" w:h="16838" w:orient="portrait"/>
          <w:cols w:equalWidth="0" w:num="2">
            <w:col w:w="4940" w:space="720"/>
            <w:col w:w="5060"/>
          </w:cols>
          <w:pgMar w:left="480" w:top="264" w:right="699" w:bottom="1440" w:gutter="0" w:footer="0" w:header="0"/>
          <w:type w:val="continuous"/>
        </w:sectPr>
      </w:pPr>
    </w:p>
    <w:p>
      <w:pPr>
        <w:spacing w:after="0" w:line="263" w:lineRule="auto"/>
        <w:rPr>
          <w:sz w:val="20"/>
          <w:szCs w:val="20"/>
          <w:color w:val="auto"/>
        </w:rPr>
      </w:pPr>
      <w:r>
        <w:rPr>
          <w:rFonts w:ascii="Times New Roman" w:cs="Times New Roman" w:eastAsia="Times New Roman" w:hAnsi="Times New Roman"/>
          <w:sz w:val="18"/>
          <w:szCs w:val="18"/>
          <w:color w:val="auto"/>
        </w:rPr>
        <w:t xml:space="preserve">By Optionee’s acceptance of this Option, the Optionee and the Company agree that this option is granted under, and governed by the terms and conditions of, the 2011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14 of the Stock Option Agreement includes important acknowledgements of the Optionee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0720"/>
          </w:cols>
          <w:pgMar w:left="480" w:top="264" w:right="699" w:bottom="1440" w:gutter="0" w:footer="0" w:header="0"/>
          <w:type w:val="continuous"/>
        </w:sectPr>
      </w:pPr>
    </w:p>
    <w:bookmarkStart w:id="768" w:name="page769"/>
    <w:bookmarkEnd w:id="768"/>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00" w:firstLine="982"/>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 extent (and only to the extent) required by the $100,000 annual limitation under Section 422(d) of the Code.</w:t>
      </w:r>
    </w:p>
    <w:p>
      <w:pPr>
        <w:spacing w:after="0" w:line="156" w:lineRule="exact"/>
        <w:rPr>
          <w:sz w:val="20"/>
          <w:szCs w:val="20"/>
          <w:color w:val="auto"/>
        </w:rPr>
      </w:pPr>
    </w:p>
    <w:p>
      <w:pPr>
        <w:ind w:right="2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 The provisions of the Plan are incorporated into this Agreement by this reference. Capitalized terms are defined in Section 15 of this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 exercised prior to its expiration at the time or times set forth in the Notice of Stock Option Grant. Shares purchased by exercising this option may be subject to the Right of Repurchase under Section 7.</w:t>
      </w:r>
    </w:p>
    <w:p>
      <w:pPr>
        <w:spacing w:after="0" w:line="170"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 prior to the approval of the Plan by the Company’s stockholders.</w:t>
      </w:r>
    </w:p>
    <w:p>
      <w:pPr>
        <w:sectPr>
          <w:pgSz w:w="11900" w:h="16838" w:orient="portrait"/>
          <w:cols w:equalWidth="0" w:num="1">
            <w:col w:w="10840"/>
          </w:cols>
          <w:pgMar w:left="480" w:top="265" w:right="579" w:bottom="1440" w:gutter="0" w:footer="0" w:header="0"/>
        </w:sectPr>
      </w:pPr>
    </w:p>
    <w:bookmarkStart w:id="769" w:name="page770"/>
    <w:bookmarkEnd w:id="7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SECTION 3. NO TRANSFER OR ASSIGNMENT OF OPTION.</w:t>
      </w:r>
    </w:p>
    <w:p>
      <w:pPr>
        <w:spacing w:after="0" w:line="118" w:lineRule="exact"/>
        <w:rPr>
          <w:sz w:val="20"/>
          <w:szCs w:val="20"/>
          <w:color w:val="auto"/>
        </w:rPr>
      </w:pPr>
    </w:p>
    <w:p>
      <w:pPr>
        <w:jc w:val="both"/>
        <w:ind w:right="220" w:firstLine="982"/>
        <w:spacing w:after="0" w:line="308"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114" w:lineRule="exact"/>
        <w:rPr>
          <w:sz w:val="20"/>
          <w:szCs w:val="20"/>
          <w:color w:val="auto"/>
        </w:rPr>
      </w:pPr>
    </w:p>
    <w:p>
      <w:pPr>
        <w:ind w:right="40"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 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184" w:lineRule="exact"/>
        <w:rPr>
          <w:sz w:val="20"/>
          <w:szCs w:val="20"/>
          <w:color w:val="auto"/>
        </w:rPr>
      </w:pPr>
    </w:p>
    <w:p>
      <w:pPr>
        <w:ind w:right="400" w:firstLine="982"/>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Issuance of Shares</w:t>
      </w:r>
      <w:r>
        <w:rPr>
          <w:rFonts w:ascii="Times New Roman" w:cs="Times New Roman" w:eastAsia="Times New Roman" w:hAnsi="Times New Roman"/>
          <w:sz w:val="17"/>
          <w:szCs w:val="17"/>
          <w:color w:val="auto"/>
        </w:rPr>
        <w:t>. After receiving a proper notice of exercise, the Company shall cause to be issued one or more certificates evidencing the Shares for which this option has been exercised. Such Shares shall be registered (i) in the name of the person exercising this option,</w:t>
      </w:r>
    </w:p>
    <w:p>
      <w:pPr>
        <w:spacing w:after="0" w:line="1" w:lineRule="exact"/>
        <w:rPr>
          <w:sz w:val="20"/>
          <w:szCs w:val="20"/>
          <w:color w:val="auto"/>
        </w:rPr>
      </w:pPr>
    </w:p>
    <w:p>
      <w:pPr>
        <w:ind w:right="420" w:firstLine="7"/>
        <w:spacing w:after="0" w:line="250" w:lineRule="auto"/>
        <w:tabs>
          <w:tab w:leader="none" w:pos="262"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185"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as a result of the exercise of this 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4" w:lineRule="exact"/>
        <w:rPr>
          <w:sz w:val="20"/>
          <w:szCs w:val="20"/>
          <w:color w:val="auto"/>
        </w:rPr>
      </w:pPr>
    </w:p>
    <w:p>
      <w:pPr>
        <w:ind w:left="1240" w:hanging="250"/>
        <w:spacing w:after="0"/>
        <w:tabs>
          <w:tab w:leader="none" w:pos="12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Cash</w:t>
      </w:r>
      <w:r>
        <w:rPr>
          <w:rFonts w:ascii="Times New Roman" w:cs="Times New Roman" w:eastAsia="Times New Roman" w:hAnsi="Times New Roman"/>
          <w:sz w:val="18"/>
          <w:szCs w:val="18"/>
          <w:color w:val="auto"/>
        </w:rPr>
        <w:t>. All or part of the Purchase Price may be paid in cash or cash equivalents.</w:t>
      </w:r>
    </w:p>
    <w:p>
      <w:pPr>
        <w:spacing w:after="0" w:line="220" w:lineRule="exact"/>
        <w:rPr>
          <w:rFonts w:ascii="Times New Roman" w:cs="Times New Roman" w:eastAsia="Times New Roman" w:hAnsi="Times New Roman"/>
          <w:sz w:val="18"/>
          <w:szCs w:val="18"/>
          <w:color w:val="auto"/>
        </w:rPr>
      </w:pPr>
    </w:p>
    <w:p>
      <w:pPr>
        <w:ind w:right="120" w:firstLine="990"/>
        <w:spacing w:after="0" w:line="265" w:lineRule="auto"/>
        <w:tabs>
          <w:tab w:leader="none" w:pos="1234"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4" w:right="539" w:bottom="1440" w:gutter="0" w:footer="0" w:header="0"/>
        </w:sectPr>
      </w:pPr>
    </w:p>
    <w:bookmarkStart w:id="770" w:name="page771"/>
    <w:bookmarkEnd w:id="770"/>
    <w:p>
      <w:pPr>
        <w:ind w:firstLine="98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114" w:lineRule="exact"/>
        <w:rPr>
          <w:sz w:val="20"/>
          <w:szCs w:val="20"/>
          <w:color w:val="auto"/>
        </w:rPr>
      </w:pPr>
    </w:p>
    <w:p>
      <w:pPr>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w:t>
      </w:r>
    </w:p>
    <w:p>
      <w:pPr>
        <w:spacing w:after="0" w:line="170"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 expire on the earliest of the following occasions: above;</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The expiration date determined pursuant to Subsection (a) above;</w:t>
      </w:r>
    </w:p>
    <w:p>
      <w:pPr>
        <w:sectPr>
          <w:pgSz w:w="11900" w:h="16838" w:orient="portrait"/>
          <w:cols w:equalWidth="0" w:num="1">
            <w:col w:w="10880"/>
          </w:cols>
          <w:pgMar w:left="480" w:top="264" w:right="539" w:bottom="1440" w:gutter="0" w:footer="0" w:header="0"/>
        </w:sectPr>
      </w:pP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date three months after the termination of the Optionee’s Service for any reason other than Disability; or</w:t>
      </w:r>
    </w:p>
    <w:p>
      <w:pPr>
        <w:spacing w:after="0" w:line="125" w:lineRule="exact"/>
        <w:rPr>
          <w:sz w:val="20"/>
          <w:szCs w:val="20"/>
          <w:color w:val="auto"/>
        </w:rPr>
      </w:pPr>
    </w:p>
    <w:p>
      <w:pPr>
        <w:sectPr>
          <w:pgSz w:w="11900" w:h="16838" w:orient="portrait"/>
          <w:cols w:equalWidth="0" w:num="2">
            <w:col w:w="1700" w:space="120"/>
            <w:col w:w="9060"/>
          </w:cols>
          <w:pgMar w:left="480" w:top="264" w:right="5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3"/>
          <w:szCs w:val="13"/>
          <w:color w:val="auto"/>
        </w:rPr>
        <w:t>(iii)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six months after the termination of the Optionee’s Service by reason of Disability.</w:t>
      </w:r>
    </w:p>
    <w:p>
      <w:pPr>
        <w:spacing w:after="0" w:line="125" w:lineRule="exact"/>
        <w:rPr>
          <w:sz w:val="20"/>
          <w:szCs w:val="20"/>
          <w:color w:val="auto"/>
        </w:rPr>
      </w:pPr>
    </w:p>
    <w:p>
      <w:pPr>
        <w:sectPr>
          <w:pgSz w:w="11900" w:h="16838" w:orient="portrait"/>
          <w:cols w:equalWidth="0" w:num="2">
            <w:col w:w="1740" w:space="140"/>
            <w:col w:w="9000"/>
          </w:cols>
          <w:pgMar w:left="480" w:top="264" w:right="539" w:bottom="1440" w:gutter="0" w:footer="0" w:header="0"/>
          <w:type w:val="continuous"/>
        </w:sectPr>
      </w:pPr>
    </w:p>
    <w:p>
      <w:pPr>
        <w:ind w:left="440" w:right="460" w:firstLine="943"/>
        <w:spacing w:after="0" w:line="278" w:lineRule="auto"/>
        <w:rPr>
          <w:sz w:val="20"/>
          <w:szCs w:val="20"/>
          <w:color w:val="auto"/>
        </w:rPr>
      </w:pPr>
      <w:r>
        <w:rPr>
          <w:rFonts w:ascii="Times New Roman" w:cs="Times New Roman" w:eastAsia="Times New Roman" w:hAnsi="Times New Roman"/>
          <w:sz w:val="18"/>
          <w:szCs w:val="18"/>
          <w:color w:val="auto"/>
        </w:rPr>
        <w:t>(iv)   If the Optionee had completed three (3) years of employment or more, the date two (2) years after the termination of the Optionee’s Service for any reason other than Disability or for Cause.</w:t>
      </w:r>
    </w:p>
    <w:p>
      <w:pPr>
        <w:spacing w:after="0" w:line="55" w:lineRule="exact"/>
        <w:rPr>
          <w:sz w:val="20"/>
          <w:szCs w:val="20"/>
          <w:color w:val="auto"/>
        </w:rPr>
      </w:pPr>
    </w:p>
    <w:p>
      <w:pPr>
        <w:ind w:left="440" w:right="480" w:firstLine="943"/>
        <w:spacing w:after="0" w:line="278" w:lineRule="auto"/>
        <w:rPr>
          <w:sz w:val="20"/>
          <w:szCs w:val="20"/>
          <w:color w:val="auto"/>
        </w:rPr>
      </w:pPr>
      <w:r>
        <w:rPr>
          <w:rFonts w:ascii="Times New Roman" w:cs="Times New Roman" w:eastAsia="Times New Roman" w:hAnsi="Times New Roman"/>
          <w:sz w:val="18"/>
          <w:szCs w:val="18"/>
          <w:color w:val="auto"/>
        </w:rPr>
        <w:t>(v)   If the Optionee had completed four (4) years of employment or more, the date three (3) years after the termination of the Optionee’s Service for any reason other than Disability or for Cause.</w:t>
      </w:r>
    </w:p>
    <w:p>
      <w:pPr>
        <w:spacing w:after="0" w:line="55" w:lineRule="exact"/>
        <w:rPr>
          <w:sz w:val="20"/>
          <w:szCs w:val="20"/>
          <w:color w:val="auto"/>
        </w:rPr>
      </w:pPr>
    </w:p>
    <w:p>
      <w:pPr>
        <w:ind w:left="1420" w:right="460"/>
        <w:spacing w:after="0" w:line="278" w:lineRule="auto"/>
        <w:rPr>
          <w:sz w:val="20"/>
          <w:szCs w:val="20"/>
          <w:color w:val="auto"/>
        </w:rPr>
      </w:pPr>
      <w:r>
        <w:rPr>
          <w:rFonts w:ascii="Times New Roman" w:cs="Times New Roman" w:eastAsia="Times New Roman" w:hAnsi="Times New Roman"/>
          <w:sz w:val="18"/>
          <w:szCs w:val="18"/>
          <w:color w:val="auto"/>
        </w:rPr>
        <w:t>(vi)   If the Optionee had completed five (5) years of employment or more, the date four (4) years after the termination of the Optionee’s Service for any reason other than Disability or for Cause.</w:t>
      </w:r>
    </w:p>
    <w:p>
      <w:pPr>
        <w:spacing w:after="0" w:line="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(vii)    If the Optionee had completed less than three (3) years of employment, and Optionee’s employment was terminated in</w:t>
      </w:r>
    </w:p>
    <w:p>
      <w:pPr>
        <w:sectPr>
          <w:pgSz w:w="11900" w:h="16838" w:orient="portrait"/>
          <w:cols w:equalWidth="0" w:num="1">
            <w:col w:w="10880"/>
          </w:cols>
          <w:pgMar w:left="480" w:top="264" w:right="539" w:bottom="1440" w:gutter="0" w:footer="0" w:header="0"/>
          <w:type w:val="continuous"/>
        </w:sectPr>
      </w:pPr>
    </w:p>
    <w:p>
      <w:pPr>
        <w:spacing w:after="0" w:line="37"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connection with a reduction in force as determined by the Company, then the date one (1) year after the termination of the Optionee’s Service for any reason other than Disability or for Cause.</w:t>
      </w:r>
    </w:p>
    <w:p>
      <w:pPr>
        <w:spacing w:after="0" w:line="18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4" w:right="539" w:bottom="1440" w:gutter="0" w:footer="0" w:header="0"/>
          <w:type w:val="continuous"/>
        </w:sectPr>
      </w:pPr>
    </w:p>
    <w:bookmarkStart w:id="771" w:name="page772"/>
    <w:bookmarkEnd w:id="77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ectPr>
          <w:pgSz w:w="11900" w:h="16838" w:orient="portrait"/>
          <w:cols w:equalWidth="0" w:num="1">
            <w:col w:w="10860"/>
          </w:cols>
          <w:pgMar w:left="480" w:top="269" w:right="559" w:bottom="1440" w:gutter="0" w:footer="0" w:header="0"/>
        </w:sectPr>
      </w:pPr>
    </w:p>
    <w:p>
      <w:pPr>
        <w:spacing w:after="0" w:line="1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(i)  </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expiration date determined pursuant to Subsection (a) above; or</w:t>
      </w:r>
    </w:p>
    <w:p>
      <w:pPr>
        <w:spacing w:after="0" w:line="125" w:lineRule="exact"/>
        <w:rPr>
          <w:sz w:val="20"/>
          <w:szCs w:val="20"/>
          <w:color w:val="auto"/>
        </w:rPr>
      </w:pPr>
    </w:p>
    <w:p>
      <w:pPr>
        <w:sectPr>
          <w:pgSz w:w="11900" w:h="16838" w:orient="portrait"/>
          <w:cols w:equalWidth="0" w:num="2">
            <w:col w:w="1680" w:space="140"/>
            <w:col w:w="9040"/>
          </w:cols>
          <w:pgMar w:left="480" w:top="269" w:right="5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12 months after the Optionee’s death.</w:t>
      </w:r>
    </w:p>
    <w:p>
      <w:pPr>
        <w:spacing w:after="0" w:line="200" w:lineRule="exact"/>
        <w:rPr>
          <w:sz w:val="20"/>
          <w:szCs w:val="20"/>
          <w:color w:val="auto"/>
        </w:rPr>
      </w:pPr>
    </w:p>
    <w:p>
      <w:pPr>
        <w:sectPr>
          <w:pgSz w:w="11900" w:h="16838" w:orient="portrait"/>
          <w:cols w:equalWidth="0" w:num="2">
            <w:col w:w="1700" w:space="120"/>
            <w:col w:w="9040"/>
          </w:cols>
          <w:pgMar w:left="480" w:top="269" w:right="559" w:bottom="1440" w:gutter="0" w:footer="0" w:header="0"/>
          <w:type w:val="continuous"/>
        </w:sectPr>
      </w:pPr>
    </w:p>
    <w:p>
      <w:pPr>
        <w:spacing w:after="0" w:line="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176"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Optionee commences working on a part-time 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(i) such leave was approved by the Company in writing and (ii) continued crediting of Service for such purpose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required by the terms of such leave or by applicable law (as determined by the Company). Service shall be deemed to terminate when such leave ends, unless the Optionee immediately returns to active work.</w:t>
      </w:r>
    </w:p>
    <w:p>
      <w:pPr>
        <w:spacing w:after="0" w:line="184" w:lineRule="exact"/>
        <w:rPr>
          <w:sz w:val="20"/>
          <w:szCs w:val="20"/>
          <w:color w:val="auto"/>
        </w:rPr>
      </w:pPr>
    </w:p>
    <w:p>
      <w:pPr>
        <w:ind w:right="300" w:firstLine="982"/>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 favorable tax treatment as an ISO to the extent that it is exercised:</w:t>
      </w:r>
    </w:p>
    <w:p>
      <w:pPr>
        <w:spacing w:after="0" w:line="53" w:lineRule="exact"/>
        <w:rPr>
          <w:sz w:val="20"/>
          <w:szCs w:val="20"/>
          <w:color w:val="auto"/>
        </w:rPr>
      </w:pPr>
    </w:p>
    <w:p>
      <w:pPr>
        <w:ind w:left="440" w:right="680" w:firstLine="943"/>
        <w:spacing w:after="0" w:line="278" w:lineRule="auto"/>
        <w:rPr>
          <w:sz w:val="20"/>
          <w:szCs w:val="20"/>
          <w:color w:val="auto"/>
        </w:rPr>
      </w:pPr>
      <w:r>
        <w:rPr>
          <w:rFonts w:ascii="Times New Roman" w:cs="Times New Roman" w:eastAsia="Times New Roman" w:hAnsi="Times New Roman"/>
          <w:sz w:val="18"/>
          <w:szCs w:val="18"/>
          <w:color w:val="auto"/>
        </w:rPr>
        <w:t>(i)   More than three months after the date when the Optionee ceases to be an Employee for any reason other than death or permanent and total disability (as defined in Section 22(e)(3) of the Code);</w:t>
      </w:r>
    </w:p>
    <w:p>
      <w:pPr>
        <w:spacing w:after="0" w:line="55" w:lineRule="exact"/>
        <w:rPr>
          <w:sz w:val="20"/>
          <w:szCs w:val="20"/>
          <w:color w:val="auto"/>
        </w:rPr>
      </w:pPr>
    </w:p>
    <w:p>
      <w:pPr>
        <w:ind w:left="440" w:right="160" w:firstLine="943"/>
        <w:spacing w:after="0" w:line="278" w:lineRule="auto"/>
        <w:rPr>
          <w:sz w:val="20"/>
          <w:szCs w:val="20"/>
          <w:color w:val="auto"/>
        </w:rPr>
      </w:pPr>
      <w:r>
        <w:rPr>
          <w:rFonts w:ascii="Times New Roman" w:cs="Times New Roman" w:eastAsia="Times New Roman" w:hAnsi="Times New Roman"/>
          <w:sz w:val="18"/>
          <w:szCs w:val="18"/>
          <w:color w:val="auto"/>
        </w:rPr>
        <w:t>(ii)   More than 12 months after the date when the Optionee ceases to be an Employee by reason of permanent and total disability (as defined in Section 22(e)(3) of the Code); or</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80" w:top="269" w:right="559" w:bottom="1440" w:gutter="0" w:footer="0" w:header="0"/>
          <w:type w:val="continuous"/>
        </w:sectPr>
      </w:pPr>
    </w:p>
    <w:bookmarkStart w:id="772" w:name="page773"/>
    <w:bookmarkEnd w:id="772"/>
    <w:p>
      <w:pPr>
        <w:ind w:left="440" w:right="280" w:firstLine="943"/>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(iii)   More than three months after the date when the Optionee has been on a leave of absence for 90 days, unless the Optionee’s reemployment rights following such leave were guaranteed by statute or by contract.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REPURCHASE.</w:t>
      </w:r>
    </w:p>
    <w:p>
      <w:pPr>
        <w:spacing w:after="0" w:line="114"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Scope of Repurchase Right</w:t>
      </w:r>
      <w:r>
        <w:rPr>
          <w:rFonts w:ascii="Times New Roman" w:cs="Times New Roman" w:eastAsia="Times New Roman" w:hAnsi="Times New Roman"/>
          <w:sz w:val="18"/>
          <w:szCs w:val="18"/>
          <w:color w:val="auto"/>
        </w:rPr>
        <w:t>. Until they vest in accordance with the Notice of Stock Option Grant and Subsection (b) 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184" w:lineRule="exact"/>
        <w:rPr>
          <w:sz w:val="20"/>
          <w:szCs w:val="20"/>
          <w:color w:val="auto"/>
        </w:rPr>
      </w:pPr>
    </w:p>
    <w:p>
      <w:pPr>
        <w:ind w:right="520" w:firstLine="982"/>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Lapse of Repurchase Right</w:t>
      </w:r>
      <w:r>
        <w:rPr>
          <w:rFonts w:ascii="Times New Roman" w:cs="Times New Roman" w:eastAsia="Times New Roman" w:hAnsi="Times New Roman"/>
          <w:sz w:val="18"/>
          <w:szCs w:val="18"/>
          <w:color w:val="auto"/>
        </w:rPr>
        <w:t>. The Right of Repurchase shall lapse with respect to the Restricted Shares in accordance with the vesting schedule set forth in the Notice of Stock Option Grant.</w:t>
      </w:r>
    </w:p>
    <w:p>
      <w:pPr>
        <w:spacing w:after="0" w:line="156" w:lineRule="exact"/>
        <w:rPr>
          <w:sz w:val="20"/>
          <w:szCs w:val="20"/>
          <w:color w:val="auto"/>
        </w:rPr>
      </w:pPr>
    </w:p>
    <w:p>
      <w:pPr>
        <w:ind w:firstLine="982"/>
        <w:spacing w:after="0" w:line="26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Escrow</w:t>
      </w:r>
      <w:r>
        <w:rPr>
          <w:rFonts w:ascii="Times New Roman" w:cs="Times New Roman" w:eastAsia="Times New Roman" w:hAnsi="Times New Roman"/>
          <w:sz w:val="17"/>
          <w:szCs w:val="17"/>
          <w:color w:val="auto"/>
        </w:rPr>
        <w:t>. Upon issuance, the certificate(s) for Restricted Shares shall be deposited in escrow with the Company 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173"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Exercise of Repurchase Right</w:t>
      </w:r>
      <w:r>
        <w:rPr>
          <w:rFonts w:ascii="Times New Roman" w:cs="Times New Roman" w:eastAsia="Times New Roman" w:hAnsi="Times New Roman"/>
          <w:sz w:val="18"/>
          <w:szCs w:val="18"/>
          <w:color w:val="auto"/>
        </w:rPr>
        <w:t>. The Company shall be deemed to have exercised its Right of Repurchase automatically for all Restricted Shares as of the commencement of the Repurchase Period, unless the Company during the Repurchase Period notifies the holder of the Restricted Shares pursuant to Section 13(c)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9" w:right="499" w:bottom="1440" w:gutter="0" w:footer="0" w:header="0"/>
        </w:sectPr>
      </w:pPr>
    </w:p>
    <w:bookmarkStart w:id="773" w:name="page774"/>
    <w:bookmarkEnd w:id="773"/>
    <w:p>
      <w:pPr>
        <w:ind w:right="120" w:firstLine="98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Right of Repurchase is exercised in accordance with this Section 7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80"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184"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Transfer of Restricted Shares</w:t>
      </w:r>
      <w:r>
        <w:rPr>
          <w:rFonts w:ascii="Times New Roman" w:cs="Times New Roman" w:eastAsia="Times New Roman" w:hAnsi="Times New Roman"/>
          <w:sz w:val="18"/>
          <w:szCs w:val="18"/>
          <w:color w:val="auto"/>
        </w:rPr>
        <w:t>. The Optionee shall not transfer, assign, encumber or otherwise dispose of any Restricted Shares without 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178" w:lineRule="exact"/>
        <w:rPr>
          <w:sz w:val="20"/>
          <w:szCs w:val="20"/>
          <w:color w:val="auto"/>
        </w:rPr>
      </w:pPr>
    </w:p>
    <w:p>
      <w:pPr>
        <w:jc w:val="both"/>
        <w:ind w:right="2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Assignment of Repurchase Right</w:t>
      </w:r>
      <w:r>
        <w:rPr>
          <w:rFonts w:ascii="Times New Roman" w:cs="Times New Roman" w:eastAsia="Times New Roman" w:hAnsi="Times New Roman"/>
          <w:sz w:val="18"/>
          <w:szCs w:val="18"/>
          <w:color w:val="auto"/>
        </w:rPr>
        <w:t>. The Board of Directors may freely assign the Company’s Right of Repurchase, in whole or in part. Any person who accepts an assignment of the Right of Repurchase from the Company shall assume all of the Company’s rights and obligations under this Section 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RIGHT OF FIRST REFUSAL.</w:t>
      </w:r>
    </w:p>
    <w:p>
      <w:pPr>
        <w:spacing w:after="0" w:line="114" w:lineRule="exact"/>
        <w:rPr>
          <w:sz w:val="20"/>
          <w:szCs w:val="20"/>
          <w:color w:val="auto"/>
        </w:rPr>
      </w:pPr>
    </w:p>
    <w:p>
      <w:pPr>
        <w:ind w:right="2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5" w:right="519" w:bottom="1440" w:gutter="0" w:footer="0" w:header="0"/>
        </w:sectPr>
      </w:pPr>
    </w:p>
    <w:bookmarkStart w:id="774" w:name="page775"/>
    <w:bookmarkEnd w:id="77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0"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87"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78"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8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0" w:lineRule="exact"/>
        <w:rPr>
          <w:sz w:val="20"/>
          <w:szCs w:val="20"/>
          <w:color w:val="auto"/>
        </w:rPr>
      </w:pPr>
    </w:p>
    <w:p>
      <w:pPr>
        <w:ind w:right="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8 shall not apply to (i) a transfer by beneficiary designation, will or intestate succession or (ii) a transfer to one or more members of</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480" w:top="268" w:right="619" w:bottom="1440" w:gutter="0" w:footer="0" w:header="0"/>
        </w:sectPr>
      </w:pPr>
    </w:p>
    <w:bookmarkStart w:id="775" w:name="page776"/>
    <w:bookmarkEnd w:id="77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6" w:lineRule="exact"/>
        <w:rPr>
          <w:sz w:val="20"/>
          <w:szCs w:val="20"/>
          <w:color w:val="auto"/>
        </w:rPr>
      </w:pPr>
    </w:p>
    <w:p>
      <w:pPr>
        <w:ind w:right="40" w:firstLine="982"/>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80" w:lineRule="exact"/>
        <w:rPr>
          <w:sz w:val="20"/>
          <w:szCs w:val="20"/>
          <w:color w:val="auto"/>
        </w:rPr>
      </w:pPr>
    </w:p>
    <w:p>
      <w:pPr>
        <w:jc w:val="both"/>
        <w:ind w:firstLine="982"/>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LEGALITY OF INITIAL ISSUANCE.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221" w:lineRule="exact"/>
        <w:rPr>
          <w:sz w:val="20"/>
          <w:szCs w:val="20"/>
          <w:color w:val="auto"/>
        </w:rPr>
      </w:pPr>
    </w:p>
    <w:p>
      <w:pPr>
        <w:ind w:left="440" w:right="220" w:firstLine="943"/>
        <w:spacing w:after="0" w:line="278" w:lineRule="auto"/>
        <w:rPr>
          <w:sz w:val="20"/>
          <w:szCs w:val="20"/>
          <w:color w:val="auto"/>
        </w:rPr>
      </w:pPr>
      <w:r>
        <w:rPr>
          <w:rFonts w:ascii="Times New Roman" w:cs="Times New Roman" w:eastAsia="Times New Roman" w:hAnsi="Times New Roman"/>
          <w:sz w:val="18"/>
          <w:szCs w:val="18"/>
          <w:color w:val="auto"/>
        </w:rPr>
        <w:t>(a)  It and the Optionee have taken any actions required to register the Shares under the Securities Act or to perfect an exemption from the registration requirements thereof;</w:t>
      </w:r>
    </w:p>
    <w:p>
      <w:pPr>
        <w:spacing w:after="0" w:line="16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   Any applicable listing requirement of any stock exchange or other securities market on which Stock is listed has been satisfied;</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Any other applicable provision of federal, State or foreign law has been satisfied.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 REGISTRATION RIGHTS.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not be obligated to take any affirmative action in order to cause the sale of Shares under this Agreement to comply with any law.</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RESTRICTIONS ON TRANSFER OF SHARES.</w:t>
      </w:r>
    </w:p>
    <w:p>
      <w:pPr>
        <w:spacing w:after="0" w:line="114" w:lineRule="exact"/>
        <w:rPr>
          <w:sz w:val="20"/>
          <w:szCs w:val="20"/>
          <w:color w:val="auto"/>
        </w:rPr>
      </w:pPr>
    </w:p>
    <w:p>
      <w:pPr>
        <w:ind w:right="2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80" w:top="269" w:right="539" w:bottom="1440" w:gutter="0" w:footer="0" w:header="0"/>
        </w:sectPr>
      </w:pPr>
    </w:p>
    <w:bookmarkStart w:id="776" w:name="page777"/>
    <w:bookmarkEnd w:id="776"/>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76"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6" w:lineRule="exact"/>
        <w:rPr>
          <w:sz w:val="20"/>
          <w:szCs w:val="20"/>
          <w:color w:val="auto"/>
        </w:rPr>
      </w:pPr>
    </w:p>
    <w:p>
      <w:pPr>
        <w:ind w:right="200" w:firstLine="982"/>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 for investment, and not with a view to the sale or distribution thereof.</w:t>
      </w:r>
    </w:p>
    <w:p>
      <w:pPr>
        <w:spacing w:after="0" w:line="156" w:lineRule="exact"/>
        <w:rPr>
          <w:sz w:val="20"/>
          <w:szCs w:val="20"/>
          <w:color w:val="auto"/>
        </w:rPr>
      </w:pPr>
    </w:p>
    <w:p>
      <w:pPr>
        <w:jc w:val="both"/>
        <w:ind w:right="1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7" w:right="499" w:bottom="1440" w:gutter="0" w:footer="0" w:header="0"/>
        </w:sectPr>
      </w:pPr>
    </w:p>
    <w:bookmarkStart w:id="777" w:name="page778"/>
    <w:bookmarkEnd w:id="77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w:t>
      </w: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All certificates evidencing Shares purchased under this Agreement shall bear the following legend:</w:t>
      </w:r>
    </w:p>
    <w:p>
      <w:pPr>
        <w:spacing w:after="0" w:line="118" w:lineRule="exact"/>
        <w:rPr>
          <w:sz w:val="20"/>
          <w:szCs w:val="20"/>
          <w:color w:val="auto"/>
        </w:rPr>
      </w:pPr>
    </w:p>
    <w:p>
      <w:pPr>
        <w:ind w:left="440" w:right="160"/>
        <w:spacing w:after="0" w:line="271" w:lineRule="auto"/>
        <w:rPr>
          <w:sz w:val="20"/>
          <w:szCs w:val="20"/>
          <w:color w:val="auto"/>
        </w:rPr>
      </w:pPr>
      <w:r>
        <w:rPr>
          <w:rFonts w:ascii="Times New Roman" w:cs="Times New Roman" w:eastAsia="Times New Roman" w:hAnsi="Times New Roman"/>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73"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162" w:lineRule="exact"/>
        <w:rPr>
          <w:sz w:val="20"/>
          <w:szCs w:val="20"/>
          <w:color w:val="auto"/>
        </w:rPr>
      </w:pPr>
    </w:p>
    <w:p>
      <w:pPr>
        <w:ind w:left="440" w:right="240"/>
        <w:spacing w:after="0" w:line="258"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76" w:lineRule="exact"/>
        <w:rPr>
          <w:sz w:val="20"/>
          <w:szCs w:val="20"/>
          <w:color w:val="auto"/>
        </w:rPr>
      </w:pPr>
    </w:p>
    <w:p>
      <w:pPr>
        <w:jc w:val="both"/>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w:t>
      </w:r>
    </w:p>
    <w:p>
      <w:pPr>
        <w:spacing w:after="0" w:line="170"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11 shall be conclusive and binding on the Optionee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ADJUSTMENT OF SHARES.</w:t>
      </w:r>
    </w:p>
    <w:p>
      <w:pPr>
        <w:spacing w:after="0" w:line="118"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MISCELLANEOUS PROVISIONS.</w:t>
      </w:r>
    </w:p>
    <w:p>
      <w:pPr>
        <w:spacing w:after="0" w:line="114" w:lineRule="exact"/>
        <w:rPr>
          <w:sz w:val="20"/>
          <w:szCs w:val="20"/>
          <w:color w:val="auto"/>
        </w:rPr>
      </w:pPr>
    </w:p>
    <w:p>
      <w:pPr>
        <w:ind w:right="1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4" w:right="499" w:bottom="1440" w:gutter="0" w:footer="0" w:header="0"/>
        </w:sectPr>
      </w:pPr>
    </w:p>
    <w:bookmarkStart w:id="778" w:name="page779"/>
    <w:bookmarkEnd w:id="778"/>
    <w:p>
      <w:pPr>
        <w:ind w:right="240" w:firstLine="98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69" w:lineRule="exact"/>
        <w:rPr>
          <w:sz w:val="20"/>
          <w:szCs w:val="20"/>
          <w:color w:val="auto"/>
        </w:rPr>
      </w:pPr>
    </w:p>
    <w:p>
      <w:pPr>
        <w:ind w:right="180" w:firstLine="982"/>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It shall be deemed effective upon (i) 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69" w:lineRule="exact"/>
        <w:rPr>
          <w:sz w:val="20"/>
          <w:szCs w:val="20"/>
          <w:color w:val="auto"/>
        </w:rPr>
      </w:pPr>
    </w:p>
    <w:p>
      <w:pPr>
        <w:ind w:right="3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69"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63"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 applied to contracts entered into and performed in such State.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ACKNOWLEDGEMENTS OF THE OPTIONEE.</w:t>
      </w:r>
    </w:p>
    <w:p>
      <w:pPr>
        <w:spacing w:after="0" w:line="114"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4" w:right="519" w:bottom="1440" w:gutter="0" w:footer="0" w:header="0"/>
        </w:sectPr>
      </w:pPr>
    </w:p>
    <w:bookmarkStart w:id="779" w:name="page780"/>
    <w:bookmarkEnd w:id="779"/>
    <w:p>
      <w:pPr>
        <w:ind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agrees to accept by email all documents relating to the 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73"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Notice of Expiration Date</w:t>
      </w:r>
      <w:r>
        <w:rPr>
          <w:rFonts w:ascii="Times New Roman" w:cs="Times New Roman" w:eastAsia="Times New Roman" w:hAnsi="Times New Roman"/>
          <w:sz w:val="18"/>
          <w:szCs w:val="18"/>
          <w:color w:val="auto"/>
        </w:rPr>
        <w:t>.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1" w:lineRule="exact"/>
        <w:rPr>
          <w:sz w:val="20"/>
          <w:szCs w:val="20"/>
          <w:color w:val="auto"/>
        </w:rPr>
      </w:pPr>
    </w:p>
    <w:p>
      <w:pPr>
        <w:ind w:right="280" w:firstLine="982"/>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1" w:lineRule="exact"/>
        <w:rPr>
          <w:sz w:val="20"/>
          <w:szCs w:val="20"/>
          <w:color w:val="auto"/>
        </w:rPr>
      </w:pPr>
    </w:p>
    <w:p>
      <w:pPr>
        <w:ind w:right="360" w:firstLine="982"/>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who performs bona fide services for the Company, a Parent or a Subsidiary as a consultant or advisor, excluding Employees and Outside Directors.</w:t>
      </w:r>
    </w:p>
    <w:p>
      <w:pPr>
        <w:spacing w:after="0" w:line="156" w:lineRule="exact"/>
        <w:rPr>
          <w:sz w:val="20"/>
          <w:szCs w:val="20"/>
          <w:color w:val="auto"/>
        </w:rPr>
      </w:pPr>
    </w:p>
    <w:p>
      <w:pPr>
        <w:ind w:right="200" w:firstLine="982"/>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156" w:lineRule="exact"/>
        <w:rPr>
          <w:sz w:val="20"/>
          <w:szCs w:val="20"/>
          <w:color w:val="auto"/>
        </w:rPr>
      </w:pPr>
    </w:p>
    <w:p>
      <w:pPr>
        <w:ind w:right="700" w:firstLine="982"/>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480" w:top="264" w:right="559" w:bottom="1440" w:gutter="0" w:footer="0" w:header="0"/>
        </w:sectPr>
      </w:pPr>
    </w:p>
    <w:bookmarkStart w:id="780" w:name="page781"/>
    <w:bookmarkEnd w:id="78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221" w:lineRule="exact"/>
        <w:rPr>
          <w:sz w:val="20"/>
          <w:szCs w:val="20"/>
          <w:color w:val="auto"/>
        </w:rPr>
      </w:pPr>
    </w:p>
    <w:p>
      <w:pPr>
        <w:ind w:right="480" w:firstLine="982"/>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56" w:lineRule="exact"/>
        <w:rPr>
          <w:sz w:val="20"/>
          <w:szCs w:val="20"/>
          <w:color w:val="auto"/>
        </w:rPr>
      </w:pPr>
    </w:p>
    <w:p>
      <w:pPr>
        <w:ind w:right="520" w:firstLine="982"/>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6" w:lineRule="exact"/>
        <w:rPr>
          <w:sz w:val="20"/>
          <w:szCs w:val="20"/>
          <w:color w:val="auto"/>
        </w:rPr>
      </w:pPr>
    </w:p>
    <w:p>
      <w:pPr>
        <w:ind w:right="340" w:firstLine="982"/>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ectPr>
          <w:pgSz w:w="11900" w:h="16838" w:orient="portrait"/>
          <w:cols w:equalWidth="0" w:num="1">
            <w:col w:w="10920"/>
          </w:cols>
          <w:pgMar w:left="480" w:top="264" w:right="49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(n)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Notice of Stock Option Grant</w:t>
      </w:r>
      <w:r>
        <w:rPr>
          <w:rFonts w:ascii="Times New Roman" w:cs="Times New Roman" w:eastAsia="Times New Roman" w:hAnsi="Times New Roman"/>
          <w:sz w:val="17"/>
          <w:szCs w:val="17"/>
          <w:color w:val="auto"/>
        </w:rPr>
        <w:t>” shall mean the document so entitled to which this Agreement is attached.</w:t>
      </w:r>
    </w:p>
    <w:p>
      <w:pPr>
        <w:spacing w:after="0" w:line="215" w:lineRule="exact"/>
        <w:rPr>
          <w:sz w:val="20"/>
          <w:szCs w:val="20"/>
          <w:color w:val="auto"/>
        </w:rPr>
      </w:pPr>
    </w:p>
    <w:p>
      <w:pPr>
        <w:sectPr>
          <w:pgSz w:w="11900" w:h="16838" w:orient="portrait"/>
          <w:cols w:equalWidth="0" w:num="2">
            <w:col w:w="1240" w:space="140"/>
            <w:col w:w="9540"/>
          </w:cols>
          <w:pgMar w:left="480" w:top="264" w:right="499" w:bottom="1440" w:gutter="0" w:footer="0" w:header="0"/>
          <w:type w:val="continuous"/>
        </w:sectPr>
      </w:pP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NSO</w:t>
      </w:r>
      <w:r>
        <w:rPr>
          <w:rFonts w:ascii="Times New Roman" w:cs="Times New Roman" w:eastAsia="Times New Roman" w:hAnsi="Times New Roman"/>
          <w:sz w:val="17"/>
          <w:szCs w:val="17"/>
          <w:color w:val="auto"/>
        </w:rPr>
        <w:t>” shall mean a stock option not described in Section 422(b) or 423(b) of the Code.</w:t>
      </w:r>
    </w:p>
    <w:p>
      <w:pPr>
        <w:spacing w:after="0" w:line="215" w:lineRule="exact"/>
        <w:rPr>
          <w:sz w:val="20"/>
          <w:szCs w:val="20"/>
          <w:color w:val="auto"/>
        </w:rPr>
      </w:pPr>
    </w:p>
    <w:p>
      <w:pPr>
        <w:sectPr>
          <w:pgSz w:w="11900" w:h="16838" w:orient="portrait"/>
          <w:cols w:equalWidth="0" w:num="2">
            <w:col w:w="1240" w:space="140"/>
            <w:col w:w="9540"/>
          </w:cols>
          <w:pgMar w:left="480" w:top="264" w:right="499" w:bottom="1440" w:gutter="0" w:footer="0" w:header="0"/>
          <w:type w:val="continuous"/>
        </w:sectPr>
      </w:pP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Optionee</w:t>
      </w:r>
      <w:r>
        <w:rPr>
          <w:rFonts w:ascii="Times New Roman" w:cs="Times New Roman" w:eastAsia="Times New Roman" w:hAnsi="Times New Roman"/>
          <w:sz w:val="17"/>
          <w:szCs w:val="17"/>
          <w:color w:val="auto"/>
        </w:rPr>
        <w:t>” shall mean the person named in the Notice of Stock Option Grant.</w:t>
      </w:r>
    </w:p>
    <w:p>
      <w:pPr>
        <w:spacing w:after="0" w:line="200" w:lineRule="exact"/>
        <w:rPr>
          <w:sz w:val="20"/>
          <w:szCs w:val="20"/>
          <w:color w:val="auto"/>
        </w:rPr>
      </w:pPr>
    </w:p>
    <w:p>
      <w:pPr>
        <w:sectPr>
          <w:pgSz w:w="11900" w:h="16838" w:orient="portrait"/>
          <w:cols w:equalWidth="0" w:num="2">
            <w:col w:w="1280" w:space="140"/>
            <w:col w:w="9500"/>
          </w:cols>
          <w:pgMar w:left="480" w:top="264" w:right="49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(q)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Outside Director</w:t>
      </w:r>
      <w:r>
        <w:rPr>
          <w:rFonts w:ascii="Times New Roman" w:cs="Times New Roman" w:eastAsia="Times New Roman" w:hAnsi="Times New Roman"/>
          <w:sz w:val="17"/>
          <w:szCs w:val="17"/>
          <w:color w:val="auto"/>
        </w:rPr>
        <w:t>” shall mean a member of the Board of Directors who is not an Employee.</w:t>
      </w:r>
    </w:p>
    <w:p>
      <w:pPr>
        <w:spacing w:after="0" w:line="200" w:lineRule="exact"/>
        <w:rPr>
          <w:sz w:val="20"/>
          <w:szCs w:val="20"/>
          <w:color w:val="auto"/>
        </w:rPr>
      </w:pPr>
    </w:p>
    <w:p>
      <w:pPr>
        <w:sectPr>
          <w:pgSz w:w="11900" w:h="16838" w:orient="portrait"/>
          <w:cols w:equalWidth="0" w:num="2">
            <w:col w:w="1280" w:space="140"/>
            <w:col w:w="9500"/>
          </w:cols>
          <w:pgMar w:left="480" w:top="264" w:right="499" w:bottom="1440" w:gutter="0" w:footer="0" w:header="0"/>
          <w:type w:val="continuous"/>
        </w:sectPr>
      </w:pPr>
    </w:p>
    <w:p>
      <w:pPr>
        <w:spacing w:after="0" w:line="32"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in effect on the Date of Grant.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198"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Repurchase Period</w:t>
      </w:r>
      <w:r>
        <w:rPr>
          <w:rFonts w:ascii="Times New Roman" w:cs="Times New Roman" w:eastAsia="Times New Roman" w:hAnsi="Times New Roman"/>
          <w:sz w:val="18"/>
          <w:szCs w:val="18"/>
          <w:color w:val="auto"/>
        </w:rPr>
        <w:t>” shall mean a period of 90 consecutive days commencing on the date when the Optionee’s Service terminates for any reason, including (without limitation) death or disability.</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shall mean a Share that is subject to the Right of Repurchase.</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4" w:right="499" w:bottom="1440" w:gutter="0" w:footer="0" w:header="0"/>
          <w:type w:val="continuous"/>
        </w:sectPr>
      </w:pPr>
    </w:p>
    <w:bookmarkStart w:id="781" w:name="page782"/>
    <w:bookmarkEnd w:id="78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8.</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Right of Repurchase</w:t>
      </w:r>
      <w:r>
        <w:rPr>
          <w:rFonts w:ascii="Times New Roman" w:cs="Times New Roman" w:eastAsia="Times New Roman" w:hAnsi="Times New Roman"/>
          <w:sz w:val="18"/>
          <w:szCs w:val="18"/>
          <w:color w:val="auto"/>
        </w:rPr>
        <w:t>” shall mean the Company’s right of repurchase described in Section 7.</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of the Plan (if applicable).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8.</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20"/>
          </w:cols>
          <w:pgMar w:left="480" w:top="264" w:right="799" w:bottom="1440" w:gutter="0" w:footer="0" w:header="0"/>
        </w:sectPr>
      </w:pPr>
    </w:p>
    <w:bookmarkStart w:id="782" w:name="page783"/>
    <w:bookmarkEnd w:id="782"/>
    <w:p>
      <w:pPr>
        <w:jc w:val="center"/>
        <w:ind w:right="-1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color w:val="auto"/>
        </w:rPr>
        <w:t>MADA</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2011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OTICE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w:t>
      </w:r>
    </w:p>
    <w:p>
      <w:pPr>
        <w:spacing w:after="0" w:line="20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Y</w:t>
      </w:r>
      <w:r>
        <w:rPr>
          <w:rFonts w:ascii="Times New Roman" w:cs="Times New Roman" w:eastAsia="Times New Roman" w:hAnsi="Times New Roman"/>
          <w:sz w:val="14"/>
          <w:szCs w:val="14"/>
          <w:color w:val="auto"/>
        </w:rPr>
        <w:t>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SIGN THIS</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OTICE 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4"/>
          <w:szCs w:val="14"/>
          <w:color w:val="auto"/>
        </w:rPr>
        <w:t>BEFORE SUBMITTING IT TO</w:t>
      </w:r>
      <w:r>
        <w:rPr>
          <w:rFonts w:ascii="Times New Roman" w:cs="Times New Roman" w:eastAsia="Times New Roman" w:hAnsi="Times New Roman"/>
          <w:sz w:val="18"/>
          <w:szCs w:val="18"/>
          <w:color w:val="auto"/>
        </w:rPr>
        <w:t xml:space="preserve"> ES</w:t>
      </w:r>
      <w:r>
        <w:rPr>
          <w:rFonts w:ascii="Times New Roman" w:cs="Times New Roman" w:eastAsia="Times New Roman" w:hAnsi="Times New Roman"/>
          <w:sz w:val="14"/>
          <w:szCs w:val="14"/>
          <w:color w:val="auto"/>
        </w:rPr>
        <w:t>HARES</w:t>
      </w: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ORMS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See eShares</w:t>
            </w:r>
          </w:p>
        </w:tc>
        <w:tc>
          <w:tcPr>
            <w:tcW w:w="346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w w:val="97"/>
              </w:rPr>
              <w:t>Social Security Number: See eShares 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See eShares</w:t>
            </w:r>
          </w:p>
        </w:tc>
        <w:tc>
          <w:tcPr>
            <w:tcW w:w="346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w w:val="96"/>
              </w:rPr>
              <w:t>Employee Number:       See eShares 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r>
      <w:tr>
        <w:trPr>
          <w:trHeight w:val="301"/>
        </w:trPr>
        <w:tc>
          <w:tcPr>
            <w:tcW w:w="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5"/>
        </w:trPr>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4"/>
        </w:trPr>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Date of Grant: See eShares</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w w:val="97"/>
              </w:rPr>
              <w:t>Type of Stock Option: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0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4"/>
        </w:trPr>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Exercise Price per Share: See eShares</w:t>
            </w:r>
          </w:p>
        </w:tc>
        <w:tc>
          <w:tcPr>
            <w:tcW w:w="1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See eShares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0"/>
        </w:trPr>
        <w:tc>
          <w:tcPr>
            <w:tcW w:w="184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6"/>
        </w:trPr>
        <w:tc>
          <w:tcPr>
            <w:tcW w:w="5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Total number of shares of Common Stock of Omada Health, Inc.</w:t>
            </w: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2"/>
        </w:trPr>
        <w:tc>
          <w:tcPr>
            <w:tcW w:w="3960" w:type="dxa"/>
            <w:vAlign w:val="bottom"/>
            <w:gridSpan w:val="8"/>
          </w:tcPr>
          <w:p>
            <w:pPr>
              <w:spacing w:after="0" w:line="192" w:lineRule="exact"/>
              <w:rPr>
                <w:sz w:val="20"/>
                <w:szCs w:val="20"/>
                <w:color w:val="auto"/>
              </w:rPr>
            </w:pPr>
            <w:r>
              <w:rPr>
                <w:rFonts w:ascii="Times New Roman" w:cs="Times New Roman" w:eastAsia="Times New Roman" w:hAnsi="Times New Roman"/>
                <w:sz w:val="18"/>
                <w:szCs w:val="18"/>
                <w:color w:val="auto"/>
              </w:rPr>
              <w:t>(the “Company”) covered by the option: See eShares</w:t>
            </w: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NFORMATION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of the Company for which the option is being exercised now: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(These shares are referred to below as the “Purchased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Total Exercise Price for the Purchased Shares: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payment [check all that apply*]:</w:t>
      </w:r>
    </w:p>
    <w:p>
      <w:pPr>
        <w:spacing w:after="0" w:line="127" w:lineRule="exact"/>
        <w:rPr>
          <w:sz w:val="20"/>
          <w:szCs w:val="20"/>
          <w:color w:val="auto"/>
        </w:rPr>
      </w:pPr>
    </w:p>
    <w:p>
      <w:pPr>
        <w:ind w:left="440" w:hanging="433"/>
        <w:spacing w:after="0"/>
        <w:tabs>
          <w:tab w:leader="none" w:pos="440" w:val="left"/>
        </w:tabs>
        <w:numPr>
          <w:ilvl w:val="0"/>
          <w:numId w:val="5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for $      , payable to “ESharesForms, Inc.”</w:t>
      </w:r>
    </w:p>
    <w:p>
      <w:pPr>
        <w:spacing w:after="0" w:line="87" w:lineRule="exact"/>
        <w:rPr>
          <w:sz w:val="20"/>
          <w:szCs w:val="20"/>
          <w:color w:val="auto"/>
        </w:rPr>
      </w:pPr>
    </w:p>
    <w:p>
      <w:pPr>
        <w:spacing w:after="0"/>
        <w:tabs>
          <w:tab w:leader="none" w:pos="420" w:val="left"/>
          <w:tab w:leader="none" w:pos="2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Certificate(s) for           </w:t>
      </w:r>
      <w:r>
        <w:rPr>
          <w:sz w:val="20"/>
          <w:szCs w:val="20"/>
          <w:color w:val="auto"/>
        </w:rPr>
        <w:tab/>
      </w:r>
      <w:r>
        <w:rPr>
          <w:rFonts w:ascii="Times New Roman" w:cs="Times New Roman" w:eastAsia="Times New Roman" w:hAnsi="Times New Roman"/>
          <w:sz w:val="17"/>
          <w:szCs w:val="17"/>
          <w:color w:val="auto"/>
        </w:rPr>
        <w:t>shares of Common Stock of the Company. These shares will be valued as of the date this notice is received by the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Company. [Requires Company consent.]</w:t>
      </w:r>
    </w:p>
    <w:p>
      <w:pPr>
        <w:spacing w:after="0" w:line="73" w:lineRule="exact"/>
        <w:rPr>
          <w:sz w:val="20"/>
          <w:szCs w:val="20"/>
          <w:color w:val="auto"/>
        </w:rPr>
      </w:pPr>
    </w:p>
    <w:p>
      <w:pPr>
        <w:spacing w:after="0"/>
        <w:tabs>
          <w:tab w:leader="none" w:pos="420" w:val="left"/>
          <w:tab w:leader="none" w:pos="31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Attestation Form covering           </w:t>
      </w:r>
      <w:r>
        <w:rPr>
          <w:sz w:val="20"/>
          <w:szCs w:val="20"/>
          <w:color w:val="auto"/>
        </w:rPr>
        <w:tab/>
      </w:r>
      <w:r>
        <w:rPr>
          <w:rFonts w:ascii="Times New Roman" w:cs="Times New Roman" w:eastAsia="Times New Roman" w:hAnsi="Times New Roman"/>
          <w:sz w:val="17"/>
          <w:szCs w:val="17"/>
          <w:color w:val="auto"/>
        </w:rPr>
        <w:t>shares of Common Stock of the Company. These shares will be valued as of the date this notice is received</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the Company. [Requires Company consent.]</w:t>
      </w:r>
    </w:p>
    <w:p>
      <w:pPr>
        <w:spacing w:after="0" w:line="107" w:lineRule="exact"/>
        <w:rPr>
          <w:sz w:val="20"/>
          <w:szCs w:val="20"/>
          <w:color w:val="auto"/>
        </w:rPr>
      </w:pPr>
    </w:p>
    <w:p>
      <w:pPr>
        <w:ind w:left="440" w:hanging="433"/>
        <w:spacing w:after="0"/>
        <w:tabs>
          <w:tab w:leader="none" w:pos="440" w:val="left"/>
        </w:tabs>
        <w:numPr>
          <w:ilvl w:val="0"/>
          <w:numId w:val="5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If you are a non-U.S. Optionee, please see the Company for permitted forms of payment.</w:t>
      </w:r>
    </w:p>
    <w:p>
      <w:pPr>
        <w:sectPr>
          <w:pgSz w:w="11900" w:h="16838" w:orient="portrait"/>
          <w:cols w:equalWidth="0" w:num="1">
            <w:col w:w="10740"/>
          </w:cols>
          <w:pgMar w:left="480" w:top="268" w:right="679" w:bottom="1440" w:gutter="0" w:footer="0" w:header="0"/>
        </w:sectPr>
      </w:pPr>
    </w:p>
    <w:bookmarkStart w:id="783" w:name="page784"/>
    <w:bookmarkEnd w:id="783"/>
    <w:p>
      <w:pPr>
        <w:ind w:right="46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Name(s) in which the Purchased Shares should be registered [please review the attached explanation of the available forms of ownership, and then check one box]:</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my name only</w:t>
            </w:r>
          </w:p>
        </w:tc>
        <w:tc>
          <w:tcPr>
            <w:tcW w:w="8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names of my spouse and myself as community property</w:t>
            </w:r>
          </w:p>
        </w:tc>
        <w:tc>
          <w:tcPr>
            <w:tcW w:w="8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My spouse’s name (if applicable):</w:t>
            </w:r>
          </w:p>
        </w:tc>
        <w:tc>
          <w:tcPr>
            <w:tcW w:w="0" w:type="dxa"/>
            <w:vAlign w:val="bottom"/>
          </w:tcPr>
          <w:p>
            <w:pPr>
              <w:spacing w:after="0"/>
              <w:rPr>
                <w:sz w:val="1"/>
                <w:szCs w:val="1"/>
                <w:color w:val="auto"/>
              </w:rPr>
            </w:pPr>
          </w:p>
        </w:tc>
      </w:tr>
      <w:tr>
        <w:trPr>
          <w:trHeight w:val="292"/>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names of my spouse and myself as community property</w:t>
            </w:r>
          </w:p>
        </w:tc>
        <w:tc>
          <w:tcPr>
            <w:tcW w:w="5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the right of survivorship</w:t>
            </w:r>
          </w:p>
        </w:tc>
        <w:tc>
          <w:tcPr>
            <w:tcW w:w="800" w:type="dxa"/>
            <w:vAlign w:val="bottom"/>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names of my spouse and myself as joint tenants with the</w:t>
            </w:r>
          </w:p>
        </w:tc>
        <w:tc>
          <w:tcPr>
            <w:tcW w:w="8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survivorship</w:t>
            </w:r>
          </w:p>
        </w:tc>
        <w:tc>
          <w:tcPr>
            <w:tcW w:w="8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5100" w:type="dxa"/>
            <w:vAlign w:val="bottom"/>
          </w:tcPr>
          <w:p>
            <w:pPr>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In the name of an eligible revocable trust [requires Stock Transfer</w:t>
            </w:r>
          </w:p>
        </w:tc>
        <w:tc>
          <w:tcPr>
            <w:tcW w:w="8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Full legal name of revocable trust:</w:t>
            </w:r>
          </w:p>
        </w:tc>
        <w:tc>
          <w:tcPr>
            <w:tcW w:w="0" w:type="dxa"/>
            <w:vAlign w:val="bottom"/>
          </w:tcPr>
          <w:p>
            <w:pPr>
              <w:spacing w:after="0"/>
              <w:rPr>
                <w:sz w:val="1"/>
                <w:szCs w:val="1"/>
                <w:color w:val="auto"/>
              </w:rPr>
            </w:pPr>
          </w:p>
        </w:tc>
      </w:tr>
      <w:tr>
        <w:trPr>
          <w:trHeight w:val="206"/>
        </w:trPr>
        <w:tc>
          <w:tcPr>
            <w:tcW w:w="5100" w:type="dxa"/>
            <w:vAlign w:val="bottom"/>
          </w:tcPr>
          <w:p>
            <w:pPr>
              <w:ind w:left="360"/>
              <w:spacing w:after="0" w:line="206" w:lineRule="exact"/>
              <w:rPr>
                <w:sz w:val="20"/>
                <w:szCs w:val="20"/>
                <w:color w:val="auto"/>
              </w:rPr>
            </w:pPr>
            <w:r>
              <w:rPr>
                <w:rFonts w:ascii="Times New Roman" w:cs="Times New Roman" w:eastAsia="Times New Roman" w:hAnsi="Times New Roman"/>
                <w:sz w:val="18"/>
                <w:szCs w:val="18"/>
                <w:color w:val="auto"/>
              </w:rPr>
              <w:t>Agreement]</w:t>
            </w:r>
          </w:p>
        </w:tc>
        <w:tc>
          <w:tcPr>
            <w:tcW w:w="800" w:type="dxa"/>
            <w:vAlign w:val="bottom"/>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certificate for the Purchased Shares should be sent to the</w:t>
            </w:r>
          </w:p>
        </w:tc>
        <w:tc>
          <w:tcPr>
            <w:tcW w:w="800" w:type="dxa"/>
            <w:vAlign w:val="bottom"/>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510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following address:</w:t>
            </w:r>
          </w:p>
        </w:tc>
        <w:tc>
          <w:tcPr>
            <w:tcW w:w="80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CKNOWLEDGMENTS OF THE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40" w:right="60" w:hanging="433"/>
        <w:spacing w:after="0" w:line="263" w:lineRule="auto"/>
        <w:tabs>
          <w:tab w:leader="none" w:pos="4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81" w:lineRule="exact"/>
        <w:rPr>
          <w:rFonts w:ascii="Times New Roman" w:cs="Times New Roman" w:eastAsia="Times New Roman" w:hAnsi="Times New Roman"/>
          <w:sz w:val="18"/>
          <w:szCs w:val="18"/>
          <w:color w:val="auto"/>
        </w:rPr>
      </w:pPr>
    </w:p>
    <w:p>
      <w:pPr>
        <w:jc w:val="both"/>
        <w:ind w:left="440" w:right="120" w:hanging="433"/>
        <w:spacing w:after="0" w:line="263" w:lineRule="auto"/>
        <w:tabs>
          <w:tab w:leader="none" w:pos="4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Purchased Shares have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Company is under no obligation to register the Purchased Shares.</w:t>
      </w:r>
    </w:p>
    <w:p>
      <w:pPr>
        <w:spacing w:after="0" w:line="127" w:lineRule="exact"/>
        <w:rPr>
          <w:rFonts w:ascii="Times New Roman" w:cs="Times New Roman" w:eastAsia="Times New Roman" w:hAnsi="Times New Roman"/>
          <w:sz w:val="18"/>
          <w:szCs w:val="18"/>
          <w:color w:val="auto"/>
        </w:rPr>
      </w:pPr>
    </w:p>
    <w:p>
      <w:pPr>
        <w:ind w:left="440" w:right="20" w:hanging="433"/>
        <w:spacing w:after="0" w:line="254" w:lineRule="auto"/>
        <w:tabs>
          <w:tab w:leader="none" w:pos="4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aware of the adoption by the Securities and Exchange Commission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and that the Company is not required to take action to satisfy any conditions applicable to it.</w:t>
      </w:r>
    </w:p>
    <w:p>
      <w:pPr>
        <w:spacing w:after="0" w:line="89" w:lineRule="exact"/>
        <w:rPr>
          <w:rFonts w:ascii="Times New Roman" w:cs="Times New Roman" w:eastAsia="Times New Roman" w:hAnsi="Times New Roman"/>
          <w:sz w:val="18"/>
          <w:szCs w:val="18"/>
          <w:color w:val="auto"/>
        </w:rPr>
      </w:pPr>
    </w:p>
    <w:p>
      <w:pPr>
        <w:ind w:left="440" w:right="80" w:hanging="433"/>
        <w:spacing w:after="0" w:line="278" w:lineRule="auto"/>
        <w:tabs>
          <w:tab w:leader="none" w:pos="4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8" w:lineRule="exact"/>
        <w:rPr>
          <w:rFonts w:ascii="Times New Roman" w:cs="Times New Roman" w:eastAsia="Times New Roman" w:hAnsi="Times New Roman"/>
          <w:sz w:val="18"/>
          <w:szCs w:val="18"/>
          <w:color w:val="auto"/>
        </w:rPr>
      </w:pPr>
    </w:p>
    <w:p>
      <w:pPr>
        <w:jc w:val="both"/>
        <w:ind w:left="440" w:right="100" w:hanging="433"/>
        <w:spacing w:after="0" w:line="263" w:lineRule="auto"/>
        <w:tabs>
          <w:tab w:leader="none" w:pos="4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784" w:name="page785"/>
    <w:bookmarkEnd w:id="784"/>
    <w:p>
      <w:pPr>
        <w:ind w:left="440" w:right="160" w:hanging="433"/>
        <w:spacing w:after="0" w:line="263" w:lineRule="auto"/>
        <w:tabs>
          <w:tab w:leader="none" w:pos="4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1" w:lineRule="exact"/>
        <w:rPr>
          <w:rFonts w:ascii="Times New Roman" w:cs="Times New Roman" w:eastAsia="Times New Roman" w:hAnsi="Times New Roman"/>
          <w:sz w:val="18"/>
          <w:szCs w:val="18"/>
          <w:color w:val="auto"/>
        </w:rPr>
      </w:pPr>
    </w:p>
    <w:p>
      <w:pPr>
        <w:ind w:left="440" w:right="40" w:hanging="433"/>
        <w:spacing w:after="0" w:line="278" w:lineRule="auto"/>
        <w:tabs>
          <w:tab w:leader="none" w:pos="4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Purchased Shares remain subject to the Company’s right of first refusal and the market stand-off (sometimes referred to as the “lock-up”), all in accordance with the applicable Notice of Stock Option Grant and Stock Option Agreement.</w:t>
      </w:r>
    </w:p>
    <w:p>
      <w:pPr>
        <w:spacing w:after="0" w:line="68" w:lineRule="exact"/>
        <w:rPr>
          <w:rFonts w:ascii="Times New Roman" w:cs="Times New Roman" w:eastAsia="Times New Roman" w:hAnsi="Times New Roman"/>
          <w:sz w:val="18"/>
          <w:szCs w:val="18"/>
          <w:color w:val="auto"/>
        </w:rPr>
      </w:pPr>
    </w:p>
    <w:p>
      <w:pPr>
        <w:ind w:left="440" w:right="720" w:hanging="433"/>
        <w:spacing w:after="0" w:line="278" w:lineRule="auto"/>
        <w:tabs>
          <w:tab w:leader="none" w:pos="4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am acquiring the Purchased Shares subject to all other terms of the Notice of Stock Option Grant and Stock Option Agreement.</w:t>
      </w:r>
    </w:p>
    <w:p>
      <w:pPr>
        <w:spacing w:after="0" w:line="68" w:lineRule="exact"/>
        <w:rPr>
          <w:rFonts w:ascii="Times New Roman" w:cs="Times New Roman" w:eastAsia="Times New Roman" w:hAnsi="Times New Roman"/>
          <w:sz w:val="18"/>
          <w:szCs w:val="18"/>
          <w:color w:val="auto"/>
        </w:rPr>
      </w:pPr>
    </w:p>
    <w:p>
      <w:pPr>
        <w:ind w:left="440" w:hanging="433"/>
        <w:spacing w:after="0" w:line="254" w:lineRule="auto"/>
        <w:tabs>
          <w:tab w:leader="none" w:pos="4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Times New Roman" w:cs="Times New Roman" w:eastAsia="Times New Roman" w:hAnsi="Times New Roman"/>
          <w:sz w:val="18"/>
          <w:szCs w:val="18"/>
          <w:color w:val="auto"/>
        </w:rPr>
      </w:pPr>
    </w:p>
    <w:p>
      <w:pPr>
        <w:ind w:left="440" w:right="400" w:hanging="433"/>
        <w:spacing w:after="0" w:line="263" w:lineRule="auto"/>
        <w:tabs>
          <w:tab w:leader="none" w:pos="4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81" w:lineRule="exact"/>
        <w:rPr>
          <w:rFonts w:ascii="Times New Roman" w:cs="Times New Roman" w:eastAsia="Times New Roman" w:hAnsi="Times New Roman"/>
          <w:sz w:val="18"/>
          <w:szCs w:val="18"/>
          <w:color w:val="auto"/>
        </w:rPr>
      </w:pPr>
    </w:p>
    <w:p>
      <w:pPr>
        <w:ind w:left="440" w:right="100" w:hanging="433"/>
        <w:spacing w:after="0" w:line="251" w:lineRule="auto"/>
        <w:tabs>
          <w:tab w:leader="none" w:pos="4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Company does not have a duty to design or administer the 2011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9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2960" w:type="dxa"/>
            <w:vAlign w:val="bottom"/>
          </w:tcPr>
          <w:p>
            <w:pPr>
              <w:spacing w:after="0"/>
              <w:rPr>
                <w:sz w:val="24"/>
                <w:szCs w:val="24"/>
                <w:color w:val="auto"/>
              </w:rPr>
            </w:pP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6"/>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9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2300" w:type="dxa"/>
            <w:vAlign w:val="bottom"/>
          </w:tcPr>
          <w:p>
            <w:pPr>
              <w:spacing w:after="0"/>
              <w:rPr>
                <w:sz w:val="19"/>
                <w:szCs w:val="19"/>
                <w:color w:val="auto"/>
              </w:rPr>
            </w:pPr>
          </w:p>
        </w:tc>
      </w:tr>
      <w:tr>
        <w:trPr>
          <w:trHeight w:val="356"/>
        </w:trPr>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jc w:val="right"/>
              <w:ind w:right="2611"/>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spacing w:after="0"/>
              <w:rPr>
                <w:sz w:val="24"/>
                <w:szCs w:val="24"/>
                <w:color w:val="auto"/>
              </w:rPr>
            </w:pPr>
          </w:p>
        </w:tc>
      </w:tr>
    </w:tbl>
    <w:p>
      <w:pPr>
        <w:sectPr>
          <w:pgSz w:w="11900" w:h="16838" w:orient="portrait"/>
          <w:cols w:equalWidth="0" w:num="1">
            <w:col w:w="10860"/>
          </w:cols>
          <w:pgMar w:left="480" w:top="268" w:right="559" w:bottom="1440" w:gutter="0" w:footer="0" w:header="0"/>
        </w:sectPr>
      </w:pPr>
    </w:p>
    <w:bookmarkStart w:id="785" w:name="page786"/>
    <w:bookmarkEnd w:id="7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WNERSHIP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69" w:lineRule="exact"/>
        <w:rPr>
          <w:sz w:val="20"/>
          <w:szCs w:val="20"/>
          <w:color w:val="auto"/>
        </w:rPr>
      </w:pPr>
    </w:p>
    <w:p>
      <w:pPr>
        <w:ind w:left="440" w:right="620" w:hanging="433"/>
        <w:spacing w:after="0" w:line="278" w:lineRule="auto"/>
        <w:tabs>
          <w:tab w:leader="none" w:pos="44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legal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situation may well be different from the norm.</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may change, and the Company is not responsible for updating this summary.</w:t>
      </w:r>
    </w:p>
    <w:p>
      <w:pPr>
        <w:spacing w:after="0" w:line="127" w:lineRule="exact"/>
        <w:rPr>
          <w:rFonts w:ascii="Times New Roman" w:cs="Times New Roman" w:eastAsia="Times New Roman" w:hAnsi="Times New Roman"/>
          <w:sz w:val="18"/>
          <w:szCs w:val="18"/>
          <w:color w:val="auto"/>
        </w:rPr>
      </w:pPr>
    </w:p>
    <w:p>
      <w:pPr>
        <w:ind w:left="440" w:right="80" w:hanging="433"/>
        <w:spacing w:after="0" w:line="278" w:lineRule="auto"/>
        <w:tabs>
          <w:tab w:leader="none" w:pos="44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you own your shares may have a substantial impact on the estate tax treatment that applies to those shares when you die or the income tax treatment that applies when your survivors sell the shares after your death.</w:t>
      </w:r>
    </w:p>
    <w:p>
      <w:pPr>
        <w:spacing w:after="0" w:line="55"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ADVISER BEFORE EXERCISING YOUR OPTION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BEFORE MAKING A DECISION ABOUT THE FORM OF OWNERSHIP FOR YOUR SHARES</w:t>
      </w:r>
      <w:r>
        <w:rPr>
          <w:rFonts w:ascii="Times New Roman" w:cs="Times New Roman" w:eastAsia="Times New Roman" w:hAnsi="Times New Roman"/>
          <w:sz w:val="17"/>
          <w:szCs w:val="17"/>
          <w:u w:val="single" w:color="auto"/>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VERVIEW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Stock Option Exercise offers five forms of taking title to the Purchased Shares:</w:t>
      </w:r>
    </w:p>
    <w:p>
      <w:pPr>
        <w:spacing w:after="0" w:line="127" w:lineRule="exact"/>
        <w:rPr>
          <w:sz w:val="20"/>
          <w:szCs w:val="20"/>
          <w:color w:val="auto"/>
        </w:rPr>
      </w:pPr>
    </w:p>
    <w:p>
      <w:pPr>
        <w:ind w:left="440" w:hanging="433"/>
        <w:spacing w:after="0"/>
        <w:tabs>
          <w:tab w:leader="none" w:pos="44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only,</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 with the right of survivorship,</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joint tenants with the right of survivorship, or</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an eligible revocable trust.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 law property” states. (But individual state law may vary within these classifications.)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9" w:right="519" w:bottom="1440" w:gutter="0" w:footer="0" w:header="0"/>
        </w:sectPr>
      </w:pPr>
    </w:p>
    <w:bookmarkStart w:id="786" w:name="page787"/>
    <w:bookmarkEnd w:id="7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rFonts w:ascii="Times New Roman" w:cs="Times New Roman" w:eastAsia="Times New Roman" w:hAnsi="Times New Roman"/>
          <w:sz w:val="14"/>
          <w:szCs w:val="14"/>
          <w:color w:val="auto"/>
        </w:rPr>
        <w:t>OMMUNITY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ROPERTY AND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ENANCY</w:t>
      </w:r>
    </w:p>
    <w:p>
      <w:pPr>
        <w:spacing w:after="0" w:line="1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4"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Other states are common-law property states. In a common-law property state, each spouse is generally deemed to own whatever he/she earns or acquires.</w:t>
      </w:r>
    </w:p>
    <w:p>
      <w:pPr>
        <w:spacing w:after="0" w:line="162"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8"/>
          <w:szCs w:val="18"/>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automatically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not control the disposition of the shares.</w:t>
      </w:r>
    </w:p>
    <w:p>
      <w:pPr>
        <w:spacing w:after="0" w:line="18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787" w:name="page788"/>
    <w:bookmarkEnd w:id="7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Times New Roman" w:cs="Times New Roman" w:eastAsia="Times New Roman" w:hAnsi="Times New Roman"/>
          <w:sz w:val="14"/>
          <w:szCs w:val="14"/>
          <w:color w:val="auto"/>
        </w:rPr>
        <w:t>RUSTS</w:t>
      </w:r>
    </w:p>
    <w:p>
      <w:pPr>
        <w:spacing w:after="0" w:line="11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A transfer to a trust generally should not be treated as a “disposition” of the Purchased Shares for tax purposes if the trust satisfies each of the following conditions:</w:t>
      </w:r>
    </w:p>
    <w:p>
      <w:pPr>
        <w:spacing w:after="0" w:line="69" w:lineRule="exact"/>
        <w:rPr>
          <w:sz w:val="20"/>
          <w:szCs w:val="20"/>
          <w:color w:val="auto"/>
        </w:rPr>
      </w:pPr>
    </w:p>
    <w:p>
      <w:pPr>
        <w:ind w:left="440" w:hanging="433"/>
        <w:spacing w:after="0"/>
        <w:tabs>
          <w:tab w:leader="none" w:pos="4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grantor of the trust,</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trustee, or you and your spouse are the sole co-trustees,</w:t>
      </w:r>
    </w:p>
    <w:p>
      <w:pPr>
        <w:spacing w:after="0" w:line="127" w:lineRule="exact"/>
        <w:rPr>
          <w:rFonts w:ascii="Times New Roman" w:cs="Times New Roman" w:eastAsia="Times New Roman" w:hAnsi="Times New Roman"/>
          <w:sz w:val="18"/>
          <w:szCs w:val="18"/>
          <w:color w:val="auto"/>
        </w:rPr>
      </w:pPr>
    </w:p>
    <w:p>
      <w:pPr>
        <w:ind w:left="440" w:right="260" w:hanging="433"/>
        <w:spacing w:after="0" w:line="278" w:lineRule="auto"/>
        <w:tabs>
          <w:tab w:leader="none" w:pos="4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trustees are not required to distribute the income of the trust to any person other than you and/or your spouse while you are alive, and</w:t>
      </w:r>
    </w:p>
    <w:p>
      <w:pPr>
        <w:spacing w:after="0" w:line="68" w:lineRule="exact"/>
        <w:rPr>
          <w:rFonts w:ascii="Times New Roman" w:cs="Times New Roman" w:eastAsia="Times New Roman" w:hAnsi="Times New Roman"/>
          <w:sz w:val="18"/>
          <w:szCs w:val="18"/>
          <w:color w:val="auto"/>
        </w:rPr>
      </w:pPr>
    </w:p>
    <w:p>
      <w:pPr>
        <w:ind w:left="440" w:right="580" w:hanging="433"/>
        <w:spacing w:after="0" w:line="278" w:lineRule="auto"/>
        <w:tabs>
          <w:tab w:leader="none" w:pos="4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permits you to revoke all or part of the trust and to have the trust’s assets returned to you, without the consent of any other person (including your spouse).</w:t>
      </w:r>
    </w:p>
    <w:p>
      <w:pPr>
        <w:spacing w:after="0" w:line="162"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4"/>
          <w:szCs w:val="14"/>
          <w:u w:val="single" w:color="auto"/>
          <w:color w:val="auto"/>
        </w:rPr>
        <w: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WILL NOT CHECK TO DETERMINE WHETHER THE FORM OF OWNERSHIP THAT YOU ELECT IN YOUR</w:t>
      </w:r>
      <w:r>
        <w:rPr>
          <w:rFonts w:ascii="Times New Roman" w:cs="Times New Roman" w:eastAsia="Times New Roman" w:hAnsi="Times New Roman"/>
          <w:sz w:val="18"/>
          <w:szCs w:val="18"/>
          <w:u w:val="single" w:color="auto"/>
          <w:color w:val="auto"/>
        </w:rPr>
        <w:t xml:space="preserve"> N</w:t>
      </w:r>
      <w:r>
        <w:rPr>
          <w:rFonts w:ascii="Times New Roman" w:cs="Times New Roman" w:eastAsia="Times New Roman" w:hAnsi="Times New Roman"/>
          <w:sz w:val="14"/>
          <w:szCs w:val="14"/>
          <w:u w:val="single" w:color="auto"/>
          <w:color w:val="auto"/>
        </w:rPr>
        <w:t>OTICE OF</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4"/>
          <w:szCs w:val="14"/>
          <w:u w:val="single" w:color="auto"/>
          <w:color w:val="auto"/>
        </w:rPr>
        <w:t>TOCK</w:t>
      </w:r>
      <w:r>
        <w:rPr>
          <w:rFonts w:ascii="Times New Roman" w:cs="Times New Roman" w:eastAsia="Times New Roman" w:hAnsi="Times New Roman"/>
          <w:sz w:val="18"/>
          <w:szCs w:val="18"/>
          <w:u w:val="single" w:color="auto"/>
          <w:color w:val="auto"/>
        </w:rPr>
        <w:t xml:space="preserve"> O</w:t>
      </w:r>
      <w:r>
        <w:rPr>
          <w:rFonts w:ascii="Times New Roman" w:cs="Times New Roman" w:eastAsia="Times New Roman" w:hAnsi="Times New Roman"/>
          <w:sz w:val="14"/>
          <w:szCs w:val="14"/>
          <w:u w:val="single" w:color="auto"/>
          <w:color w:val="auto"/>
        </w:rPr>
        <w:t>PTION</w:t>
      </w:r>
    </w:p>
    <w:p>
      <w:pPr>
        <w:spacing w:after="0" w:line="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4"/>
          <w:szCs w:val="14"/>
          <w:u w:val="single" w:color="auto"/>
          <w:color w:val="auto"/>
        </w:rPr>
        <w:t>XERCISE IS APPROPRIATE</w:t>
      </w:r>
      <w:r>
        <w:rPr>
          <w:rFonts w:ascii="Times New Roman" w:cs="Times New Roman" w:eastAsia="Times New Roman" w:hAnsi="Times New Roman"/>
          <w:sz w:val="18"/>
          <w:szCs w:val="18"/>
          <w:u w:val="single" w:color="auto"/>
          <w:color w:val="auto"/>
        </w:rPr>
        <w:t>. Y</w:t>
      </w:r>
      <w:r>
        <w:rPr>
          <w:rFonts w:ascii="Times New Roman" w:cs="Times New Roman" w:eastAsia="Times New Roman" w:hAnsi="Times New Roman"/>
          <w:sz w:val="14"/>
          <w:szCs w:val="14"/>
          <w:u w:val="single" w:color="auto"/>
          <w:color w:val="auto"/>
        </w:rPr>
        <w:t>OU SHOULD CONSULT YOUR OWN ADVISERS ON THIS SUBJECT</w:t>
      </w:r>
      <w:r>
        <w:rPr>
          <w:rFonts w:ascii="Times New Roman" w:cs="Times New Roman" w:eastAsia="Times New Roman" w:hAnsi="Times New Roman"/>
          <w:sz w:val="18"/>
          <w:szCs w:val="18"/>
          <w:u w:val="single" w:color="auto"/>
          <w:color w:val="auto"/>
        </w:rPr>
        <w:t>. I</w:t>
      </w:r>
      <w:r>
        <w:rPr>
          <w:rFonts w:ascii="Times New Roman" w:cs="Times New Roman" w:eastAsia="Times New Roman" w:hAnsi="Times New Roman"/>
          <w:sz w:val="14"/>
          <w:szCs w:val="14"/>
          <w:u w:val="single" w:color="auto"/>
          <w:color w:val="auto"/>
        </w:rPr>
        <w:t>F AN INAPPROPRIATE ELECTION IS MADE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 FORM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OWNERSHIP MAY NOT WITHSTAND LEGAL SCRUTINY OR MAY HAVE ADVERSE TAX CONSEQUENCES</w:t>
      </w:r>
      <w:r>
        <w:rPr>
          <w:rFonts w:ascii="Times New Roman" w:cs="Times New Roman" w:eastAsia="Times New Roman" w:hAnsi="Times New Roman"/>
          <w:sz w:val="17"/>
          <w:szCs w:val="17"/>
          <w:u w:val="single" w:color="auto"/>
          <w:color w:val="auto"/>
        </w:rPr>
        <w: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9" w:right="499" w:bottom="1440" w:gutter="0" w:footer="0" w:header="0"/>
        </w:sectPr>
      </w:pPr>
    </w:p>
    <w:bookmarkStart w:id="788" w:name="page789"/>
    <w:bookmarkEnd w:id="78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color w:val="auto"/>
        </w:rPr>
        <w:t>XPLANATION OF</w:t>
      </w:r>
      <w:r>
        <w:rPr>
          <w:rFonts w:ascii="Times New Roman" w:cs="Times New Roman" w:eastAsia="Times New Roman" w:hAnsi="Times New Roman"/>
          <w:sz w:val="18"/>
          <w:szCs w:val="18"/>
          <w:color w:val="auto"/>
        </w:rPr>
        <w:t xml:space="preserve"> U.S. F</w:t>
      </w:r>
      <w:r>
        <w:rPr>
          <w:rFonts w:ascii="Times New Roman" w:cs="Times New Roman" w:eastAsia="Times New Roman" w:hAnsi="Times New Roman"/>
          <w:sz w:val="14"/>
          <w:szCs w:val="14"/>
          <w:color w:val="auto"/>
        </w:rPr>
        <w:t>EDERAL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ONSEQUENCES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(Current as of August 2009)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URPOSE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XPLANATION</w:t>
      </w:r>
    </w:p>
    <w:p>
      <w:pPr>
        <w:spacing w:after="0" w:line="11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tax consequences of exercising your option. For a number of reasons, this explanation is no substitute for personal tax advice:</w:t>
      </w:r>
    </w:p>
    <w:p>
      <w:pPr>
        <w:spacing w:after="0" w:line="69" w:lineRule="exact"/>
        <w:rPr>
          <w:sz w:val="20"/>
          <w:szCs w:val="20"/>
          <w:color w:val="auto"/>
        </w:rPr>
      </w:pPr>
    </w:p>
    <w:p>
      <w:pPr>
        <w:ind w:left="440" w:hanging="433"/>
        <w:spacing w:after="0" w:line="278" w:lineRule="auto"/>
        <w:tabs>
          <w:tab w:leader="none" w:pos="44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tax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tax situation may well be different from the norm.</w:t>
      </w:r>
    </w:p>
    <w:p>
      <w:pPr>
        <w:spacing w:after="0" w:line="127" w:lineRule="exact"/>
        <w:rPr>
          <w:rFonts w:ascii="Times New Roman" w:cs="Times New Roman" w:eastAsia="Times New Roman" w:hAnsi="Times New Roman"/>
          <w:sz w:val="18"/>
          <w:szCs w:val="18"/>
          <w:color w:val="auto"/>
        </w:rPr>
      </w:pPr>
    </w:p>
    <w:p>
      <w:pPr>
        <w:ind w:left="440" w:right="120" w:hanging="433"/>
        <w:spacing w:after="0" w:line="278" w:lineRule="auto"/>
        <w:tabs>
          <w:tab w:leader="none" w:pos="44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income taxes are not addressed at all, even though they could have a significant impact on your tax planning. Likewise, federal gift and estate taxes and state inheritance taxes are not discussed.</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planning involving incentive stock options is exceedingly complex, in part because of the possible application of the alternative minimum tax.</w:t>
      </w:r>
    </w:p>
    <w:p>
      <w:pPr>
        <w:spacing w:after="0" w:line="138" w:lineRule="exact"/>
        <w:rPr>
          <w:rFonts w:ascii="Times New Roman" w:cs="Times New Roman" w:eastAsia="Times New Roman" w:hAnsi="Times New Roman"/>
          <w:sz w:val="17"/>
          <w:szCs w:val="17"/>
          <w:color w:val="auto"/>
        </w:rPr>
      </w:pPr>
    </w:p>
    <w:p>
      <w:pPr>
        <w:ind w:left="440" w:right="80" w:hanging="433"/>
        <w:spacing w:after="0" w:line="308" w:lineRule="auto"/>
        <w:tabs>
          <w:tab w:leader="none" w:pos="440"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46" w:lineRule="exact"/>
        <w:rPr>
          <w:rFonts w:ascii="Times New Roman" w:cs="Times New Roman" w:eastAsia="Times New Roman" w:hAnsi="Times New Roman"/>
          <w:sz w:val="17"/>
          <w:szCs w:val="17"/>
          <w:color w:val="auto"/>
        </w:rPr>
      </w:pPr>
    </w:p>
    <w:p>
      <w:pPr>
        <w:ind w:left="440" w:hanging="433"/>
        <w:spacing w:after="0"/>
        <w:tabs>
          <w:tab w:leader="none" w:pos="44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rules change often, and the Company is not responsible for updating this summary. (Please refer to the date at the top of this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4"/>
          <w:szCs w:val="14"/>
          <w:u w:val="single" w:color="auto"/>
          <w:color w:val="auto"/>
        </w:rPr>
        <w:t>OR THESE REASONS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4"/>
          <w:szCs w:val="14"/>
          <w:u w:val="single" w:color="auto"/>
          <w:color w:val="auto"/>
        </w:rPr>
        <w:t>OMPANY STRONGLY ENCOURAGES YOU TO CONSULT YOUR OWN TAX ADVISER BEFORE EXERCISING YOUR OPTION</w:t>
      </w:r>
      <w:r>
        <w:rPr>
          <w:rFonts w:ascii="Times New Roman" w:cs="Times New Roman" w:eastAsia="Times New Roman" w:hAnsi="Times New Roman"/>
          <w:sz w:val="18"/>
          <w:szCs w:val="18"/>
          <w:u w:val="single" w:color="auto"/>
          <w:color w:val="auto"/>
        </w:rPr>
        <w: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IMIT ON</w:t>
      </w:r>
      <w:r>
        <w:rPr>
          <w:rFonts w:ascii="Times New Roman" w:cs="Times New Roman" w:eastAsia="Times New Roman" w:hAnsi="Times New Roman"/>
          <w:sz w:val="18"/>
          <w:szCs w:val="18"/>
          <w:color w:val="auto"/>
        </w:rPr>
        <w:t xml:space="preserve"> ISO T</w:t>
      </w:r>
      <w:r>
        <w:rPr>
          <w:rFonts w:ascii="Times New Roman" w:cs="Times New Roman" w:eastAsia="Times New Roman" w:hAnsi="Times New Roman"/>
          <w:sz w:val="14"/>
          <w:szCs w:val="14"/>
          <w:color w:val="auto"/>
        </w:rPr>
        <w:t>REATMENT</w:t>
      </w:r>
    </w:p>
    <w:p>
      <w:pPr>
        <w:spacing w:after="0" w:line="11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For example, assume that you hold an option to buy 60,000 shares for $8 per share. Assume further that the entire option becomes exercisable in four equal annual installments. Only the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8" w:right="539" w:bottom="1440" w:gutter="0" w:footer="0" w:header="0"/>
        </w:sectPr>
      </w:pPr>
    </w:p>
    <w:bookmarkStart w:id="789" w:name="page790"/>
    <w:bookmarkEnd w:id="789"/>
    <w:p>
      <w:pPr>
        <w:ind w:right="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first 50,000 shares qualify for ISO treatment. (12,500 times $8 equals $100,000.) The remaining 10,000 shares will be treated as if they had been acquired by exercising an NSO. This is true regardless of when the option is actually exercised; what matters is when it first could have been exercised.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NSO</w:t>
      </w:r>
    </w:p>
    <w:p>
      <w:pPr>
        <w:spacing w:after="0" w:line="1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 are exercising an NSO, you will be taxed now.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their fair market value on the date of exercise.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NSO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When you dispose of the Purchased Shares, you will recognize a capital gain equal to the excess of (a) the sale proceeds over (b) your tax basis in the Purchased Shares. As described above, your tax basis in the Purchased Shares is equal to their fair market value on the date of exercise.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15% under current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XERCISE OF</w:t>
      </w:r>
      <w:r>
        <w:rPr>
          <w:rFonts w:ascii="Times New Roman" w:cs="Times New Roman" w:eastAsia="Times New Roman" w:hAnsi="Times New Roman"/>
          <w:sz w:val="18"/>
          <w:szCs w:val="18"/>
          <w:color w:val="auto"/>
        </w:rPr>
        <w:t xml:space="preserve"> ISO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ISO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ERIODS</w:t>
      </w:r>
    </w:p>
    <w:p>
      <w:pPr>
        <w:spacing w:after="0" w:line="114"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If you are exercising an ISO, you will not be taxed under the regular tax rules until you dispose of the Purchased Shares.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alternative minimum tax rules are described below.) The tax treatment at the time of disposition depends on how long you hold the shares. You will satisfy the ISO holding periods if you hold the Purchased Shares until the later of the following dates:</w:t>
      </w:r>
    </w:p>
    <w:p>
      <w:pPr>
        <w:spacing w:after="0" w:line="103" w:lineRule="exact"/>
        <w:rPr>
          <w:sz w:val="20"/>
          <w:szCs w:val="20"/>
          <w:color w:val="auto"/>
        </w:rPr>
      </w:pPr>
    </w:p>
    <w:p>
      <w:pPr>
        <w:ind w:left="440" w:hanging="433"/>
        <w:spacing w:after="0"/>
        <w:tabs>
          <w:tab w:leader="none" w:pos="4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two years after the ISO was granted, and</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one year after the ISO is exercised.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ISPOSITION OF</w:t>
      </w:r>
      <w:r>
        <w:rPr>
          <w:rFonts w:ascii="Times New Roman" w:cs="Times New Roman" w:eastAsia="Times New Roman" w:hAnsi="Times New Roman"/>
          <w:sz w:val="18"/>
          <w:szCs w:val="18"/>
          <w:color w:val="auto"/>
        </w:rPr>
        <w:t xml:space="preserve"> ISO S</w:t>
      </w:r>
      <w:r>
        <w:rPr>
          <w:rFonts w:ascii="Times New Roman" w:cs="Times New Roman" w:eastAsia="Times New Roman" w:hAnsi="Times New Roman"/>
          <w:sz w:val="14"/>
          <w:szCs w:val="14"/>
          <w:color w:val="auto"/>
        </w:rPr>
        <w:t>HARES</w:t>
      </w:r>
    </w:p>
    <w:p>
      <w:pPr>
        <w:spacing w:after="0" w:line="1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If you dispose of the Purchased Shares after satisfying both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15% under current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6454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69" w:lineRule="exact"/>
        <w:rPr>
          <w:sz w:val="20"/>
          <w:szCs w:val="20"/>
          <w:color w:val="auto"/>
        </w:rPr>
      </w:pPr>
    </w:p>
    <w:p>
      <w:pPr>
        <w:ind w:left="440" w:right="60" w:hanging="433"/>
        <w:spacing w:after="0" w:line="225" w:lineRule="auto"/>
        <w:tabs>
          <w:tab w:leader="none" w:pos="440" w:val="left"/>
        </w:tabs>
        <w:numPr>
          <w:ilvl w:val="0"/>
          <w:numId w:val="5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9" w:right="559" w:bottom="1440" w:gutter="0" w:footer="0" w:header="0"/>
        </w:sectPr>
      </w:pPr>
    </w:p>
    <w:bookmarkStart w:id="790" w:name="page791"/>
    <w:bookmarkEnd w:id="790"/>
    <w:p>
      <w:pPr>
        <w:ind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w:t>
      </w:r>
    </w:p>
    <w:p>
      <w:pPr>
        <w:ind w:right="260" w:firstLine="7"/>
        <w:spacing w:after="0" w:line="256" w:lineRule="auto"/>
        <w:tabs>
          <w:tab w:leader="none" w:pos="252"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spacing w:after="0" w:line="18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Your tax basis in the Purchased Shares will be equal to their fair market value on the date of exercise. Any gain in excess of your basis will be taxed as a capital gain—either long-term or short-term, depending on how long you held the Purchased Shares after the date of exercise.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UMMARY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LTERNATIVE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INIMUM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p>
    <w:p>
      <w:pPr>
        <w:spacing w:after="0" w:line="114" w:lineRule="exact"/>
        <w:rPr>
          <w:sz w:val="20"/>
          <w:szCs w:val="20"/>
          <w:color w:val="auto"/>
        </w:rPr>
      </w:pPr>
    </w:p>
    <w:p>
      <w:pPr>
        <w:jc w:val="both"/>
        <w:ind w:right="300"/>
        <w:spacing w:after="0" w:line="285" w:lineRule="auto"/>
        <w:rPr>
          <w:sz w:val="20"/>
          <w:szCs w:val="20"/>
          <w:color w:val="auto"/>
        </w:rPr>
      </w:pPr>
      <w:r>
        <w:rPr>
          <w:rFonts w:ascii="Times New Roman" w:cs="Times New Roman" w:eastAsia="Times New Roman" w:hAnsi="Times New Roman"/>
          <w:sz w:val="17"/>
          <w:szCs w:val="17"/>
          <w:color w:val="auto"/>
        </w:rPr>
        <w:t>The alternative minimum tax (AMT) must be paid if it exceeds your regular income tax. The AMT is equal to 26% of your alternative minimum tax base up to $175,000 and 28% of the excess over $175,000. (In the case of married individuals filing separately, the breakpoint is $87,500 rather than $175,000.) Your alternative minimum tax base is equal to your alternative minimum taxable income (AMTI) minus your exemption amount.</w:t>
      </w:r>
    </w:p>
    <w:p>
      <w:pPr>
        <w:spacing w:after="0" w:line="66" w:lineRule="exact"/>
        <w:rPr>
          <w:sz w:val="20"/>
          <w:szCs w:val="20"/>
          <w:color w:val="auto"/>
        </w:rPr>
      </w:pPr>
    </w:p>
    <w:p>
      <w:pPr>
        <w:ind w:left="440" w:right="40" w:hanging="433"/>
        <w:spacing w:after="0" w:line="278" w:lineRule="auto"/>
        <w:tabs>
          <w:tab w:leader="none" w:pos="44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native Minimum Taxable Income. Your AMTI is equal to your regular taxable income, subject to certain adjustments and increased by items of tax preference. Among the many adjustments made in computing AMTI are the following:</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and property taxes are not allowed as a deduction.</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itemized deductions are not allowed.</w:t>
      </w:r>
    </w:p>
    <w:p>
      <w:pPr>
        <w:spacing w:after="0" w:line="127" w:lineRule="exact"/>
        <w:rPr>
          <w:rFonts w:ascii="Times New Roman" w:cs="Times New Roman" w:eastAsia="Times New Roman" w:hAnsi="Times New Roman"/>
          <w:sz w:val="18"/>
          <w:szCs w:val="18"/>
          <w:color w:val="auto"/>
        </w:rPr>
      </w:pPr>
    </w:p>
    <w:p>
      <w:pPr>
        <w:ind w:left="980" w:hanging="545"/>
        <w:spacing w:after="0" w:line="278" w:lineRule="auto"/>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expenses are not allowed as a deduction until they exceed 10% of adjusted gross income (as opposed to the 7.5% floor that applies to regular income taxes).</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interest deductions are not allowed.</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deduction and personal exemptions are not allowed.</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ISO is exercised, the spread is treated as if the option were an NSO. (See discussion below.)</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791" w:name="page792"/>
    <w:bookmarkEnd w:id="791"/>
    <w:p>
      <w:pPr>
        <w:ind w:left="440" w:right="500" w:hanging="433"/>
        <w:spacing w:after="0" w:line="278" w:lineRule="auto"/>
        <w:tabs>
          <w:tab w:leader="none" w:pos="44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Exemption Amount. Before AMT is calculated, AMTI is reduced by the exemption amount. Under current law, the exemption amount is as follows:</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w:t>
            </w:r>
          </w:p>
        </w:tc>
        <w:tc>
          <w:tcPr>
            <w:tcW w:w="2980" w:type="dxa"/>
            <w:vAlign w:val="bottom"/>
            <w:gridSpan w:val="3"/>
          </w:tcPr>
          <w:p>
            <w:pPr>
              <w:ind w:left="2180"/>
              <w:spacing w:after="0"/>
              <w:rPr>
                <w:sz w:val="20"/>
                <w:szCs w:val="20"/>
                <w:color w:val="auto"/>
              </w:rPr>
            </w:pPr>
            <w:r>
              <w:rPr>
                <w:rFonts w:ascii="Times New Roman" w:cs="Times New Roman" w:eastAsia="Times New Roman" w:hAnsi="Times New Roman"/>
                <w:sz w:val="14"/>
                <w:szCs w:val="14"/>
                <w:color w:val="auto"/>
                <w:w w:val="99"/>
              </w:rPr>
              <w:t>Joint Returns:</w:t>
            </w:r>
          </w:p>
        </w:tc>
        <w:tc>
          <w:tcPr>
            <w:tcW w:w="15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Single Returns:</w:t>
            </w:r>
          </w:p>
        </w:tc>
        <w:tc>
          <w:tcPr>
            <w:tcW w:w="1660" w:type="dxa"/>
            <w:vAlign w:val="bottom"/>
            <w:gridSpan w:val="4"/>
          </w:tcPr>
          <w:p>
            <w:pPr>
              <w:ind w:left="580"/>
              <w:spacing w:after="0"/>
              <w:rPr>
                <w:sz w:val="20"/>
                <w:szCs w:val="20"/>
                <w:color w:val="auto"/>
              </w:rPr>
            </w:pPr>
            <w:r>
              <w:rPr>
                <w:rFonts w:ascii="Times New Roman" w:cs="Times New Roman" w:eastAsia="Times New Roman" w:hAnsi="Times New Roman"/>
                <w:sz w:val="14"/>
                <w:szCs w:val="14"/>
                <w:color w:val="auto"/>
              </w:rPr>
              <w:t>Separate Returns:</w:t>
            </w: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23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46,700</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35,475</w:t>
            </w:r>
          </w:p>
        </w:tc>
        <w:tc>
          <w:tcPr>
            <w:tcW w:w="60" w:type="dxa"/>
            <w:vAlign w:val="bottom"/>
            <w:shd w:val="clear" w:color="auto" w:fill="CCEEFF"/>
          </w:tcPr>
          <w:p>
            <w:pPr>
              <w:spacing w:after="0"/>
              <w:rPr>
                <w:sz w:val="18"/>
                <w:szCs w:val="18"/>
                <w:color w:val="auto"/>
              </w:rPr>
            </w:pPr>
          </w:p>
        </w:tc>
      </w:tr>
      <w:tr>
        <w:trPr>
          <w:trHeight w:val="352"/>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2009</w:t>
            </w:r>
            <w:r>
              <w:rPr>
                <w:rFonts w:ascii="Times New Roman" w:cs="Times New Roman" w:eastAsia="Times New Roman" w:hAnsi="Times New Roman"/>
                <w:sz w:val="26"/>
                <w:szCs w:val="26"/>
                <w:color w:val="auto"/>
                <w:vertAlign w:val="superscript"/>
              </w:rPr>
              <w:t>2</w:t>
            </w:r>
          </w:p>
        </w:tc>
        <w:tc>
          <w:tcPr>
            <w:tcW w:w="23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60" w:type="dxa"/>
            <w:vAlign w:val="bottom"/>
          </w:tcPr>
          <w:p>
            <w:pPr>
              <w:spacing w:after="0"/>
              <w:rPr>
                <w:sz w:val="24"/>
                <w:szCs w:val="24"/>
                <w:color w:val="auto"/>
              </w:rPr>
            </w:pPr>
          </w:p>
        </w:tc>
      </w:tr>
    </w:tbl>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exemption amount is phased out by 25 cents for each $1 by which AMTI exceeds the following levels:</w:t>
      </w:r>
    </w:p>
    <w:p>
      <w:pPr>
        <w:spacing w:after="0" w:line="248" w:lineRule="exact"/>
        <w:rPr>
          <w:sz w:val="20"/>
          <w:szCs w:val="20"/>
          <w:color w:val="auto"/>
        </w:rPr>
      </w:pPr>
    </w:p>
    <w:p>
      <w:pPr>
        <w:ind w:left="880"/>
        <w:spacing w:after="0"/>
        <w:tabs>
          <w:tab w:leader="none" w:pos="5300" w:val="left"/>
          <w:tab w:leader="none" w:pos="8140" w:val="left"/>
        </w:tabs>
        <w:rPr>
          <w:sz w:val="20"/>
          <w:szCs w:val="20"/>
          <w:color w:val="auto"/>
        </w:rPr>
      </w:pPr>
      <w:r>
        <w:rPr>
          <w:rFonts w:ascii="Times New Roman" w:cs="Times New Roman" w:eastAsia="Times New Roman" w:hAnsi="Times New Roman"/>
          <w:sz w:val="18"/>
          <w:szCs w:val="18"/>
          <w:color w:val="auto"/>
        </w:rPr>
        <w:t>Joint Returns: $150,000</w:t>
      </w:r>
      <w:r>
        <w:rPr>
          <w:sz w:val="20"/>
          <w:szCs w:val="20"/>
          <w:color w:val="auto"/>
        </w:rPr>
        <w:tab/>
      </w:r>
      <w:r>
        <w:rPr>
          <w:rFonts w:ascii="Times New Roman" w:cs="Times New Roman" w:eastAsia="Times New Roman" w:hAnsi="Times New Roman"/>
          <w:sz w:val="18"/>
          <w:szCs w:val="18"/>
          <w:color w:val="auto"/>
        </w:rPr>
        <w:t>Single Returns: $112,500</w:t>
      </w:r>
      <w:r>
        <w:rPr>
          <w:sz w:val="20"/>
          <w:szCs w:val="20"/>
          <w:color w:val="auto"/>
        </w:rPr>
        <w:tab/>
      </w:r>
      <w:r>
        <w:rPr>
          <w:rFonts w:ascii="Times New Roman" w:cs="Times New Roman" w:eastAsia="Times New Roman" w:hAnsi="Times New Roman"/>
          <w:sz w:val="17"/>
          <w:szCs w:val="17"/>
          <w:color w:val="auto"/>
        </w:rPr>
        <w:t>Separate Returns: $75,000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-119380</wp:posOffset>
            </wp:positionV>
            <wp:extent cx="5817235" cy="135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spacing w:after="0" w:line="201" w:lineRule="exact"/>
        <w:rPr>
          <w:sz w:val="20"/>
          <w:szCs w:val="20"/>
          <w:color w:val="auto"/>
        </w:rPr>
      </w:pPr>
    </w:p>
    <w:p>
      <w:pPr>
        <w:ind w:left="440" w:right="260"/>
        <w:spacing w:after="0" w:line="278" w:lineRule="auto"/>
        <w:rPr>
          <w:sz w:val="20"/>
          <w:szCs w:val="20"/>
          <w:color w:val="auto"/>
        </w:rPr>
      </w:pPr>
      <w:r>
        <w:rPr>
          <w:rFonts w:ascii="Times New Roman" w:cs="Times New Roman" w:eastAsia="Times New Roman" w:hAnsi="Times New Roman"/>
          <w:sz w:val="18"/>
          <w:szCs w:val="18"/>
          <w:color w:val="auto"/>
        </w:rPr>
        <w:t>This means, for example, that the entire $70,950 exemption amount disappears for married individuals filing joint returns when AMTI reaches $433,800.</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18"/>
          <w:szCs w:val="18"/>
          <w:color w:val="auto"/>
        </w:rPr>
        <w:t xml:space="preserve"> AMT W</w:t>
      </w:r>
      <w:r>
        <w:rPr>
          <w:rFonts w:ascii="Times New Roman" w:cs="Times New Roman" w:eastAsia="Times New Roman" w:hAnsi="Times New Roman"/>
          <w:sz w:val="14"/>
          <w:szCs w:val="14"/>
          <w:color w:val="auto"/>
        </w:rPr>
        <w:t>HEN</w:t>
      </w:r>
      <w:r>
        <w:rPr>
          <w:rFonts w:ascii="Times New Roman" w:cs="Times New Roman" w:eastAsia="Times New Roman" w:hAnsi="Times New Roman"/>
          <w:sz w:val="18"/>
          <w:szCs w:val="18"/>
          <w:color w:val="auto"/>
        </w:rPr>
        <w:t xml:space="preserve"> ISO I</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XERCISED</w:t>
      </w:r>
    </w:p>
    <w:p>
      <w:pPr>
        <w:spacing w:after="0" w:line="11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As noted above, when an ISO is exercised, the spread is treated for AMT purposes as if the option were an NSO. In other words, the spread is included in AMTI at the time of exercise.</w:t>
      </w:r>
    </w:p>
    <w:p>
      <w:pPr>
        <w:spacing w:after="0" w:line="16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26"/>
          <w:szCs w:val="26"/>
          <w:color w:val="auto"/>
          <w:vertAlign w:val="superscript"/>
        </w:rPr>
        <w:t>3</w:t>
      </w:r>
    </w:p>
    <w:p>
      <w:pPr>
        <w:spacing w:after="0" w:line="4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is equal to the exercise price; it does not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238760</wp:posOffset>
            </wp:positionV>
            <wp:extent cx="76454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01" w:lineRule="exact"/>
        <w:rPr>
          <w:sz w:val="20"/>
          <w:szCs w:val="20"/>
          <w:color w:val="auto"/>
        </w:rPr>
      </w:pPr>
    </w:p>
    <w:p>
      <w:pPr>
        <w:ind w:left="440" w:hanging="433"/>
        <w:spacing w:after="0"/>
        <w:tabs>
          <w:tab w:leader="none" w:pos="440" w:val="left"/>
        </w:tabs>
        <w:numPr>
          <w:ilvl w:val="0"/>
          <w:numId w:val="5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assumes that Congress does not extend AMT relief, as it has done annually in prior years.</w:t>
      </w:r>
    </w:p>
    <w:p>
      <w:pPr>
        <w:spacing w:after="0" w:line="1" w:lineRule="exact"/>
        <w:rPr>
          <w:sz w:val="20"/>
          <w:szCs w:val="20"/>
          <w:color w:val="auto"/>
        </w:rPr>
      </w:pPr>
    </w:p>
    <w:p>
      <w:pPr>
        <w:ind w:left="440" w:hanging="433"/>
        <w:spacing w:after="0" w:line="198" w:lineRule="auto"/>
        <w:tabs>
          <w:tab w:leader="none" w:pos="440" w:val="left"/>
        </w:tabs>
        <w:numPr>
          <w:ilvl w:val="0"/>
          <w:numId w:val="5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9" w:right="539" w:bottom="1440" w:gutter="0" w:footer="0" w:header="0"/>
        </w:sectPr>
      </w:pPr>
    </w:p>
    <w:bookmarkStart w:id="792" w:name="page793"/>
    <w:bookmarkEnd w:id="7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409A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EVENUE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ODE</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your option were found to be subject to section 409A, then you would be required to recognize ordinary income whenever a portion of your option vests (i.e. becomes exercisable). The amount of ordinary income would be equal to the fair market value of the shares at the time of vesting minus the exercise price of the shares. This amount would also be subject to a 20% federal tax in addition to the federal income tax at your usual marginal rate for ordinary income.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ISCLAIMER</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t>
      </w:r>
      <w:r>
        <w:rPr>
          <w:rFonts w:ascii="Times New Roman" w:cs="Times New Roman" w:eastAsia="Times New Roman" w:hAnsi="Times New Roman"/>
          <w:sz w:val="18"/>
          <w:szCs w:val="18"/>
          <w:color w:val="auto"/>
        </w:rPr>
        <w:t xml:space="preserve"> IRS C</w:t>
      </w:r>
      <w:r>
        <w:rPr>
          <w:rFonts w:ascii="Times New Roman" w:cs="Times New Roman" w:eastAsia="Times New Roman" w:hAnsi="Times New Roman"/>
          <w:sz w:val="14"/>
          <w:szCs w:val="14"/>
          <w:color w:val="auto"/>
        </w:rPr>
        <w:t>IRCULAR</w:t>
      </w:r>
      <w:r>
        <w:rPr>
          <w:rFonts w:ascii="Times New Roman" w:cs="Times New Roman" w:eastAsia="Times New Roman" w:hAnsi="Times New Roman"/>
          <w:sz w:val="18"/>
          <w:szCs w:val="18"/>
          <w:color w:val="auto"/>
        </w:rPr>
        <w:t xml:space="preserve"> 230</w:t>
      </w:r>
    </w:p>
    <w:p>
      <w:pPr>
        <w:spacing w:after="0" w:line="221"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To comply with IRS rules, you are hereby notified that the foregoing summary was not intended or written in order to be used, and it cannot be used by any taxpayer, for the purpose of avoiding penalties that may be imposed on the taxpayer. In addition, if the foregoing summary would otherwise be considered a “marketed opinion” under the IRS rules, you are hereby notified that the advice was written to support the promotion or marketing of the transactions or matters addressed by the summary. The tax consequences of options will vary depending on the specific circumstances of each taxpayer. Therefore, each taxpayer should seek advice from an independent tax adviser.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9" w:right="539" w:bottom="1440" w:gutter="0" w:footer="0" w:header="0"/>
        </w:sectPr>
      </w:pPr>
    </w:p>
    <w:bookmarkStart w:id="793" w:name="page794"/>
    <w:bookmarkEnd w:id="79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Transferee is acquiring shares of the Common Stock of Omada Health, Inc. on the following terms:</w:t>
      </w:r>
    </w:p>
    <w:p>
      <w:pPr>
        <w:sectPr>
          <w:pgSz w:w="11900" w:h="16838" w:orient="portrait"/>
          <w:cols w:equalWidth="0" w:num="1">
            <w:col w:w="10880"/>
          </w:cols>
          <w:pgMar w:left="480" w:top="265" w:right="539" w:bottom="1440" w:gutter="0" w:footer="0" w:header="0"/>
        </w:sect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Name of Transferee: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3540" w:space="720"/>
            <w:col w:w="6620"/>
          </w:cols>
          <w:pgMar w:left="480" w:top="265" w:right="5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Total Number of Transferred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3540" w:space="720"/>
            <w:col w:w="6620"/>
          </w:cols>
          <w:pgMar w:left="480" w:top="265" w:right="5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Date of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3540" w:space="720"/>
            <w:col w:w="6620"/>
          </w:cols>
          <w:pgMar w:left="480" w:top="265" w:right="5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3540" w:space="720"/>
            <w:col w:w="6620"/>
          </w:cols>
          <w:pgMar w:left="480" w:top="265" w:right="5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200" w:lineRule="exact"/>
        <w:rPr>
          <w:sz w:val="20"/>
          <w:szCs w:val="20"/>
          <w:color w:val="auto"/>
        </w:rPr>
      </w:pPr>
    </w:p>
    <w:p>
      <w:pPr>
        <w:sectPr>
          <w:pgSz w:w="11900" w:h="16838" w:orient="portrait"/>
          <w:cols w:equalWidth="0" w:num="2">
            <w:col w:w="3540" w:space="720"/>
            <w:col w:w="6620"/>
          </w:cols>
          <w:pgMar w:left="480" w:top="265" w:right="539" w:bottom="1440" w:gutter="0" w:footer="0" w:header="0"/>
          <w:type w:val="continuous"/>
        </w:sectPr>
      </w:pPr>
    </w:p>
    <w:p>
      <w:pPr>
        <w:spacing w:after="0" w:line="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By Transferee’s acceptance of this Option, the Transferee and the Company agree that the acquisition of the Transferred Shares is governed by the terms and conditions of the 2011 Stock Plan and the Stock Grant Agreement. Both of these documents are attached to, and made a part of, this Summary of Stock Grant. The Transferee agrees to accept by email or electronic means all documents relating to the Company, the Plan or this grant and all other documents that the Company is required to deliver to its security holders (including, without limitation, disclosures that may be required by the Securities and Exchange Commission). The Transferee also agrees that the Company may deliver these documents by posting them on a website maintained by the Company or by a third party under contract with the Company. If the Company posts these documents on a website, it shall notify the Transferee by email of their availability. The Transferee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the Transferee gives the Company written notice that it should deliver paper documents.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RANSFEREE</w:t>
            </w:r>
            <w:r>
              <w:rPr>
                <w:rFonts w:ascii="Times New Roman" w:cs="Times New Roman" w:eastAsia="Times New Roman" w:hAnsi="Times New Roman"/>
                <w:sz w:val="18"/>
                <w:szCs w:val="18"/>
                <w:b w:val="1"/>
                <w:bCs w:val="1"/>
                <w:color w:val="auto"/>
              </w:rPr>
              <w:t>:</w:t>
            </w:r>
          </w:p>
        </w:tc>
        <w:tc>
          <w:tcPr>
            <w:tcW w:w="2780" w:type="dxa"/>
            <w:vAlign w:val="bottom"/>
            <w:gridSpan w:val="9"/>
          </w:tcPr>
          <w:p>
            <w:pPr>
              <w:ind w:left="98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20" w:type="dxa"/>
            <w:vAlign w:val="bottom"/>
          </w:tcPr>
          <w:p>
            <w:pPr>
              <w:spacing w:after="0"/>
              <w:rPr>
                <w:sz w:val="24"/>
                <w:szCs w:val="24"/>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6"/>
              </w:rPr>
              <w:t>By: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4"/>
                <w:szCs w:val="24"/>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Address for Mailing Stock Certificate:</w:t>
            </w:r>
          </w:p>
        </w:tc>
        <w:tc>
          <w:tcPr>
            <w:tcW w:w="820" w:type="dxa"/>
            <w:vAlign w:val="bottom"/>
          </w:tcPr>
          <w:p>
            <w:pPr>
              <w:spacing w:after="0"/>
              <w:rPr>
                <w:sz w:val="21"/>
                <w:szCs w:val="21"/>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75"/>
              </w:rPr>
              <w:t>Title: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1"/>
                <w:szCs w:val="21"/>
                <w:color w:val="auto"/>
              </w:rPr>
            </w:pPr>
          </w:p>
        </w:tc>
      </w:tr>
      <w:tr>
        <w:trPr>
          <w:trHeight w:val="234"/>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r>
      <w:tr>
        <w:trPr>
          <w:trHeight w:val="221"/>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ectPr>
          <w:pgSz w:w="11900" w:h="16838" w:orient="portrait"/>
          <w:cols w:equalWidth="0" w:num="1">
            <w:col w:w="10880"/>
          </w:cols>
          <w:pgMar w:left="480" w:top="265" w:right="539" w:bottom="1440" w:gutter="0" w:footer="0" w:header="0"/>
          <w:type w:val="continuous"/>
        </w:sectPr>
      </w:pPr>
    </w:p>
    <w:bookmarkStart w:id="794" w:name="page795"/>
    <w:bookmarkEnd w:id="7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MADA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ACQUISITION OF SHARES.</w:t>
      </w:r>
    </w:p>
    <w:p>
      <w:pPr>
        <w:spacing w:after="0" w:line="114" w:lineRule="exact"/>
        <w:rPr>
          <w:sz w:val="20"/>
          <w:szCs w:val="20"/>
          <w:color w:val="auto"/>
        </w:rPr>
      </w:pPr>
    </w:p>
    <w:p>
      <w:pPr>
        <w:ind w:right="100" w:firstLine="982"/>
        <w:spacing w:after="0" w:line="26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On the terms and conditions set forth in the Summary of Stock Grant and this Agreement, the Company agrees to transfer to the Transferee the number of Shares set forth in the Summary of Stock Grant. The transfer shall occur at the offices of the Company on the date of transfer set forth in the Summary of Stock Grant or at such other place and time as the parties may agree.</w:t>
      </w:r>
    </w:p>
    <w:p>
      <w:pPr>
        <w:spacing w:after="0" w:line="170"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Transferee and the Company agree that the Transferred Shares are being issued to the Transferee as consideration for a portion of the services performed by the Transferee for the Company. The value of such portion is agreed to be not less than 100% of the Fair Market Value of the Transferred Shares.</w:t>
      </w:r>
    </w:p>
    <w:p>
      <w:pPr>
        <w:spacing w:after="0" w:line="170" w:lineRule="exact"/>
        <w:rPr>
          <w:sz w:val="20"/>
          <w:szCs w:val="20"/>
          <w:color w:val="auto"/>
        </w:rPr>
      </w:pPr>
    </w:p>
    <w:p>
      <w:pPr>
        <w:ind w:right="4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The transfer of the Transferred Shares is subject to the Plan, a copy of which the Transferee acknowledges having received. The provisions of the Plan are incorporated into this Agreement by this reference. Capitalized terms are defined in Section 12 of this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FORFEITURE CONDITION.</w:t>
      </w:r>
    </w:p>
    <w:p>
      <w:pPr>
        <w:spacing w:after="0" w:line="114"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Scope of Forfeiture Condition</w:t>
      </w:r>
      <w:r>
        <w:rPr>
          <w:rFonts w:ascii="Times New Roman" w:cs="Times New Roman" w:eastAsia="Times New Roman" w:hAnsi="Times New Roman"/>
          <w:sz w:val="18"/>
          <w:szCs w:val="18"/>
          <w:color w:val="auto"/>
        </w:rPr>
        <w:t>. All Transferred Shares initially shall be Restricted Shares and shall be subject to forfeiture to the Company. The Transferee shall not transfer, assign, encumber or otherwise dispose of any Restricted Shares without the Company’s written consent, except as provided in the following sentence. The Transferee may transfer Restricted Shares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Restricted Shares, then this Agreement shall apply to the Subsequent Transferee to the same extent as to the Transferee.</w:t>
      </w:r>
    </w:p>
    <w:p>
      <w:pPr>
        <w:spacing w:after="0" w:line="178" w:lineRule="exact"/>
        <w:rPr>
          <w:sz w:val="20"/>
          <w:szCs w:val="20"/>
          <w:color w:val="auto"/>
        </w:rPr>
      </w:pPr>
    </w:p>
    <w:p>
      <w:pPr>
        <w:ind w:right="80" w:firstLine="982"/>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Forfeiture Condition shall lapse and the Restricted Shares shall become vested in accordance with the vesting schedule set forth in the Summary of Stock Grant. In addition, if the Company is subject to a Change in Control before the Optionee’s Service terminates and the Transferee is subject to an Involuntary Termination within 12 months after the Change in Control, the Forfeiture Condition shall lapse with respect to 100% of the Restricted Shares.</w:t>
      </w:r>
    </w:p>
    <w:p>
      <w:pPr>
        <w:sectPr>
          <w:pgSz w:w="11900" w:h="16838" w:orient="portrait"/>
          <w:cols w:equalWidth="0" w:num="1">
            <w:col w:w="10900"/>
          </w:cols>
          <w:pgMar w:left="480" w:top="265" w:right="519" w:bottom="1440" w:gutter="0" w:footer="0" w:header="0"/>
        </w:sectPr>
      </w:pPr>
    </w:p>
    <w:bookmarkStart w:id="795" w:name="page796"/>
    <w:bookmarkEnd w:id="795"/>
    <w:p>
      <w:pPr>
        <w:ind w:right="220" w:firstLine="98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Times New Roman" w:cs="Times New Roman" w:eastAsia="Times New Roman" w:hAnsi="Times New Roman"/>
          <w:sz w:val="18"/>
          <w:szCs w:val="18"/>
          <w:b w:val="1"/>
          <w:bCs w:val="1"/>
          <w:color w:val="auto"/>
        </w:rPr>
        <w:t>Execution of Forfeiture</w:t>
      </w:r>
      <w:r>
        <w:rPr>
          <w:rFonts w:ascii="Times New Roman" w:cs="Times New Roman" w:eastAsia="Times New Roman" w:hAnsi="Times New Roman"/>
          <w:sz w:val="18"/>
          <w:szCs w:val="18"/>
          <w:color w:val="auto"/>
        </w:rPr>
        <w:t>. The Forfeiture Condition shall be applicable only if the Transferee’s Service terminates for any reason, with or without cause, including (without limitation) death or disability, before all Restricted Shares have become vested. In the event that the Transferee’s Service terminates for any reason, the certificate(s) representing any remaining Restricted Shares shall be delivered to the Company. The Company shall make no payment for Restricted Shares that are forfeited.</w:t>
      </w:r>
    </w:p>
    <w:p>
      <w:pPr>
        <w:spacing w:after="0" w:line="176"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Additional Shares or Substituted Securities</w:t>
      </w:r>
      <w:r>
        <w:rPr>
          <w:rFonts w:ascii="Times New Roman" w:cs="Times New Roman" w:eastAsia="Times New Roman" w:hAnsi="Times New Roman"/>
          <w:sz w:val="18"/>
          <w:szCs w:val="18"/>
          <w:color w:val="auto"/>
        </w:rPr>
        <w:t>. In the event of the declaration of a stock dividend, the declaration of an extraordinary dividend payable in a form other than stock, a spin-off, a stock split, an adjustment in conversion ratio, a recapitalization or a similar transaction affecting the Company’s outstanding securities without receipt of consideration, any new, substituted or additional securities or other property (including money paid other than as an ordinary cash dividend) which are by reason of such transaction distributed with respect to any Restricted Shares or into which such Restricted Shares thereby become convertible shall immediately be subject to the Forfeiture Condition. Appropriate adjustments to reflect the distribution of such securities or property shall be made to the number and/or class of the Restricted Shares.</w:t>
      </w:r>
    </w:p>
    <w:p>
      <w:pPr>
        <w:spacing w:after="0" w:line="178"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Restricted Shares are forfeited in accordance with this Section 2, then the person who is to forfeit such Restricted Shares shall no longer have any rights as a holder of such Restricted Shares. Such Restricted Shares shall be deemed to have been forfeited in accordance with the applicable provisions hereof, whether or not the certificate(s) therefor have been delivered as required by this Agreement.</w:t>
      </w:r>
    </w:p>
    <w:p>
      <w:pPr>
        <w:spacing w:after="0" w:line="176"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Upon issuance, the certificates for Restricted Shares shall be deposited in escrow with the Company to be held in accordance with the provisions of this Agreement. Any new, substituted or additional securities or other property described in Subsection (d) above shall immediately be delivered to the Company to be held in escrow, but only to the extent the Transferred Shares are at the time Restricted Shares. All regular cash dividends on Restricted Shares (or other securities at the time held in escrow) shall be paid directly to the Transferee and shall not be held in escrow. Restricted Shares, together with any other assets or securities held in escrow hereunder, shall be (i) surrendered to the Company for forfeiture and cancellation in the event that the Forfeiture Condition or Right of First Refusal applies or (ii) released to the Transferee upon the Transferee’s request to the extent the Transferred Shares are no longer Restricted Shares (but not more frequently than once every six months). In any event, all Transferred Shares that have vested (and any other vested assets and securities attributable thereto) shall be released within 60 days after the earlier of (i) the termination of the Transferee’s Service or (ii) the lapse of the Right of First Refusal.</w:t>
      </w:r>
    </w:p>
    <w:p>
      <w:pPr>
        <w:spacing w:after="0" w:line="184" w:lineRule="exact"/>
        <w:rPr>
          <w:sz w:val="20"/>
          <w:szCs w:val="20"/>
          <w:color w:val="auto"/>
        </w:rPr>
      </w:pPr>
    </w:p>
    <w:p>
      <w:pPr>
        <w:ind w:right="20" w:firstLine="982"/>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xml:space="preserve">. If the Transferee commences working on a part-time basis, then the Company may adjust the vesting schedule set forth in the Summary of Stock Grant. If the Transferee goes on a leave of absence, then the Company may adjust the vesting schedule set forth in the Summary of Stock Grant in accordance with the Company’s leave of absence policy or the terms of such leave. Except as provided in the preceding sentence, Service shall be deemed to continue while the Transferee is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(i) such leave was approved by the Company in writing and (ii)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796" w:name="page797"/>
    <w:bookmarkEnd w:id="796"/>
    <w:p>
      <w:pPr>
        <w:ind w:right="2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crediting of Service is expressly required by the terms of such leave or by applicable law (as determined by the Company). Service shall be deemed to terminate when such leave ends, unless the Transferee immediately returns to active work.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RIGHT OF FIRST REFUSAL.</w:t>
      </w:r>
    </w:p>
    <w:p>
      <w:pPr>
        <w:spacing w:after="0" w:line="114"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Transferee proposes to sell, pledge or otherwise transfer to a third party any Transferred Shares, or any interest in Transferred Shares, the Company shall have the Right of First Refusal with respect to all (and not less than all) of such Transferred Shares. If the Transferee desires to transfer Transferred Shares, the Transferee shall give a written Transfer Notice to the Company describing fully the proposed transfer, including the number of Transferred Shares proposed to be transferred, the proposed transfer price, the name and address of the proposed Subsequent Transferee and proof satisfactory to the Company that the proposed sale or transfer will not violate any applicable federal, State or foreign securities laws. The Transfer Notice shall be signed both by the Transferee and by the proposed Subsequent Transferee and must constitute a binding commitment of both parties to the transfer of the Transferred Shares. The Company shall have the right to purchase all, and not less than all, of the Transferred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9" w:lineRule="exact"/>
        <w:rPr>
          <w:sz w:val="20"/>
          <w:szCs w:val="20"/>
          <w:color w:val="auto"/>
        </w:rPr>
      </w:pPr>
    </w:p>
    <w:p>
      <w:pPr>
        <w:ind w:right="60" w:firstLine="982"/>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receiving the Transfer Notice, the Transferee may, not later than 90 days after the Company received the Transfer Notice, conclude a transfer of the Transferred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Transferee is bound. Any proposed transfer on terms and conditions different from those described in the Transfer Notice, as well as any subsequent proposed transfer by the Transferee, shall again be subject to the Right of First Refusal and shall require compliance with the procedure described in Subsection (a) above. If the Company exercises its Right of First Refusal, the parties shall consummate the sale of the Transferred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Transferred Shares was to be made in a form other than cash or cash equivalents paid at the time of transfer, the Company shall have the option of paying for the Transferred Shares with cash or cash equivalents equal to the present value of the consideration described in the Transfer Notice.</w:t>
      </w:r>
    </w:p>
    <w:p>
      <w:pPr>
        <w:spacing w:after="0" w:line="187" w:lineRule="exact"/>
        <w:rPr>
          <w:sz w:val="20"/>
          <w:szCs w:val="20"/>
          <w:color w:val="auto"/>
        </w:rPr>
      </w:pPr>
    </w:p>
    <w:p>
      <w:pPr>
        <w:ind w:right="160" w:firstLine="982"/>
        <w:spacing w:after="0" w:line="288"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Additional or Exchanged Securities and Property</w:t>
      </w:r>
      <w:r>
        <w:rPr>
          <w:rFonts w:ascii="Times New Roman" w:cs="Times New Roman" w:eastAsia="Times New Roman" w:hAnsi="Times New Roman"/>
          <w:sz w:val="17"/>
          <w:szCs w:val="17"/>
          <w:color w:val="auto"/>
        </w:rPr>
        <w:t>. In the event of a merger or consolidation of the Company with or into 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9" w:right="499" w:bottom="1440" w:gutter="0" w:footer="0" w:header="0"/>
        </w:sectPr>
      </w:pPr>
    </w:p>
    <w:bookmarkStart w:id="797" w:name="page798"/>
    <w:bookmarkEnd w:id="797"/>
    <w:p>
      <w:pPr>
        <w:jc w:val="both"/>
        <w:ind w:right="10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securities, any securities or other property (including cash or cash equivalents) that are by reason of such transaction exchanged for, or distributed with respect to, any Transferred Shares subject to this Section 3 shall immediately be subject to the Right of First Refusal. Appropriate adjustments to reflect the exchange or distribution of such securities or property shall be made to the number and/or class of the Transferred Shares subject to this Section 3.</w:t>
      </w:r>
    </w:p>
    <w:p>
      <w:pPr>
        <w:spacing w:after="0" w:line="156" w:lineRule="exact"/>
        <w:rPr>
          <w:sz w:val="20"/>
          <w:szCs w:val="20"/>
          <w:color w:val="auto"/>
        </w:rPr>
      </w:pPr>
    </w:p>
    <w:p>
      <w:pPr>
        <w:ind w:right="1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3 notwithstanding, in the event that the Stock is readily tradable on an established securities market when the Transferee desires to transfer Transferred Shares, the Company shall have no Right of First Refusal, and the Transferee shall have no obligation to comply with the procedures prescribed by Subsections (a) and (b) above.</w:t>
      </w:r>
    </w:p>
    <w:p>
      <w:pPr>
        <w:spacing w:after="0" w:line="17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3 shall not apply to (i) a transfer by beneficiary designation, will or intestate succession or (ii) a transfer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Transferred Shares, either under this Subsection (e) or after the Company has failed to exercise the Right of First Refusal, then this Agreement shall apply to the Subsequent Transferee to the same extent as to the Transferee.</w:t>
      </w:r>
    </w:p>
    <w:p>
      <w:pPr>
        <w:spacing w:after="0" w:line="178" w:lineRule="exact"/>
        <w:rPr>
          <w:sz w:val="20"/>
          <w:szCs w:val="20"/>
          <w:color w:val="auto"/>
        </w:rPr>
      </w:pPr>
    </w:p>
    <w:p>
      <w:pPr>
        <w:ind w:right="80" w:firstLine="982"/>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80" w:lineRule="exact"/>
        <w:rPr>
          <w:sz w:val="20"/>
          <w:szCs w:val="20"/>
          <w:color w:val="auto"/>
        </w:rPr>
      </w:pPr>
    </w:p>
    <w:p>
      <w:pPr>
        <w:jc w:val="both"/>
        <w:ind w:right="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 Any person who accepts an assignment of the Right of First Refusal from the Company shall assume all of the Company’s rights and obligations under this Section 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OTHER RESTRICTIONS ON TRANSFER.</w:t>
      </w:r>
    </w:p>
    <w:p>
      <w:pPr>
        <w:spacing w:after="0" w:line="114" w:lineRule="exact"/>
        <w:rPr>
          <w:sz w:val="20"/>
          <w:szCs w:val="20"/>
          <w:color w:val="auto"/>
        </w:rPr>
      </w:pPr>
    </w:p>
    <w:p>
      <w:pPr>
        <w:ind w:right="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Transferee Representations</w:t>
      </w:r>
      <w:r>
        <w:rPr>
          <w:rFonts w:ascii="Times New Roman" w:cs="Times New Roman" w:eastAsia="Times New Roman" w:hAnsi="Times New Roman"/>
          <w:sz w:val="18"/>
          <w:szCs w:val="18"/>
          <w:color w:val="auto"/>
        </w:rPr>
        <w:t>. In connection with the issuance and acquisition of Shares under this Agreement, the Transferee hereby represents and warrants to the Company as follows:</w:t>
      </w:r>
    </w:p>
    <w:p>
      <w:pPr>
        <w:spacing w:after="0" w:line="53" w:lineRule="exact"/>
        <w:rPr>
          <w:sz w:val="20"/>
          <w:szCs w:val="20"/>
          <w:color w:val="auto"/>
        </w:rPr>
      </w:pPr>
    </w:p>
    <w:p>
      <w:pPr>
        <w:ind w:left="440" w:right="140" w:firstLine="943"/>
        <w:spacing w:after="0" w:line="278" w:lineRule="auto"/>
        <w:rPr>
          <w:sz w:val="20"/>
          <w:szCs w:val="20"/>
          <w:color w:val="auto"/>
        </w:rPr>
      </w:pPr>
      <w:r>
        <w:rPr>
          <w:rFonts w:ascii="Times New Roman" w:cs="Times New Roman" w:eastAsia="Times New Roman" w:hAnsi="Times New Roman"/>
          <w:sz w:val="18"/>
          <w:szCs w:val="18"/>
          <w:color w:val="auto"/>
        </w:rPr>
        <w:t>(i)  The Transferee is acquiring and will hold the Transferred Shares for investment for his or her account only and not with a view to, or for resale in connection with, any “distribution” thereof within the meaning of the Securities Act.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7" w:right="499" w:bottom="1440" w:gutter="0" w:footer="0" w:header="0"/>
        </w:sectPr>
      </w:pPr>
    </w:p>
    <w:bookmarkStart w:id="798" w:name="page799"/>
    <w:bookmarkEnd w:id="798"/>
    <w:p>
      <w:pPr>
        <w:ind w:firstLine="943"/>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(ii)  The Transferee understands that the Transferred Shares have not been registered under the Securities Act by reason of a specific exemption therefrom and that the Transferred Shares must be held indefinitely, unless they are subsequently registered under the Securities Act or the Transferee obtains an opinion of counsel, in form and substance satisfactory to the Company and its counsel, that such registration is not required. The Transferee further acknowledges and understands that the Company is under no obligation to register the Transferred Shares.</w:t>
      </w:r>
    </w:p>
    <w:p>
      <w:pPr>
        <w:spacing w:after="0" w:line="57" w:lineRule="exact"/>
        <w:rPr>
          <w:sz w:val="20"/>
          <w:szCs w:val="20"/>
          <w:color w:val="auto"/>
        </w:rPr>
      </w:pPr>
    </w:p>
    <w:p>
      <w:pPr>
        <w:ind w:firstLine="943"/>
        <w:spacing w:after="0" w:line="254" w:lineRule="auto"/>
        <w:rPr>
          <w:sz w:val="20"/>
          <w:szCs w:val="20"/>
          <w:color w:val="auto"/>
        </w:rPr>
      </w:pPr>
      <w:r>
        <w:rPr>
          <w:rFonts w:ascii="Times New Roman" w:cs="Times New Roman" w:eastAsia="Times New Roman" w:hAnsi="Times New Roman"/>
          <w:sz w:val="18"/>
          <w:szCs w:val="18"/>
          <w:color w:val="auto"/>
        </w:rPr>
        <w:t>(iii)  The Transferee is aware of the adoption of Rule 144 by the Securities and Exchange Commission under the Securities Act, which permits limited public resales of securities acquired in a non-public offering, subject to the satisfaction of certain conditions, including (without limitation) the availability of certain current public information about the issuer, the resale occurring only after the holding period required by Rule 144 has been satisfied, the sale occurring through an unsolicited “broker’s transaction,” and the amount of securities being sold during any three-month period not exceeding specified limitations. The Transferee acknowledges and understands that the conditions for resale set forth in Rule 144 have not been satisfied and that the Company has no plans to satisfy these conditions in the foreseeable future.</w:t>
      </w:r>
    </w:p>
    <w:p>
      <w:pPr>
        <w:spacing w:after="0" w:line="77" w:lineRule="exact"/>
        <w:rPr>
          <w:sz w:val="20"/>
          <w:szCs w:val="20"/>
          <w:color w:val="auto"/>
        </w:rPr>
      </w:pPr>
    </w:p>
    <w:p>
      <w:pPr>
        <w:ind w:right="60" w:firstLine="943"/>
        <w:spacing w:after="0" w:line="252" w:lineRule="auto"/>
        <w:rPr>
          <w:sz w:val="20"/>
          <w:szCs w:val="20"/>
          <w:color w:val="auto"/>
        </w:rPr>
      </w:pPr>
      <w:r>
        <w:rPr>
          <w:rFonts w:ascii="Times New Roman" w:cs="Times New Roman" w:eastAsia="Times New Roman" w:hAnsi="Times New Roman"/>
          <w:sz w:val="18"/>
          <w:szCs w:val="18"/>
          <w:color w:val="auto"/>
        </w:rPr>
        <w:t>(iv)  The Transferee will not sell, transfer or otherwise dispose of the Transferred Shares in violation of the Securities Act, the Securities Exchange Act of 1934, or the rules promulgated thereunder, including Rule 144 under the Securities Act. The Transferee agrees that he or she will not dispose of the Transferred Shares unless and until he or she has complied with all requirements of this Agreement applicable to the disposition of Transferred Shares and he or she has provided the Company with written assurances, in substance and form satisfactory to the Company, that (A) the proposed disposition does not require registration of the Transferred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Transferred Shares under applicable state law.</w:t>
      </w:r>
    </w:p>
    <w:p>
      <w:pPr>
        <w:spacing w:after="0" w:line="80"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8"/>
          <w:szCs w:val="18"/>
          <w:color w:val="auto"/>
        </w:rPr>
        <w:t>(v)  The Transferee has been furnished with, and has had access to, such information as he or she considers necessary or appropriate for deciding whether to invest in the Transferred Shares, and the Transferee has had an opportunity to ask questions and receive answers from the Company regarding the terms and conditions of the issuance of the Transferred Shares.</w:t>
      </w:r>
    </w:p>
    <w:p>
      <w:pPr>
        <w:spacing w:after="0" w:line="68" w:lineRule="exact"/>
        <w:rPr>
          <w:sz w:val="20"/>
          <w:szCs w:val="20"/>
          <w:color w:val="auto"/>
        </w:rPr>
      </w:pPr>
    </w:p>
    <w:p>
      <w:pPr>
        <w:jc w:val="both"/>
        <w:ind w:right="120" w:firstLine="943"/>
        <w:spacing w:after="0" w:line="263" w:lineRule="auto"/>
        <w:rPr>
          <w:sz w:val="20"/>
          <w:szCs w:val="20"/>
          <w:color w:val="auto"/>
        </w:rPr>
      </w:pPr>
      <w:r>
        <w:rPr>
          <w:rFonts w:ascii="Times New Roman" w:cs="Times New Roman" w:eastAsia="Times New Roman" w:hAnsi="Times New Roman"/>
          <w:sz w:val="18"/>
          <w:szCs w:val="18"/>
          <w:color w:val="auto"/>
        </w:rPr>
        <w:t>(vi)  The Transferee is aware that his or her investment in the Company is a speculative investment that has limited liquidity and is subject to the risk of complete loss. The Transferee is able, without impairing his or her financial condition, to hold the Transferred Shares for an indefinite period and to suffer a complete loss of his or her investment in the Transferred Shares.</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0"/>
          </w:cols>
          <w:pgMar w:left="920" w:top="268" w:right="519" w:bottom="1440" w:gutter="0" w:footer="0" w:header="0"/>
        </w:sectPr>
      </w:pPr>
    </w:p>
    <w:bookmarkStart w:id="799" w:name="page800"/>
    <w:bookmarkEnd w:id="799"/>
    <w:p>
      <w:pPr>
        <w:ind w:right="40" w:firstLine="98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the Transferred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80"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 registration statement filed under the Securities Act, including the Company’s initial public offering, the Transferee or a Subsequent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Transferred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Transferred Shares until the end of the applicable stand-off period. The Company’s underwriters shall be beneficiaries of the agreement set forth in this Subsection (c). This Subsection (c) shall not apply to Shares registered in the public offering under the Securities Act.</w:t>
      </w:r>
    </w:p>
    <w:p>
      <w:pPr>
        <w:spacing w:after="0" w:line="186" w:lineRule="exact"/>
        <w:rPr>
          <w:sz w:val="20"/>
          <w:szCs w:val="20"/>
          <w:color w:val="auto"/>
        </w:rPr>
      </w:pPr>
    </w:p>
    <w:p>
      <w:pPr>
        <w:jc w:val="both"/>
        <w:ind w:right="140" w:firstLine="990"/>
        <w:spacing w:after="0" w:line="265" w:lineRule="auto"/>
        <w:tabs>
          <w:tab w:leader="none" w:pos="1234"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Rights of the Company</w:t>
      </w:r>
      <w:r>
        <w:rPr>
          <w:rFonts w:ascii="Times New Roman" w:cs="Times New Roman" w:eastAsia="Times New Roman" w:hAnsi="Times New Roman"/>
          <w:sz w:val="18"/>
          <w:szCs w:val="18"/>
          <w:color w:val="auto"/>
        </w:rPr>
        <w:t>. The Company shall not be required to (i) transfer on its books any Transferred Shares that have been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transferred in contravention of this Agreement or (ii) treat as the owner of Transferred Shares, or otherwise to accord voting, dividend or liquidation rights to, any Subsequent Transferee to whom Transferred Shares have been transferred in contravention of this Agreement.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4" w:right="499" w:bottom="1440" w:gutter="0" w:footer="0" w:header="0"/>
        </w:sectPr>
      </w:pPr>
    </w:p>
    <w:bookmarkStart w:id="800" w:name="page801"/>
    <w:bookmarkEnd w:id="8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SECTION 5. SUCCESSORS AND ASSIGNS.</w:t>
      </w:r>
    </w:p>
    <w:p>
      <w:pPr>
        <w:spacing w:after="0" w:line="118"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to the contrary, the provisions of this Agreement shall inure to the benefit of, and be binding upon, the Company and its successors and assigns and be binding upon the Transferee and the Transferee’s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NO RETENTION RIGHTS.</w:t>
      </w:r>
    </w:p>
    <w:p>
      <w:pPr>
        <w:spacing w:after="0" w:line="118"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Nothing in this Agreement or in the Plan shall confer upon the Transferee any right to continue providing services to the Company for any period of specific duration or interfere with or otherwise restrict in any way the rights of the Company or of the Transferee, which rights are hereby expressly reserved by each, to terminate his or her service at any time and for any reason, with or without cause.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TAX ELECTION.</w:t>
      </w:r>
    </w:p>
    <w:p>
      <w:pPr>
        <w:spacing w:after="0" w:line="118" w:lineRule="exact"/>
        <w:rPr>
          <w:sz w:val="20"/>
          <w:szCs w:val="20"/>
          <w:color w:val="auto"/>
        </w:rPr>
      </w:pPr>
    </w:p>
    <w:p>
      <w:pPr>
        <w:ind w:right="60" w:firstLine="982"/>
        <w:spacing w:after="0" w:line="254" w:lineRule="auto"/>
        <w:rPr>
          <w:sz w:val="20"/>
          <w:szCs w:val="20"/>
          <w:color w:val="auto"/>
        </w:rPr>
      </w:pPr>
      <w:r>
        <w:rPr>
          <w:rFonts w:ascii="Times New Roman" w:cs="Times New Roman" w:eastAsia="Times New Roman" w:hAnsi="Times New Roman"/>
          <w:sz w:val="18"/>
          <w:szCs w:val="18"/>
          <w:color w:val="auto"/>
        </w:rPr>
        <w:t xml:space="preserve">The acquisition of the Transferred Shares may result in adverse tax consequences that may be avoided or mitigated by filing an election under Code Section 83(b). Such election may be filed only within 30 days after the date of transfer set forth in the Summary of Stock Grant. The form for making the Code Section 83(b) election is attached to this Agreement as an Exhibit. </w:t>
      </w:r>
      <w:r>
        <w:rPr>
          <w:rFonts w:ascii="Times New Roman" w:cs="Times New Roman" w:eastAsia="Times New Roman" w:hAnsi="Times New Roman"/>
          <w:sz w:val="18"/>
          <w:szCs w:val="18"/>
          <w:b w:val="1"/>
          <w:bCs w:val="1"/>
          <w:color w:val="auto"/>
        </w:rPr>
        <w:t>The Transferee should consult with his or her tax advisor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determine the tax consequences of acquiring the Transferred Shares and the advantages and disadvantages of filing the Code Section 83(b) election. The Transferee acknowledges that it is his or her sole responsibility, and not the Company’s, to file a timely election under Code Section 83(b), even if the Transferee requests the Company or its representatives to make this filing on his or her behalf.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LEGENDS.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certificates evidencing Transferred Shares shall bear the following legends:</w:t>
      </w:r>
    </w:p>
    <w:p>
      <w:pPr>
        <w:spacing w:after="0" w:line="114" w:lineRule="exact"/>
        <w:rPr>
          <w:sz w:val="20"/>
          <w:szCs w:val="20"/>
          <w:color w:val="auto"/>
        </w:rPr>
      </w:pPr>
    </w:p>
    <w:p>
      <w:pPr>
        <w:ind w:left="440" w:right="120"/>
        <w:spacing w:after="0" w:line="253" w:lineRule="auto"/>
        <w:rPr>
          <w:sz w:val="20"/>
          <w:szCs w:val="20"/>
          <w:color w:val="auto"/>
        </w:rPr>
      </w:pPr>
      <w:r>
        <w:rPr>
          <w:rFonts w:ascii="Times New Roman" w:cs="Times New Roman" w:eastAsia="Times New Roman" w:hAnsi="Times New Roman"/>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IMPOSES CERTAIN FORFEITURE CONDITIONS UPON TERMINATION OF SERVICE WITH THE COMPANY. THE SECRETARY OF THE COMPANY WILL UPON WRITTEN REQUEST FURNISH A COPY OF SUCH AGREEMENT TO THE HOLDER HEREOF WITHOUT CHARGE.”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801" w:name="page802"/>
    <w:bookmarkEnd w:id="801"/>
    <w:p>
      <w:pPr>
        <w:ind w:left="440"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0"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If required by the authorities of any State in connection with the issuance of the Transferred Shares, the legend or legends required by such State authorities shall also be endorsed on all such certificates.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NOTICE.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notice required by the terms of this Agreement shall be given in writing. It shall be deemed effective upon (i) personal delivery,</w:t>
      </w:r>
    </w:p>
    <w:p>
      <w:pPr>
        <w:spacing w:after="0" w:line="26" w:lineRule="exact"/>
        <w:rPr>
          <w:sz w:val="20"/>
          <w:szCs w:val="20"/>
          <w:color w:val="auto"/>
        </w:rPr>
      </w:pPr>
    </w:p>
    <w:p>
      <w:pPr>
        <w:ind w:right="360" w:firstLine="7"/>
        <w:spacing w:after="0" w:line="252" w:lineRule="auto"/>
        <w:tabs>
          <w:tab w:leader="none" w:pos="262"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United States Postal Service, by registered or certified mail, with postage and fees prepaid or (iii) deposit with Federal Express Corporation, with shipping charges prepaid. Notice shall be addressed to the Company at its principal executive office and to the Transferee at the address that he or she most recently provided to the Company in accordance with this Section 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ENTIRE AGREEMENT.</w:t>
      </w:r>
    </w:p>
    <w:p>
      <w:pPr>
        <w:spacing w:after="0" w:line="118"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The Summary of Stock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CHOICE OF LAW.</w:t>
      </w:r>
    </w:p>
    <w:p>
      <w:pPr>
        <w:spacing w:after="0" w:line="118" w:lineRule="exact"/>
        <w:rPr>
          <w:sz w:val="20"/>
          <w:szCs w:val="20"/>
          <w:color w:val="auto"/>
        </w:rPr>
      </w:pPr>
    </w:p>
    <w:p>
      <w:pPr>
        <w:ind w:right="280" w:firstLine="982"/>
        <w:spacing w:after="0" w:line="278"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as such laws are applied to contracts entered into and performed in such State.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DEFINITIONS.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Grant Agreement.</w:t>
      </w:r>
    </w:p>
    <w:p>
      <w:pPr>
        <w:spacing w:after="0" w:line="221" w:lineRule="exact"/>
        <w:rPr>
          <w:sz w:val="20"/>
          <w:szCs w:val="20"/>
          <w:color w:val="auto"/>
        </w:rPr>
      </w:pPr>
    </w:p>
    <w:p>
      <w:pPr>
        <w:ind w:right="280" w:firstLine="982"/>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9" w:right="559" w:bottom="1440" w:gutter="0" w:footer="0" w:header="0"/>
        </w:sectPr>
      </w:pPr>
    </w:p>
    <w:bookmarkStart w:id="802" w:name="page803"/>
    <w:bookmarkEnd w:id="80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w:t>
      </w:r>
    </w:p>
    <w:p>
      <w:pPr>
        <w:spacing w:after="0" w:line="118" w:lineRule="exact"/>
        <w:rPr>
          <w:sz w:val="20"/>
          <w:szCs w:val="20"/>
          <w:color w:val="auto"/>
        </w:rPr>
      </w:pPr>
    </w:p>
    <w:p>
      <w:pPr>
        <w:ind w:left="440" w:right="200" w:firstLine="943"/>
        <w:spacing w:after="0" w:line="278" w:lineRule="auto"/>
        <w:rPr>
          <w:sz w:val="20"/>
          <w:szCs w:val="20"/>
          <w:color w:val="auto"/>
        </w:rPr>
      </w:pPr>
      <w:r>
        <w:rPr>
          <w:rFonts w:ascii="Times New Roman" w:cs="Times New Roman" w:eastAsia="Times New Roman" w:hAnsi="Times New Roman"/>
          <w:sz w:val="18"/>
          <w:szCs w:val="18"/>
          <w:color w:val="auto"/>
        </w:rPr>
        <w:t>(i)  An unauthorized use or disclosure by the Transferee of the Company’s confidential information or trade secrets, which use or disclosure causes material harm to the Company;</w:t>
      </w:r>
    </w:p>
    <w:p>
      <w:pPr>
        <w:spacing w:after="0" w:line="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A material breach by the Transferee of any agreement between the Transferee and the Company;</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A material failure by the Transferee to comply with the Company’s written policies or rules;</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(iv)   The Transferee’s conviction of, or plea of “guilty” or “no contest” to, a felony under the laws of the United States or any State</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thereof;</w:t>
      </w:r>
    </w:p>
    <w:p>
      <w:pPr>
        <w:spacing w:after="0" w:line="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The Transferee’s gross negligence or willful misconduct;</w:t>
      </w:r>
    </w:p>
    <w:p>
      <w:pPr>
        <w:spacing w:after="0" w:line="114" w:lineRule="exact"/>
        <w:rPr>
          <w:sz w:val="20"/>
          <w:szCs w:val="20"/>
          <w:color w:val="auto"/>
        </w:rPr>
      </w:pPr>
    </w:p>
    <w:p>
      <w:pPr>
        <w:ind w:left="440" w:right="160" w:firstLine="943"/>
        <w:spacing w:after="0" w:line="278" w:lineRule="auto"/>
        <w:rPr>
          <w:sz w:val="20"/>
          <w:szCs w:val="20"/>
          <w:color w:val="auto"/>
        </w:rPr>
      </w:pPr>
      <w:r>
        <w:rPr>
          <w:rFonts w:ascii="Times New Roman" w:cs="Times New Roman" w:eastAsia="Times New Roman" w:hAnsi="Times New Roman"/>
          <w:sz w:val="18"/>
          <w:szCs w:val="18"/>
          <w:color w:val="auto"/>
        </w:rPr>
        <w:t>(vi)  A continuing failure by the Transferee to perform assigned duties after receiving written notification of such failure from the Board of Directors; or</w:t>
      </w:r>
    </w:p>
    <w:p>
      <w:pPr>
        <w:spacing w:after="0" w:line="55" w:lineRule="exact"/>
        <w:rPr>
          <w:sz w:val="20"/>
          <w:szCs w:val="20"/>
          <w:color w:val="auto"/>
        </w:rPr>
      </w:pPr>
    </w:p>
    <w:p>
      <w:pPr>
        <w:ind w:left="440" w:right="340" w:firstLine="943"/>
        <w:spacing w:after="0" w:line="278" w:lineRule="auto"/>
        <w:rPr>
          <w:sz w:val="20"/>
          <w:szCs w:val="20"/>
          <w:color w:val="auto"/>
        </w:rPr>
      </w:pPr>
      <w:r>
        <w:rPr>
          <w:rFonts w:ascii="Times New Roman" w:cs="Times New Roman" w:eastAsia="Times New Roman" w:hAnsi="Times New Roman"/>
          <w:sz w:val="18"/>
          <w:szCs w:val="18"/>
          <w:color w:val="auto"/>
        </w:rPr>
        <w:t>(vii)  A failure by the Transferee to cooperate in good faith with a governmental or internal investigation of the Company or its directors, officers or employees, if the Company has requested the Transferee’s cooperation.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(i) the consummation of a merger or consolidation of the Company with or into another entity or</w:t>
      </w:r>
    </w:p>
    <w:p>
      <w:pPr>
        <w:spacing w:after="0" w:line="30" w:lineRule="exact"/>
        <w:rPr>
          <w:sz w:val="20"/>
          <w:szCs w:val="20"/>
          <w:color w:val="auto"/>
        </w:rPr>
      </w:pPr>
    </w:p>
    <w:p>
      <w:pPr>
        <w:ind w:firstLine="7"/>
        <w:spacing w:after="0" w:line="250" w:lineRule="auto"/>
        <w:tabs>
          <w:tab w:leader="none" w:pos="262"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liquidation or winding up of the Company. The foregoing notwithstanding, a merger or consolidation of the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 of the Plan.</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Omada Health, Inc., a Delaware corporation.</w:t>
      </w:r>
    </w:p>
    <w:p>
      <w:pPr>
        <w:spacing w:after="0" w:line="221" w:lineRule="exact"/>
        <w:rPr>
          <w:sz w:val="20"/>
          <w:szCs w:val="20"/>
          <w:color w:val="auto"/>
        </w:rPr>
      </w:pPr>
    </w:p>
    <w:p>
      <w:pPr>
        <w:ind w:right="340" w:firstLine="982"/>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who performs bona fide services for the Company, a Parent or a Subsidiary as a consultant or advisor, excluding Employees and Outside Directors.</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480" w:top="264" w:right="559" w:bottom="1440" w:gutter="0" w:footer="0" w:header="0"/>
        </w:sectPr>
      </w:pPr>
    </w:p>
    <w:bookmarkStart w:id="803" w:name="page804"/>
    <w:bookmarkEnd w:id="803"/>
    <w:p>
      <w:pPr>
        <w:ind w:right="560" w:firstLine="98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good faith. Such determination shall be conclusive and binding on all persons.</w:t>
      </w:r>
    </w:p>
    <w:p>
      <w:pPr>
        <w:spacing w:after="0" w:line="156" w:lineRule="exact"/>
        <w:rPr>
          <w:sz w:val="20"/>
          <w:szCs w:val="20"/>
          <w:color w:val="auto"/>
        </w:rPr>
      </w:pPr>
    </w:p>
    <w:p>
      <w:pPr>
        <w:ind w:left="1240" w:hanging="250"/>
        <w:spacing w:after="0"/>
        <w:tabs>
          <w:tab w:leader="none" w:pos="124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Forfeiture Condition</w:t>
      </w:r>
      <w:r>
        <w:rPr>
          <w:rFonts w:ascii="Times New Roman" w:cs="Times New Roman" w:eastAsia="Times New Roman" w:hAnsi="Times New Roman"/>
          <w:sz w:val="18"/>
          <w:szCs w:val="18"/>
          <w:color w:val="auto"/>
        </w:rPr>
        <w:t>” shall mean the forfeiture condition described in Section 2.</w:t>
      </w:r>
    </w:p>
    <w:p>
      <w:pPr>
        <w:spacing w:after="0" w:line="220" w:lineRule="exact"/>
        <w:rPr>
          <w:rFonts w:ascii="Times New Roman" w:cs="Times New Roman" w:eastAsia="Times New Roman" w:hAnsi="Times New Roman"/>
          <w:sz w:val="18"/>
          <w:szCs w:val="18"/>
          <w:color w:val="auto"/>
        </w:rPr>
      </w:pPr>
    </w:p>
    <w:p>
      <w:pPr>
        <w:ind w:right="120" w:firstLine="990"/>
        <w:spacing w:after="0" w:line="282" w:lineRule="auto"/>
        <w:tabs>
          <w:tab w:leader="none" w:pos="1195"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that the Transferee resigns within 12 months after one of the following conditions has come into existence without his or her consent:</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A reduction in the Transferee’s base salary by more than 10%;</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A material diminution of the Transferee’s authority, duties or responsibilities; or</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A relocation of the Transferee’s principal workplace by more than 30 miles.</w:t>
      </w:r>
    </w:p>
    <w:p>
      <w:pPr>
        <w:spacing w:after="0" w:line="22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A condition shall not be considered “Good Reason” unless the Transferee gives the Company written notice of such condition within 90 days after such condition comes into existence and the Company fails to remedy such condition within 30 days after receiving the Transferee’s written notice.</w:t>
      </w:r>
    </w:p>
    <w:p>
      <w:pPr>
        <w:spacing w:after="0" w:line="158" w:lineRule="exact"/>
        <w:rPr>
          <w:sz w:val="20"/>
          <w:szCs w:val="20"/>
          <w:color w:val="auto"/>
        </w:rPr>
      </w:pPr>
    </w:p>
    <w:p>
      <w:pPr>
        <w:ind w:right="260" w:firstLine="982"/>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 law, brother-in-law or sister-in-law and shall include adoptive relationships.</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shall mean the termination of the Transferee’s Service by reason of:</w:t>
      </w:r>
    </w:p>
    <w:p>
      <w:pPr>
        <w:spacing w:after="0" w:line="118" w:lineRule="exact"/>
        <w:rPr>
          <w:sz w:val="20"/>
          <w:szCs w:val="20"/>
          <w:color w:val="auto"/>
        </w:rPr>
      </w:pPr>
    </w:p>
    <w:p>
      <w:pPr>
        <w:ind w:left="440" w:right="340" w:firstLine="943"/>
        <w:spacing w:after="0" w:line="278" w:lineRule="auto"/>
        <w:rPr>
          <w:sz w:val="20"/>
          <w:szCs w:val="20"/>
          <w:color w:val="auto"/>
        </w:rPr>
      </w:pPr>
      <w:r>
        <w:rPr>
          <w:rFonts w:ascii="Times New Roman" w:cs="Times New Roman" w:eastAsia="Times New Roman" w:hAnsi="Times New Roman"/>
          <w:sz w:val="18"/>
          <w:szCs w:val="18"/>
          <w:color w:val="auto"/>
        </w:rPr>
        <w:t>(i)  The involuntary discharge of the Transferee by the Company (or the Parent or Subsidiary employing him or her) for reasons other than Cause; or</w:t>
      </w:r>
    </w:p>
    <w:p>
      <w:pPr>
        <w:spacing w:after="0" w:line="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voluntary resignation of the Transferee for Good Reason.</w:t>
      </w: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221"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Omada Health, Inc. 2011 Stock Plan, as amended.</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4" w:right="499" w:bottom="1440" w:gutter="0" w:footer="0" w:header="0"/>
        </w:sectPr>
      </w:pPr>
    </w:p>
    <w:bookmarkStart w:id="804" w:name="page805"/>
    <w:bookmarkEnd w:id="80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   “</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shall mean a Transferred Share that is subject to the Forfeiture Condition.</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b w:val="1"/>
          <w:bCs w:val="1"/>
          <w:color w:val="auto"/>
        </w:rPr>
        <w:t>Right of First Refusal</w:t>
      </w:r>
      <w:r>
        <w:rPr>
          <w:rFonts w:ascii="Times New Roman" w:cs="Times New Roman" w:eastAsia="Times New Roman" w:hAnsi="Times New Roman"/>
          <w:sz w:val="17"/>
          <w:szCs w:val="17"/>
          <w:color w:val="auto"/>
        </w:rPr>
        <w:t>” shall mean the Company’s right of first refusal described in Section 3.</w:t>
      </w:r>
    </w:p>
    <w:p>
      <w:pPr>
        <w:sectPr>
          <w:pgSz w:w="11900" w:h="16838" w:orient="portrait"/>
          <w:cols w:equalWidth="0" w:num="1">
            <w:col w:w="10620"/>
          </w:cols>
          <w:pgMar w:left="480" w:top="264" w:right="799" w:bottom="1440" w:gutter="0" w:footer="0" w:header="0"/>
        </w:sectPr>
      </w:pPr>
    </w:p>
    <w:p>
      <w:pPr>
        <w:spacing w:after="0" w:line="2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1"/>
          <w:szCs w:val="11"/>
          <w:color w:val="auto"/>
        </w:rPr>
        <w:t>(t)  </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shall mean the Securities Act of 1933, as amended.</w:t>
      </w:r>
    </w:p>
    <w:p>
      <w:pPr>
        <w:spacing w:after="0" w:line="200" w:lineRule="exact"/>
        <w:rPr>
          <w:sz w:val="20"/>
          <w:szCs w:val="20"/>
          <w:color w:val="auto"/>
        </w:rPr>
      </w:pPr>
    </w:p>
    <w:p>
      <w:pPr>
        <w:sectPr>
          <w:pgSz w:w="11900" w:h="16838" w:orient="portrait"/>
          <w:cols w:equalWidth="0" w:num="2">
            <w:col w:w="1240" w:space="140"/>
            <w:col w:w="9240"/>
          </w:cols>
          <w:pgMar w:left="480" w:top="264" w:right="79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(u)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w:t>
      </w:r>
      <w:r>
        <w:rPr>
          <w:rFonts w:ascii="Times New Roman" w:cs="Times New Roman" w:eastAsia="Times New Roman" w:hAnsi="Times New Roman"/>
          <w:sz w:val="17"/>
          <w:szCs w:val="17"/>
          <w:color w:val="auto"/>
        </w:rPr>
        <w:t>” shall mean service as an Employee, Outside Director or Consultant.</w:t>
      </w:r>
    </w:p>
    <w:p>
      <w:pPr>
        <w:spacing w:after="0" w:line="200" w:lineRule="exact"/>
        <w:rPr>
          <w:sz w:val="20"/>
          <w:szCs w:val="20"/>
          <w:color w:val="auto"/>
        </w:rPr>
      </w:pPr>
    </w:p>
    <w:p>
      <w:pPr>
        <w:sectPr>
          <w:pgSz w:w="11900" w:h="16838" w:orient="portrait"/>
          <w:cols w:equalWidth="0" w:num="2">
            <w:col w:w="1280" w:space="140"/>
            <w:col w:w="9200"/>
          </w:cols>
          <w:pgMar w:left="480" w:top="264" w:right="79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(v)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shall mean one share of Stock, as adjusted in accordance with Section 8 of the Plan (if applicable).</w:t>
      </w:r>
    </w:p>
    <w:p>
      <w:pPr>
        <w:spacing w:after="0" w:line="200" w:lineRule="exact"/>
        <w:rPr>
          <w:sz w:val="20"/>
          <w:szCs w:val="20"/>
          <w:color w:val="auto"/>
        </w:rPr>
      </w:pPr>
    </w:p>
    <w:p>
      <w:pPr>
        <w:sectPr>
          <w:pgSz w:w="11900" w:h="16838" w:orient="portrait"/>
          <w:cols w:equalWidth="0" w:num="2">
            <w:col w:w="1280" w:space="140"/>
            <w:col w:w="9200"/>
          </w:cols>
          <w:pgMar w:left="480" w:top="264" w:right="799" w:bottom="1440" w:gutter="0" w:footer="0" w:header="0"/>
          <w:type w:val="continuous"/>
        </w:sectPr>
      </w:pP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shall mean the Common Stock of the Company.</w:t>
      </w:r>
    </w:p>
    <w:p>
      <w:pPr>
        <w:spacing w:after="0" w:line="200" w:lineRule="exact"/>
        <w:rPr>
          <w:sz w:val="20"/>
          <w:szCs w:val="20"/>
          <w:color w:val="auto"/>
        </w:rPr>
      </w:pPr>
    </w:p>
    <w:p>
      <w:pPr>
        <w:sectPr>
          <w:pgSz w:w="11900" w:h="16838" w:orient="portrait"/>
          <w:cols w:equalWidth="0" w:num="2">
            <w:col w:w="1320" w:space="140"/>
            <w:col w:w="9160"/>
          </w:cols>
          <w:pgMar w:left="480" w:top="264" w:right="799" w:bottom="1440" w:gutter="0" w:footer="0" w:header="0"/>
          <w:type w:val="continuous"/>
        </w:sectPr>
      </w:pP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Subsequent Transferee</w:t>
      </w:r>
      <w:r>
        <w:rPr>
          <w:rFonts w:ascii="Times New Roman" w:cs="Times New Roman" w:eastAsia="Times New Roman" w:hAnsi="Times New Roman"/>
          <w:sz w:val="18"/>
          <w:szCs w:val="18"/>
          <w:color w:val="auto"/>
        </w:rPr>
        <w:t>” shall mean any person to whom the Transferee has directly or indirectly transferred any Transferred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98"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or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Summary of Stock Grant</w:t>
      </w:r>
      <w:r>
        <w:rPr>
          <w:rFonts w:ascii="Times New Roman" w:cs="Times New Roman" w:eastAsia="Times New Roman" w:hAnsi="Times New Roman"/>
          <w:sz w:val="18"/>
          <w:szCs w:val="18"/>
          <w:color w:val="auto"/>
        </w:rPr>
        <w:t>” shall mean the document so entitled to which this Agreement is attached.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the individual named in the Summary of Stock Grant.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Transferred Shares described in Section 3.</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Transferred Shares</w:t>
      </w:r>
      <w:r>
        <w:rPr>
          <w:rFonts w:ascii="Times New Roman" w:cs="Times New Roman" w:eastAsia="Times New Roman" w:hAnsi="Times New Roman"/>
          <w:sz w:val="18"/>
          <w:szCs w:val="18"/>
          <w:color w:val="auto"/>
        </w:rPr>
        <w:t>” shall mean the Shares acquired by the Transferee pursuant to this Agreement.</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480" w:top="264" w:right="799" w:bottom="1440" w:gutter="0" w:footer="0" w:header="0"/>
          <w:type w:val="continuous"/>
        </w:sectPr>
      </w:pPr>
    </w:p>
    <w:bookmarkStart w:id="805" w:name="page806"/>
    <w:bookmarkEnd w:id="8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83(b) E</w:t>
      </w:r>
      <w:r>
        <w:rPr>
          <w:rFonts w:ascii="Times New Roman" w:cs="Times New Roman" w:eastAsia="Times New Roman" w:hAnsi="Times New Roman"/>
          <w:sz w:val="14"/>
          <w:szCs w:val="14"/>
          <w:b w:val="1"/>
          <w:bCs w:val="1"/>
          <w:color w:val="auto"/>
        </w:rPr>
        <w:t>LECTION</w:t>
      </w:r>
    </w:p>
    <w:p>
      <w:pPr>
        <w:spacing w:after="0" w:line="225" w:lineRule="exact"/>
        <w:rPr>
          <w:sz w:val="20"/>
          <w:szCs w:val="20"/>
          <w:color w:val="auto"/>
        </w:rPr>
      </w:pPr>
    </w:p>
    <w:p>
      <w:pPr>
        <w:ind w:right="720" w:firstLine="982"/>
        <w:spacing w:after="0" w:line="278" w:lineRule="auto"/>
        <w:rPr>
          <w:sz w:val="20"/>
          <w:szCs w:val="20"/>
          <w:color w:val="auto"/>
        </w:rPr>
      </w:pPr>
      <w:r>
        <w:rPr>
          <w:rFonts w:ascii="Times New Roman" w:cs="Times New Roman" w:eastAsia="Times New Roman" w:hAnsi="Times New Roman"/>
          <w:sz w:val="18"/>
          <w:szCs w:val="18"/>
          <w:color w:val="auto"/>
        </w:rPr>
        <w:t>This statement is made under Section 83(b) of the Internal Revenue Code of 1986, as amended, pursuant to Treasury Regulations Section 1.83-2.</w:t>
      </w:r>
    </w:p>
    <w:p>
      <w:pPr>
        <w:spacing w:after="0" w:line="69" w:lineRule="exact"/>
        <w:rPr>
          <w:sz w:val="20"/>
          <w:szCs w:val="20"/>
          <w:color w:val="auto"/>
        </w:rPr>
      </w:pPr>
    </w:p>
    <w:p>
      <w:pPr>
        <w:ind w:left="1000" w:right="6780" w:hanging="565"/>
        <w:spacing w:after="0" w:line="527" w:lineRule="auto"/>
        <w:tabs>
          <w:tab w:leader="none" w:pos="973"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 Name:</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-271780</wp:posOffset>
            </wp:positionV>
            <wp:extent cx="29044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290449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15875</wp:posOffset>
            </wp:positionV>
            <wp:extent cx="29044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2904490"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168910</wp:posOffset>
            </wp:positionV>
            <wp:extent cx="341376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361" w:lineRule="exact"/>
        <w:rPr>
          <w:sz w:val="20"/>
          <w:szCs w:val="20"/>
          <w:color w:val="auto"/>
        </w:rPr>
      </w:pPr>
    </w:p>
    <w:tbl>
      <w:tblPr>
        <w:tblLayout w:type="fixed"/>
        <w:tblInd w:w="440" w:type="dxa"/>
        <w:tblCellMar>
          <w:top w:w="0" w:type="dxa"/>
          <w:left w:w="0" w:type="dxa"/>
          <w:bottom w:w="0" w:type="dxa"/>
          <w:right w:w="0" w:type="dxa"/>
        </w:tblCellMar>
      </w:tblPr>
      <w:tr>
        <w:trPr>
          <w:trHeight w:val="232"/>
        </w:trPr>
        <w:tc>
          <w:tcPr>
            <w:tcW w:w="360" w:type="dxa"/>
            <w:vAlign w:val="bottom"/>
          </w:tcPr>
          <w:p>
            <w:pPr>
              <w:spacing w:after="0"/>
              <w:rPr>
                <w:sz w:val="20"/>
                <w:szCs w:val="20"/>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Social Security No.:</w:t>
            </w:r>
          </w:p>
        </w:tc>
        <w:tc>
          <w:tcPr>
            <w:tcW w:w="3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42"/>
        </w:trPr>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5"/>
              </w:rPr>
              <w:t>(2)</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The property with respect to which the election is made is           </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shares of the common stock of Omada Health, Inc.</w:t>
            </w:r>
          </w:p>
        </w:tc>
      </w:tr>
      <w:tr>
        <w:trPr>
          <w:trHeight w:val="334"/>
        </w:trPr>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5"/>
              </w:rPr>
              <w:t>(3)</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property was transferred on           ,       .</w:t>
            </w: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34"/>
        </w:trPr>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5"/>
              </w:rPr>
              <w:t>(4)</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The taxable year for which the election is made is the calendar year  </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02" w:lineRule="exact"/>
        <w:rPr>
          <w:sz w:val="20"/>
          <w:szCs w:val="20"/>
          <w:color w:val="auto"/>
        </w:rPr>
      </w:pPr>
    </w:p>
    <w:p>
      <w:pPr>
        <w:ind w:left="980" w:hanging="545"/>
        <w:spacing w:after="0"/>
        <w:tabs>
          <w:tab w:leader="none" w:pos="9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forfeiture if for any reason taxpayer’s service with the issuer terminates. The forfeiture condition lapses in a</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series of installments over a       -year period ending on           ,       .</w:t>
      </w:r>
    </w:p>
    <w:p>
      <w:pPr>
        <w:spacing w:after="0" w:line="109" w:lineRule="exact"/>
        <w:rPr>
          <w:sz w:val="20"/>
          <w:szCs w:val="20"/>
          <w:color w:val="auto"/>
        </w:rPr>
      </w:pPr>
    </w:p>
    <w:p>
      <w:pPr>
        <w:ind w:left="980" w:hanging="545"/>
        <w:spacing w:after="0"/>
        <w:tabs>
          <w:tab w:leader="none" w:pos="9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property at the time of transfer (determined without regard to any restriction other than a restriction that by</w:t>
      </w:r>
    </w:p>
    <w:p>
      <w:pPr>
        <w:spacing w:after="0" w:line="26" w:lineRule="exact"/>
        <w:rPr>
          <w:sz w:val="20"/>
          <w:szCs w:val="20"/>
          <w:color w:val="auto"/>
        </w:rPr>
      </w:pPr>
    </w:p>
    <w:p>
      <w:pPr>
        <w:ind w:left="980"/>
        <w:spacing w:after="0"/>
        <w:tabs>
          <w:tab w:leader="none" w:pos="3500" w:val="left"/>
        </w:tabs>
        <w:rPr>
          <w:sz w:val="20"/>
          <w:szCs w:val="20"/>
          <w:color w:val="auto"/>
        </w:rPr>
      </w:pPr>
      <w:r>
        <w:rPr>
          <w:rFonts w:ascii="Times New Roman" w:cs="Times New Roman" w:eastAsia="Times New Roman" w:hAnsi="Times New Roman"/>
          <w:sz w:val="18"/>
          <w:szCs w:val="18"/>
          <w:color w:val="auto"/>
        </w:rPr>
        <w:t xml:space="preserve">its terms will never lapse) is $    </w:t>
      </w:r>
      <w:r>
        <w:rPr>
          <w:sz w:val="20"/>
          <w:szCs w:val="20"/>
          <w:color w:val="auto"/>
        </w:rPr>
        <w:tab/>
      </w:r>
      <w:r>
        <w:rPr>
          <w:rFonts w:ascii="Times New Roman" w:cs="Times New Roman" w:eastAsia="Times New Roman" w:hAnsi="Times New Roman"/>
          <w:sz w:val="17"/>
          <w:szCs w:val="17"/>
          <w:color w:val="auto"/>
        </w:rPr>
        <w:t>per share.</w:t>
      </w:r>
    </w:p>
    <w:p>
      <w:pPr>
        <w:spacing w:after="0" w:line="109" w:lineRule="exact"/>
        <w:rPr>
          <w:sz w:val="20"/>
          <w:szCs w:val="20"/>
          <w:color w:val="auto"/>
        </w:rPr>
      </w:pPr>
    </w:p>
    <w:p>
      <w:pPr>
        <w:ind w:left="980" w:hanging="545"/>
        <w:spacing w:after="0"/>
        <w:tabs>
          <w:tab w:leader="none" w:pos="98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was paid for such property.</w:t>
      </w:r>
    </w:p>
    <w:p>
      <w:pPr>
        <w:spacing w:after="0" w:line="127" w:lineRule="exact"/>
        <w:rPr>
          <w:rFonts w:ascii="Times New Roman" w:cs="Times New Roman" w:eastAsia="Times New Roman" w:hAnsi="Times New Roman"/>
          <w:sz w:val="18"/>
          <w:szCs w:val="18"/>
          <w:color w:val="auto"/>
        </w:rPr>
      </w:pPr>
    </w:p>
    <w:p>
      <w:pPr>
        <w:ind w:left="980" w:right="320" w:hanging="545"/>
        <w:spacing w:after="0" w:line="278" w:lineRule="auto"/>
        <w:tabs>
          <w:tab w:leader="none" w:pos="98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statement was furnished to Omada Health, Inc., for whom taxpayer rendered the services underlying the transfer of such property.</w:t>
      </w:r>
    </w:p>
    <w:p>
      <w:pPr>
        <w:spacing w:after="0" w:line="69"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This statement is executed on           ,       .</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297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Spouse (if any)</w:t>
      </w:r>
      <w:r>
        <w:rPr>
          <w:sz w:val="20"/>
          <w:szCs w:val="20"/>
          <w:color w:val="auto"/>
        </w:rPr>
        <w:tab/>
      </w:r>
      <w:r>
        <w:rPr>
          <w:rFonts w:ascii="Times New Roman" w:cs="Times New Roman" w:eastAsia="Times New Roman" w:hAnsi="Times New Roman"/>
          <w:sz w:val="17"/>
          <w:szCs w:val="17"/>
          <w:color w:val="auto"/>
        </w:rPr>
        <w:t>Taxpayer</w:t>
      </w:r>
    </w:p>
    <w:p>
      <w:pPr>
        <w:spacing w:after="0" w:line="21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Within 30 days after the date of transfer, this election must be filed with the Internal Revenue Service Center where the Transferee files his or her federal income tax returns. The filing should be made by registered or certified mail, return receipt requested. The Transferee must (a) file a copy of the completed form with his or her federal tax return for the current tax year and (b) deliver an additional copy to the Company.</w:t>
      </w:r>
    </w:p>
    <w:p>
      <w:pPr>
        <w:sectPr>
          <w:pgSz w:w="11900" w:h="16838" w:orient="portrait"/>
          <w:cols w:equalWidth="0" w:num="1">
            <w:col w:w="10920"/>
          </w:cols>
          <w:pgMar w:left="480" w:top="264" w:right="499" w:bottom="1440" w:gutter="0" w:footer="0" w:header="0"/>
        </w:sectPr>
      </w:pPr>
    </w:p>
    <w:bookmarkStart w:id="806" w:name="page807"/>
    <w:bookmarkEnd w:id="80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721995" cy="1695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199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SANSOME ST., SUITE 200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(888) 987-8337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Cook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Offer of Employment by Omada Health,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Steve,</w:t>
      </w:r>
    </w:p>
    <w:p>
      <w:pPr>
        <w:spacing w:after="0" w:line="22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I am very pleased to confirm our offer to you of employment with Omada Health, Inc. (the “Company”). You will report to Sean Duffy, Chief Executive Officer, in the position of Chief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The terms of our offer and the benefits currently provided by the Company are as follows:</w:t>
      </w:r>
    </w:p>
    <w:p>
      <w:pPr>
        <w:spacing w:after="0" w:line="244" w:lineRule="exact"/>
        <w:rPr>
          <w:sz w:val="20"/>
          <w:szCs w:val="20"/>
          <w:color w:val="auto"/>
        </w:rPr>
      </w:pPr>
    </w:p>
    <w:p>
      <w:pPr>
        <w:ind w:left="980" w:hanging="545"/>
        <w:spacing w:after="0"/>
        <w:tabs>
          <w:tab w:leader="none" w:pos="980"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Compensation.</w:t>
      </w:r>
    </w:p>
    <w:p>
      <w:pPr>
        <w:spacing w:after="0" w:line="247" w:lineRule="exact"/>
        <w:rPr>
          <w:rFonts w:ascii="Times New Roman" w:cs="Times New Roman" w:eastAsia="Times New Roman" w:hAnsi="Times New Roman"/>
          <w:sz w:val="18"/>
          <w:szCs w:val="18"/>
          <w:b w:val="1"/>
          <w:bCs w:val="1"/>
          <w:color w:val="auto"/>
        </w:rPr>
      </w:pPr>
    </w:p>
    <w:p>
      <w:pPr>
        <w:ind w:left="1420" w:right="600" w:hanging="436"/>
        <w:spacing w:after="0" w:line="282" w:lineRule="auto"/>
        <w:tabs>
          <w:tab w:leader="none" w:pos="1420" w:val="left"/>
        </w:tabs>
        <w:numPr>
          <w:ilvl w:val="1"/>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Starting Salary. </w:t>
      </w:r>
      <w:r>
        <w:rPr>
          <w:rFonts w:ascii="Times New Roman" w:cs="Times New Roman" w:eastAsia="Times New Roman" w:hAnsi="Times New Roman"/>
          <w:sz w:val="18"/>
          <w:szCs w:val="18"/>
          <w:color w:val="auto"/>
        </w:rPr>
        <w:t>Your starting salary will be $380,000 per year and will be subject to periodic review. You will be an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will not be eligible for overtime pay.</w:t>
      </w:r>
    </w:p>
    <w:p>
      <w:pPr>
        <w:spacing w:after="0" w:line="182" w:lineRule="exact"/>
        <w:rPr>
          <w:rFonts w:ascii="Times New Roman" w:cs="Times New Roman" w:eastAsia="Times New Roman" w:hAnsi="Times New Roman"/>
          <w:sz w:val="18"/>
          <w:szCs w:val="18"/>
          <w:b w:val="1"/>
          <w:bCs w:val="1"/>
          <w:color w:val="auto"/>
        </w:rPr>
      </w:pPr>
    </w:p>
    <w:p>
      <w:pPr>
        <w:ind w:left="1420" w:hanging="436"/>
        <w:spacing w:after="0"/>
        <w:tabs>
          <w:tab w:leader="none" w:pos="1420" w:val="left"/>
        </w:tabs>
        <w:numPr>
          <w:ilvl w:val="1"/>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Cash Bonus</w:t>
      </w:r>
      <w:r>
        <w:rPr>
          <w:rFonts w:ascii="Times New Roman" w:cs="Times New Roman" w:eastAsia="Times New Roman" w:hAnsi="Times New Roman"/>
          <w:sz w:val="18"/>
          <w:szCs w:val="18"/>
          <w:color w:val="auto"/>
        </w:rPr>
        <w:t>. You will be eligible to participate in the Company’s annual cash bonus plan with a target amount equal to</w:t>
      </w:r>
    </w:p>
    <w:p>
      <w:pPr>
        <w:spacing w:after="0" w:line="29" w:lineRule="exact"/>
        <w:rPr>
          <w:rFonts w:ascii="Times New Roman" w:cs="Times New Roman" w:eastAsia="Times New Roman" w:hAnsi="Times New Roman"/>
          <w:sz w:val="18"/>
          <w:szCs w:val="18"/>
          <w:b w:val="1"/>
          <w:bCs w:val="1"/>
          <w:color w:val="auto"/>
        </w:rPr>
      </w:pPr>
    </w:p>
    <w:p>
      <w:pPr>
        <w:ind w:left="1420" w:right="4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$38,000 for calendar year 2021. Payments under the cash bonus plan are based on Company and your individual performance goals, as determined by the Company, and the Company shall have sole discretion in determining whether performance goals have been achieved and the amount of such bonus. To be eligible to receive any bonus, you must be employed by the Company on the date that bonuses are granted; which will be no later than March 15 of the year following the applicable bonus measurement year. The Company reserves the right to change, modify, or terminate the cash bonus plan or any of the terms or conditions of the cash bonus plan, in its sole discretion, provided that any change will be prospective and will not result in a forfeiture of earned compensation. The fact that you are eligible for a bonus in a particular year does not guarantee that you will be eligible for a bonus in any following year. Notwithstanding the foregoing, with respect to your bonus for calendar year 2022, your target amount shall be equal to 20% of your base salary and in no event shall you receive less than such target amount for your service in 2022, provided you are employed on the date of payment of such bonus.</w:t>
      </w:r>
    </w:p>
    <w:p>
      <w:pPr>
        <w:sectPr>
          <w:pgSz w:w="11900" w:h="16838" w:orient="portrait"/>
          <w:cols w:equalWidth="0" w:num="1">
            <w:col w:w="10920"/>
          </w:cols>
          <w:pgMar w:left="480" w:top="116" w:right="499" w:bottom="1440" w:gutter="0" w:footer="0" w:header="0"/>
        </w:sectPr>
      </w:pPr>
    </w:p>
    <w:bookmarkStart w:id="807" w:name="page808"/>
    <w:bookmarkEnd w:id="807"/>
    <w:p>
      <w:pPr>
        <w:ind w:left="1420" w:hanging="436"/>
        <w:spacing w:after="0" w:line="253" w:lineRule="auto"/>
        <w:tabs>
          <w:tab w:leader="none" w:pos="1420" w:val="left"/>
        </w:tabs>
        <w:numPr>
          <w:ilvl w:val="1"/>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182880</wp:posOffset>
            </wp:positionV>
            <wp:extent cx="721995" cy="1695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clrChange>
                        <a:clrFrom>
                          <a:srgbClr val="FFFFFF"/>
                        </a:clrFrom>
                        <a:clrTo>
                          <a:srgbClr val="FFFFFF">
                            <a:alpha val="0"/>
                          </a:srgbClr>
                        </a:clrTo>
                      </a:clrChange>
                      <a:extLst>
                        <a:ext uri="{28A0092B-C50C-407E-A947-70E740481C1C}"/>
                      </a:extLst>
                    </a:blip>
                    <a:srcRect/>
                    <a:stretch>
                      <a:fillRect/>
                    </a:stretch>
                  </pic:blipFill>
                  <pic:spPr bwMode="auto">
                    <a:xfrm>
                      <a:off x="0" y="0"/>
                      <a:ext cx="721995" cy="169545"/>
                    </a:xfrm>
                    <a:prstGeom prst="rect">
                      <a:avLst/>
                    </a:prstGeom>
                    <a:noFill/>
                  </pic:spPr>
                </pic:pic>
              </a:graphicData>
            </a:graphic>
          </wp:anchor>
        </w:drawing>
        <w:t xml:space="preserve">Sign-on Bonus. </w:t>
      </w:r>
      <w:r>
        <w:rPr>
          <w:rFonts w:ascii="Times New Roman" w:cs="Times New Roman" w:eastAsia="Times New Roman" w:hAnsi="Times New Roman"/>
          <w:sz w:val="18"/>
          <w:szCs w:val="18"/>
          <w:color w:val="auto"/>
        </w:rPr>
        <w:t>We are pleased to offer you a signing bonus of $80,000. This bonus will be paid in one lump sum in a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 on the next regularly scheduled pay date after you start employment with the Company. The signing bonus is subject to all regular payroll taxes. In the event that you voluntarily choose to leave the Company or your employment with the Company is terminated for Cause (as defined in the Acceleration Policy, as defined below), in each case within 12 months of your date of hire, you will be responsible for reimbursing the Company for the entire signing bonus. By your signature on this employment agreement, you authorize the Company to withhold this amount $80,000, or a reasonable installment of such amount, from any final payments you receive upon your resignation or termination from employment.</w:t>
      </w:r>
    </w:p>
    <w:p>
      <w:pPr>
        <w:spacing w:after="0" w:line="90" w:lineRule="exact"/>
        <w:rPr>
          <w:rFonts w:ascii="Times New Roman" w:cs="Times New Roman" w:eastAsia="Times New Roman" w:hAnsi="Times New Roman"/>
          <w:sz w:val="18"/>
          <w:szCs w:val="18"/>
          <w:b w:val="1"/>
          <w:bCs w:val="1"/>
          <w:color w:val="auto"/>
        </w:rPr>
      </w:pPr>
    </w:p>
    <w:p>
      <w:pPr>
        <w:ind w:left="1420" w:hanging="436"/>
        <w:spacing w:after="0"/>
        <w:tabs>
          <w:tab w:leader="none" w:pos="1420" w:val="left"/>
        </w:tabs>
        <w:numPr>
          <w:ilvl w:val="1"/>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 Days. </w:t>
      </w:r>
      <w:r>
        <w:rPr>
          <w:rFonts w:ascii="Times New Roman" w:cs="Times New Roman" w:eastAsia="Times New Roman" w:hAnsi="Times New Roman"/>
          <w:sz w:val="18"/>
          <w:szCs w:val="18"/>
          <w:color w:val="auto"/>
        </w:rPr>
        <w:t>The Company’s payroll schedule is bi-weekly, with pay dates occurring every two weeks.</w:t>
      </w:r>
    </w:p>
    <w:p>
      <w:pPr>
        <w:spacing w:after="0" w:line="127" w:lineRule="exact"/>
        <w:rPr>
          <w:rFonts w:ascii="Times New Roman" w:cs="Times New Roman" w:eastAsia="Times New Roman" w:hAnsi="Times New Roman"/>
          <w:sz w:val="18"/>
          <w:szCs w:val="18"/>
          <w:b w:val="1"/>
          <w:bCs w:val="1"/>
          <w:color w:val="auto"/>
        </w:rPr>
      </w:pPr>
    </w:p>
    <w:p>
      <w:pPr>
        <w:ind w:left="980" w:hanging="545"/>
        <w:spacing w:after="0" w:line="251" w:lineRule="auto"/>
        <w:tabs>
          <w:tab w:leader="none" w:pos="98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Equity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you will be eligible to receive, based on Company (100%) performance goals to be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its sole discretion, an annual target bonus consisting of a stock option grant of up to 22,000 shares of common stock for calendar year 2021. The Company will notify you of the number of stock options subject to this annual target bonus in writing once confirmed by the Company. The Company shall have sole discretion in determining whether performance goals have been achieved and the amount of such bonus. To be eligible to receive any bonus, you must be employed by the Company on the date that bonuses are granted; which will be no later than March 15 of the year following the applicable bonus measurement year. The stock options awarded, if any, will be subject to approval by the Company’s Board of Directors, and will be subject to the terms and conditions of the Company’s 2011 Stock Plan and applicable equity agreements. The Company reserves the right to change, modify, or terminate the bonus or any of the terms or conditions of the bonus, in its sole discretion, provided that any change will be prospective and will not result in a forfeiture of earned compensation. The fact that you are eligible for a bonus in a particular year does not guarantee that you will be eligible for a bonus in any following year.</w:t>
      </w:r>
    </w:p>
    <w:p>
      <w:pPr>
        <w:spacing w:after="0" w:line="92" w:lineRule="exact"/>
        <w:rPr>
          <w:rFonts w:ascii="Times New Roman" w:cs="Times New Roman" w:eastAsia="Times New Roman" w:hAnsi="Times New Roman"/>
          <w:sz w:val="18"/>
          <w:szCs w:val="18"/>
          <w:b w:val="1"/>
          <w:bCs w:val="1"/>
          <w:color w:val="auto"/>
        </w:rPr>
      </w:pPr>
    </w:p>
    <w:p>
      <w:pPr>
        <w:ind w:left="980" w:right="80" w:hanging="545"/>
        <w:spacing w:after="0" w:line="282" w:lineRule="auto"/>
        <w:tabs>
          <w:tab w:leader="none" w:pos="98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you will be eligible to participate in regular health insurance, bonus and other employee benefit plans established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its employees from time to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reserves the right to change or otherwise modify, in its sole discretion, the preceding terms of employment.</w:t>
      </w:r>
    </w:p>
    <w:p>
      <w:pPr>
        <w:spacing w:after="0" w:line="123" w:lineRule="exact"/>
        <w:rPr>
          <w:sz w:val="20"/>
          <w:szCs w:val="20"/>
          <w:color w:val="auto"/>
        </w:rPr>
      </w:pPr>
    </w:p>
    <w:p>
      <w:pPr>
        <w:ind w:left="980" w:hanging="545"/>
        <w:spacing w:after="0" w:line="256" w:lineRule="auto"/>
        <w:tabs>
          <w:tab w:leader="none" w:pos="98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of the Company, you will have access to certain confidential information of the Company and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course of your employment, develop certain information or inventions that will be the property of the Company. To protect the interests of the Company, you will need to sign the Company’s standard “Employee Invention Assignment and Confidentiality Agreement” as a condition of your employment. We wish to impress upon you that we do not want you to, and we hereby direct you not to, bring with you 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679" w:right="519" w:bottom="1440" w:gutter="0" w:footer="0" w:header="0"/>
        </w:sectPr>
      </w:pPr>
    </w:p>
    <w:bookmarkStart w:id="808" w:name="page809"/>
    <w:bookmarkEnd w:id="808"/>
    <w:p>
      <w:pPr>
        <w:ind w:left="545"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182880</wp:posOffset>
            </wp:positionV>
            <wp:extent cx="721995" cy="1695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clrChange>
                        <a:clrFrom>
                          <a:srgbClr val="FFFFFF"/>
                        </a:clrFrom>
                        <a:clrTo>
                          <a:srgbClr val="FFFFFF">
                            <a:alpha val="0"/>
                          </a:srgbClr>
                        </a:clrTo>
                      </a:clrChange>
                      <a:extLst>
                        <a:ext uri="{28A0092B-C50C-407E-A947-70E740481C1C}"/>
                      </a:extLst>
                    </a:blip>
                    <a:srcRect/>
                    <a:stretch>
                      <a:fillRect/>
                    </a:stretch>
                  </pic:blipFill>
                  <pic:spPr bwMode="auto">
                    <a:xfrm>
                      <a:off x="0" y="0"/>
                      <a:ext cx="721995" cy="169545"/>
                    </a:xfrm>
                    <a:prstGeom prst="rect">
                      <a:avLst/>
                    </a:prstGeom>
                    <a:noFill/>
                  </pic:spPr>
                </pic:pic>
              </a:graphicData>
            </a:graphic>
          </wp:anchor>
        </w:drawing>
        <w:t>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w:t>
      </w:r>
    </w:p>
    <w:p>
      <w:pPr>
        <w:spacing w:after="0" w:line="86" w:lineRule="exact"/>
        <w:rPr>
          <w:sz w:val="20"/>
          <w:szCs w:val="20"/>
          <w:color w:val="auto"/>
        </w:rPr>
      </w:pPr>
    </w:p>
    <w:p>
      <w:pPr>
        <w:ind w:left="545" w:right="60" w:hanging="545"/>
        <w:spacing w:after="0" w:line="259" w:lineRule="auto"/>
        <w:tabs>
          <w:tab w:leader="none" w:pos="545"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Breach of Obligations to Prior Employers.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represent that your signing of this offer letter, agreement(s) concerning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you, if any, under the Plan (as defined below) and the Company’s Employee Invention Assignment and Confidentiality Agreement and your commencement of employment with the Company will not violate any agreement currently in place between yourself and current or past employers.</w:t>
      </w:r>
    </w:p>
    <w:p>
      <w:pPr>
        <w:spacing w:after="0" w:line="82" w:lineRule="exact"/>
        <w:rPr>
          <w:rFonts w:ascii="Times New Roman" w:cs="Times New Roman" w:eastAsia="Times New Roman" w:hAnsi="Times New Roman"/>
          <w:sz w:val="18"/>
          <w:szCs w:val="18"/>
          <w:b w:val="1"/>
          <w:bCs w:val="1"/>
          <w:color w:val="auto"/>
        </w:rPr>
      </w:pPr>
    </w:p>
    <w:p>
      <w:pPr>
        <w:ind w:left="545" w:right="40" w:hanging="545"/>
        <w:spacing w:after="0" w:line="255" w:lineRule="auto"/>
        <w:tabs>
          <w:tab w:leader="none" w:pos="545"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will recommend to the Board of Directors of the Company that you be granted the opportunity to purchase up to 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hundred seventy-five thousand (875,000) shares of Common Stock of the Company (the “Initial Option”) under our 2011 Equity Incentive Plan (the “Plan”) at the fair market value of the Company’s Common Stock, as determined by the Board of Directors on the date the Board approves such grant. The shares you will be given the opportunity to purchase will vest at the rate of twenty-five percent (25%) at the end of your first anniversary with the Company, and the balance of the shares subject to the Initial Option will vest in equal monthly installments over the next thirty-six (36) months of continuous service, so long as you remain employed by the Company.</w:t>
      </w:r>
    </w:p>
    <w:p>
      <w:pPr>
        <w:spacing w:after="0" w:line="75" w:lineRule="exact"/>
        <w:rPr>
          <w:rFonts w:ascii="Times New Roman" w:cs="Times New Roman" w:eastAsia="Times New Roman" w:hAnsi="Times New Roman"/>
          <w:sz w:val="18"/>
          <w:szCs w:val="18"/>
          <w:b w:val="1"/>
          <w:bCs w:val="1"/>
          <w:color w:val="auto"/>
        </w:rPr>
      </w:pPr>
    </w:p>
    <w:p>
      <w:pPr>
        <w:ind w:left="545"/>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and concurrent with the grant of the Initial Option, we will recommend to the Board of Directors of the Company that you be granted the opportunity to purchase up to one hundred twenty-five thousand (125,000) shares of Common Stock of the Company (the “Second Option,” and, together with the Initial Option, the “Options”) under the Plan at the fair market value of the Company’s Common Stock, as determined by the Board of Directors on the date the Board approves such grant. The Second Option shall not vest or become exercisable until the initial closing of a Qualifying Financing (as defined below) that occurs on or before June 30, 2022. In the event the initial closing of a Qualified Financing does not occur on or before June 30, 2022, then the Second Option shall terminate and cease to be outstanding as of June 30, 2022 for no consideration. In the event the initial closing of a Qualified Financing timely occurs, then the shares subject to the Second Option vest at the same rate as the Initial Option, so long as you remain employed by the Company. Notwithstanding the below double trigger acceleration, in the event that the Company is a party to a merger or consolidation, or in the event of a sale of all or substantially all of the Company’s stock or assets prior to the initial closing of a Qualified Financing, then immediately prior to the Corporate Transaction the Second Option automatically shall be forfeited and terminated for no consideration (and shall not become exercisable).</w:t>
      </w:r>
    </w:p>
    <w:p>
      <w:pPr>
        <w:spacing w:after="0" w:line="128"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5"/>
          </w:cols>
          <w:pgMar w:left="915" w:top="683" w:right="499" w:bottom="1440" w:gutter="0" w:footer="0" w:header="0"/>
        </w:sectPr>
      </w:pPr>
    </w:p>
    <w:bookmarkStart w:id="809" w:name="page810"/>
    <w:bookmarkEnd w:id="809"/>
    <w:p>
      <w:pPr>
        <w:ind w:left="545"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21995" cy="16954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clrChange>
                        <a:clrFrom>
                          <a:srgbClr val="FFFFFF"/>
                        </a:clrFrom>
                        <a:clrTo>
                          <a:srgbClr val="FFFFFF">
                            <a:alpha val="0"/>
                          </a:srgbClr>
                        </a:clrTo>
                      </a:clrChange>
                      <a:extLst>
                        <a:ext uri="{28A0092B-C50C-407E-A947-70E740481C1C}"/>
                      </a:extLst>
                    </a:blip>
                    <a:srcRect/>
                    <a:stretch>
                      <a:fillRect/>
                    </a:stretch>
                  </pic:blipFill>
                  <pic:spPr bwMode="auto">
                    <a:xfrm>
                      <a:off x="0" y="0"/>
                      <a:ext cx="721995" cy="169545"/>
                    </a:xfrm>
                    <a:prstGeom prst="rect">
                      <a:avLst/>
                    </a:prstGeom>
                    <a:noFill/>
                  </pic:spPr>
                </pic:pic>
              </a:graphicData>
            </a:graphic>
          </wp:anchor>
        </w:drawing>
        <w:t>Notwithstanding the above, your outstanding equity awards, including, without limitation, the Options (except as provided above with respect to the Second Option), will be subject to acceleration under the Company’s Double-Trigger Acceleration Policy, or any successor thereto, as it may be amended and/or restated, and to the extent in effect and applicable to you, from time to time (“Acceleration Policy”). The Company reserves the right to amend, modify and/or terminate the Acceleration Policy at any time, provided that the Company will notify you in writing of any changes to the Acceleration Policy that affect you and/or any changes in your eligibility to participate in the Acceleration Policy after the commencement of your employment with the Company.</w:t>
      </w:r>
    </w:p>
    <w:p>
      <w:pPr>
        <w:spacing w:after="0" w:line="77" w:lineRule="exact"/>
        <w:rPr>
          <w:sz w:val="20"/>
          <w:szCs w:val="20"/>
          <w:color w:val="auto"/>
        </w:rPr>
      </w:pPr>
    </w:p>
    <w:p>
      <w:pPr>
        <w:ind w:left="545"/>
        <w:spacing w:after="0" w:line="254" w:lineRule="auto"/>
        <w:rPr>
          <w:sz w:val="20"/>
          <w:szCs w:val="20"/>
          <w:color w:val="auto"/>
        </w:rPr>
      </w:pPr>
      <w:r>
        <w:rPr>
          <w:rFonts w:ascii="Times New Roman" w:cs="Times New Roman" w:eastAsia="Times New Roman" w:hAnsi="Times New Roman"/>
          <w:sz w:val="18"/>
          <w:szCs w:val="18"/>
          <w:color w:val="auto"/>
        </w:rPr>
        <w:t>However, the grant of the Options by the Company is subject to the Board’s approval and this promise to recommend such approval is not a promise of compensation and is not intended to create any obligation on the part of the Company. Further details on the Plan and any specific option grant(s) to you will be provided upon approval of such grant by the Company’s Board of Directors. For purposes hereof, a “Qualified Financing” shall mean the first single transaction or investment principally for financing purposes that closes after the date you commence employment with the Company that results in an amount received by the Company of no less than $100,000,000 that must be achieved by June 30, 2022.</w:t>
      </w:r>
    </w:p>
    <w:p>
      <w:pPr>
        <w:spacing w:after="0" w:line="86" w:lineRule="exact"/>
        <w:rPr>
          <w:sz w:val="20"/>
          <w:szCs w:val="20"/>
          <w:color w:val="auto"/>
        </w:rPr>
      </w:pPr>
    </w:p>
    <w:p>
      <w:pPr>
        <w:ind w:left="545" w:hanging="545"/>
        <w:spacing w:after="0" w:line="253" w:lineRule="auto"/>
        <w:tabs>
          <w:tab w:leader="none" w:pos="545"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 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we look forward to a long and profitable relationship, should you decide to accept our offer, you will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at-will employee of the Company, which means the employment relationship can be terminated by either of us for any reason, at any time, with or without prior notice and with or without cause. Any statements or representations to the contrary (and, indeed, any statements contradicting any provision in this letter) should be regarded by you as ineffective. Further, your participation in any stock option or benefit program is not to be regarded as assuring you of continuing employment for any particular period of time. Any modification or change in your at will employment status may only occur by way of a written employment agreement signed by you and the Chief Executive Officer of the Company.</w:t>
      </w:r>
    </w:p>
    <w:p>
      <w:pPr>
        <w:spacing w:after="0" w:line="90" w:lineRule="exact"/>
        <w:rPr>
          <w:rFonts w:ascii="Times New Roman" w:cs="Times New Roman" w:eastAsia="Times New Roman" w:hAnsi="Times New Roman"/>
          <w:sz w:val="18"/>
          <w:szCs w:val="18"/>
          <w:b w:val="1"/>
          <w:bCs w:val="1"/>
          <w:color w:val="auto"/>
        </w:rPr>
      </w:pPr>
    </w:p>
    <w:p>
      <w:pPr>
        <w:jc w:val="both"/>
        <w:ind w:left="545" w:right="180" w:hanging="545"/>
        <w:spacing w:after="0" w:line="265" w:lineRule="auto"/>
        <w:tabs>
          <w:tab w:leader="none" w:pos="545"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your employment, you are responsible for remaining in full compliance with applicable laws,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that are applicable to your employment, and a failure to remain in legal compliance may adversely impact your employment with the Company.</w:t>
      </w:r>
    </w:p>
    <w:p>
      <w:pPr>
        <w:spacing w:after="0" w:line="228" w:lineRule="exact"/>
        <w:rPr>
          <w:sz w:val="20"/>
          <w:szCs w:val="20"/>
          <w:color w:val="auto"/>
        </w:rPr>
      </w:pPr>
    </w:p>
    <w:p>
      <w:pPr>
        <w:jc w:val="center"/>
        <w:ind w:right="33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05"/>
          </w:cols>
          <w:pgMar w:left="915" w:top="683" w:right="579" w:bottom="1440" w:gutter="0" w:footer="0" w:header="0"/>
        </w:sectPr>
      </w:pPr>
    </w:p>
    <w:bookmarkStart w:id="810" w:name="page811"/>
    <w:bookmarkEnd w:id="810"/>
    <w:p>
      <w:pPr>
        <w:ind w:left="545" w:right="240" w:hanging="545"/>
        <w:spacing w:after="0" w:line="259" w:lineRule="auto"/>
        <w:tabs>
          <w:tab w:leader="none" w:pos="545"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182880</wp:posOffset>
            </wp:positionV>
            <wp:extent cx="721995" cy="1695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clrChange>
                        <a:clrFrom>
                          <a:srgbClr val="FFFFFF"/>
                        </a:clrFrom>
                        <a:clrTo>
                          <a:srgbClr val="FFFFFF">
                            <a:alpha val="0"/>
                          </a:srgbClr>
                        </a:clrTo>
                      </a:clrChange>
                      <a:extLst>
                        <a:ext uri="{28A0092B-C50C-407E-A947-70E740481C1C}"/>
                      </a:extLst>
                    </a:blip>
                    <a:srcRect/>
                    <a:stretch>
                      <a:fillRect/>
                    </a:stretch>
                  </pic:blipFill>
                  <pic:spPr bwMode="auto">
                    <a:xfrm>
                      <a:off x="0" y="0"/>
                      <a:ext cx="721995" cy="169545"/>
                    </a:xfrm>
                    <a:prstGeom prst="rect">
                      <a:avLst/>
                    </a:prstGeom>
                    <a:noFill/>
                  </pic:spPr>
                </pic:pic>
              </a:graphicData>
            </a:graphic>
          </wp:anchor>
        </w:drawing>
        <w:t>Authorization to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note that because of employer regulations adopted in the Immigration Reform and Control Act of 1986,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three (3) business days of starting your new position you will need to present documentation demonstrating that you have authorization to work in the United States. If you have questions about this requirement, which applies to U.S. citizens and non-U.S. citizens alike, you may contact our personnel office.</w:t>
      </w:r>
    </w:p>
    <w:p>
      <w:pPr>
        <w:spacing w:after="0" w:line="82" w:lineRule="exact"/>
        <w:rPr>
          <w:rFonts w:ascii="Times New Roman" w:cs="Times New Roman" w:eastAsia="Times New Roman" w:hAnsi="Times New Roman"/>
          <w:sz w:val="18"/>
          <w:szCs w:val="18"/>
          <w:b w:val="1"/>
          <w:bCs w:val="1"/>
          <w:color w:val="auto"/>
        </w:rPr>
      </w:pPr>
    </w:p>
    <w:p>
      <w:pPr>
        <w:ind w:left="545" w:hanging="545"/>
        <w:spacing w:after="0" w:line="250" w:lineRule="auto"/>
        <w:tabs>
          <w:tab w:leader="none" w:pos="545"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 and Class Action Waiver</w:t>
      </w:r>
      <w:r>
        <w:rPr>
          <w:rFonts w:ascii="Times New Roman" w:cs="Times New Roman" w:eastAsia="Times New Roman" w:hAnsi="Times New Roman"/>
          <w:sz w:val="18"/>
          <w:szCs w:val="18"/>
          <w:color w:val="auto"/>
        </w:rPr>
        <w:t>. You and the Company agree to submit to mandatory binding arbitration any and all claims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(collectively, “Arbitrable Claims”) except that: (i) each party may, at its, his or her option, seek injunctive relief in court related to the improper use, disclosure or misappropriation of a party’s private, proprietary, confidential or trade secret information; (ii) all claims that may not be arbitrated under applicable state law, to the extent that such law has not been preempted or ruled unenforceable by a court of competent jurisdiction, may be pursued in any appropriate forum, including court; and (iii) representative claims under state or local Private Attorneys General Act (PAGA) statutes or similar laws may be pursued in any appropriate forum, if required by applicable law. To the fullest extent permitted by law, you and the Company agree that no class or collective actions can be asserted in arbitration or otherwise. All claims in arbitration must be brought solely in your or the Company’s individual capacity, and not as a plaintiff or class member in any purported class or collective proceeding. Nothing in this Arbitration and Class Action Waiver section, however, restricts your right, if any, to file in court a representative action where, as a matter of law, the parties may not restrict the ability to file such claims.</w:t>
      </w:r>
    </w:p>
    <w:p>
      <w:pPr>
        <w:spacing w:after="0" w:line="89" w:lineRule="exact"/>
        <w:rPr>
          <w:rFonts w:ascii="Times New Roman" w:cs="Times New Roman" w:eastAsia="Times New Roman" w:hAnsi="Times New Roman"/>
          <w:sz w:val="18"/>
          <w:szCs w:val="18"/>
          <w:b w:val="1"/>
          <w:bCs w:val="1"/>
          <w:color w:val="auto"/>
        </w:rPr>
      </w:pPr>
    </w:p>
    <w:p>
      <w:pPr>
        <w:ind w:left="545" w:right="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ABOVE, THE PARTIES HEREBY WAIVE ANY RIGHTS THEY MAY HAVE TO TRIAL BY JURY IN REGARD TO ARBITRABLE CLAIMS. THE PARTIES FURTHER WAIVE ANY RIGHTS THEY MAY HAVE TO PURSUE OR PARTICIPATE IN A CLASS OR COLLECTIVE ACTION PERTAINING TO ANY CLAIMS BETWEEN THEM.</w:t>
      </w:r>
    </w:p>
    <w:p>
      <w:pPr>
        <w:spacing w:after="0" w:line="68" w:lineRule="exact"/>
        <w:rPr>
          <w:rFonts w:ascii="Times New Roman" w:cs="Times New Roman" w:eastAsia="Times New Roman" w:hAnsi="Times New Roman"/>
          <w:sz w:val="18"/>
          <w:szCs w:val="18"/>
          <w:b w:val="1"/>
          <w:bCs w:val="1"/>
          <w:color w:val="auto"/>
        </w:rPr>
      </w:pPr>
    </w:p>
    <w:p>
      <w:pPr>
        <w:ind w:left="545"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Arbitrable Claims. The arbitration shall be conducted through JAMS before a single neutral arbitrator, in accordance with the JAMS employment arbitration rules then in effect. The JAMS rules may be found and reviewed at </w:t>
      </w:r>
      <w:r>
        <w:rPr>
          <w:rFonts w:ascii="Times New Roman" w:cs="Times New Roman" w:eastAsia="Times New Roman" w:hAnsi="Times New Roman"/>
          <w:sz w:val="18"/>
          <w:szCs w:val="18"/>
          <w:u w:val="single" w:color="auto"/>
          <w:color w:val="auto"/>
        </w:rPr>
        <w:t>http://www.jamsadr.com/rules-employment-arbitration</w:t>
      </w:r>
      <w:r>
        <w:rPr>
          <w:rFonts w:ascii="Times New Roman" w:cs="Times New Roman" w:eastAsia="Times New Roman" w:hAnsi="Times New Roman"/>
          <w:sz w:val="18"/>
          <w:szCs w:val="18"/>
          <w:color w:val="auto"/>
        </w:rPr>
        <w:t>. If you are unable to access these rules, upon request the Company will provide you with a hard copy. The arbitrator shall issue a written decision that contains the essential findings and conclusions on which the decision is based.</w:t>
      </w:r>
    </w:p>
    <w:p>
      <w:pPr>
        <w:spacing w:after="0" w:line="120"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5"/>
          </w:cols>
          <w:pgMar w:left="915" w:top="680" w:right="499" w:bottom="1440" w:gutter="0" w:footer="0" w:header="0"/>
        </w:sectPr>
      </w:pPr>
    </w:p>
    <w:bookmarkStart w:id="811" w:name="page812"/>
    <w:bookmarkEnd w:id="811"/>
    <w:p>
      <w:pPr>
        <w:ind w:left="980" w:right="240" w:hanging="545"/>
        <w:spacing w:after="0" w:line="265" w:lineRule="auto"/>
        <w:tabs>
          <w:tab w:leader="none" w:pos="980"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21995" cy="1695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clrChange>
                        <a:clrFrom>
                          <a:srgbClr val="FFFFFF"/>
                        </a:clrFrom>
                        <a:clrTo>
                          <a:srgbClr val="FFFFFF">
                            <a:alpha val="0"/>
                          </a:srgbClr>
                        </a:clrTo>
                      </a:clrChange>
                      <a:extLst>
                        <a:ext uri="{28A0092B-C50C-407E-A947-70E740481C1C}"/>
                      </a:extLst>
                    </a:blip>
                    <a:srcRect/>
                    <a:stretch>
                      <a:fillRect/>
                    </a:stretch>
                  </pic:blipFill>
                  <pic:spPr bwMode="auto">
                    <a:xfrm>
                      <a:off x="0" y="0"/>
                      <a:ext cx="721995" cy="169545"/>
                    </a:xfrm>
                    <a:prstGeom prst="rect">
                      <a:avLst/>
                    </a:prstGeom>
                    <a:noFill/>
                  </pic:spPr>
                </pic:pic>
              </a:graphicData>
            </a:graphic>
          </wp:anchor>
        </w:drawing>
        <w:t>Background 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offer is contingent upon a satisfactory verification of criminal, education, driving, and/or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background and Medicare and similar federal and state exclusion databases. This offer can be rescinded based upon data received in the verification.</w:t>
      </w:r>
    </w:p>
    <w:p>
      <w:pPr>
        <w:spacing w:after="0" w:line="76" w:lineRule="exact"/>
        <w:rPr>
          <w:rFonts w:ascii="Times New Roman" w:cs="Times New Roman" w:eastAsia="Times New Roman" w:hAnsi="Times New Roman"/>
          <w:sz w:val="18"/>
          <w:szCs w:val="18"/>
          <w:b w:val="1"/>
          <w:bCs w:val="1"/>
          <w:color w:val="auto"/>
        </w:rPr>
      </w:pPr>
    </w:p>
    <w:p>
      <w:pPr>
        <w:ind w:left="980" w:hanging="545"/>
        <w:spacing w:after="0" w:line="255" w:lineRule="auto"/>
        <w:tabs>
          <w:tab w:leader="none" w:pos="980"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offer, once accepted, constitutes the entire agreement between you and the Company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all prior offers, negotiations and agreements, if any, whether written or oral, relating to such subject matter. You acknowledge that neither the Company nor its agents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spacing w:after="0" w:line="84" w:lineRule="exact"/>
        <w:rPr>
          <w:rFonts w:ascii="Times New Roman" w:cs="Times New Roman" w:eastAsia="Times New Roman" w:hAnsi="Times New Roman"/>
          <w:sz w:val="18"/>
          <w:szCs w:val="18"/>
          <w:b w:val="1"/>
          <w:bCs w:val="1"/>
          <w:color w:val="auto"/>
        </w:rPr>
      </w:pPr>
    </w:p>
    <w:p>
      <w:pPr>
        <w:ind w:left="980" w:right="100" w:hanging="545"/>
        <w:spacing w:after="0" w:line="259" w:lineRule="auto"/>
        <w:tabs>
          <w:tab w:leader="none" w:pos="980"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Acceptance.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offer will remain open until June 16, 2021. If you decide to accept our offer, and I hope you will, please sign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copy of this letter in the space indicated and return it to me. Your signature will acknowledge that you have read and understood and agreed to the terms and conditions of this offer letter and the attached documents, if any. Should you have anything else that you wish to discuss, please do not hesitate to contact me.</w:t>
      </w:r>
    </w:p>
    <w:p>
      <w:pPr>
        <w:spacing w:after="0" w:line="82" w:lineRule="exact"/>
        <w:rPr>
          <w:rFonts w:ascii="Times New Roman" w:cs="Times New Roman" w:eastAsia="Times New Roman" w:hAnsi="Times New Roman"/>
          <w:sz w:val="18"/>
          <w:szCs w:val="18"/>
          <w:b w:val="1"/>
          <w:bCs w:val="1"/>
          <w:color w:val="auto"/>
        </w:rPr>
      </w:pPr>
    </w:p>
    <w:p>
      <w:pPr>
        <w:ind w:left="980" w:right="20" w:hanging="545"/>
        <w:spacing w:after="0" w:line="282" w:lineRule="auto"/>
        <w:tabs>
          <w:tab w:leader="none" w:pos="98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Pay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required by applicable law, your new hire Notice of Pay Rate is either attached or will be provided on your first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employment.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the opportunity to welcome you to the Company.</w:t>
      </w:r>
    </w:p>
    <w:p>
      <w:pPr>
        <w:spacing w:after="0" w:line="200" w:lineRule="exact"/>
        <w:rPr>
          <w:sz w:val="20"/>
          <w:szCs w:val="20"/>
          <w:color w:val="auto"/>
        </w:rPr>
      </w:pPr>
    </w:p>
    <w:p>
      <w:pPr>
        <w:spacing w:after="0" w:line="26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Sean Duffy</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Sean Duffy, CEO</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679" w:right="519" w:bottom="1440" w:gutter="0" w:footer="0" w:header="0"/>
        </w:sectPr>
      </w:pPr>
    </w:p>
    <w:bookmarkStart w:id="812" w:name="page813"/>
    <w:bookmarkEnd w:id="812"/>
    <w:p>
      <w:pPr>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182880</wp:posOffset>
            </wp:positionV>
            <wp:extent cx="721995" cy="1695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clrChange>
                        <a:clrFrom>
                          <a:srgbClr val="FFFFFF"/>
                        </a:clrFrom>
                        <a:clrTo>
                          <a:srgbClr val="FFFFFF">
                            <a:alpha val="0"/>
                          </a:srgbClr>
                        </a:clrTo>
                      </a:clrChange>
                      <a:extLst>
                        <a:ext uri="{28A0092B-C50C-407E-A947-70E740481C1C}"/>
                      </a:extLst>
                    </a:blip>
                    <a:srcRect/>
                    <a:stretch>
                      <a:fillRect/>
                    </a:stretch>
                  </pic:blipFill>
                  <pic:spPr bwMode="auto">
                    <a:xfrm>
                      <a:off x="0" y="0"/>
                      <a:ext cx="721995" cy="169545"/>
                    </a:xfrm>
                    <a:prstGeom prst="rect">
                      <a:avLst/>
                    </a:prstGeom>
                    <a:noFill/>
                  </pic:spPr>
                </pic:pic>
              </a:graphicData>
            </a:graphic>
          </wp:anchor>
        </w:drawing>
        <w:t>I have read and understood this offer letter and hereby acknowledge, accept and agree to the terms as set forth above and further acknowledge that no other commitments were made to me as part of my offer of employment except as specifically set forth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Employee Signature:</w:t>
            </w: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Cook</w:t>
            </w:r>
          </w:p>
        </w:tc>
      </w:tr>
      <w:tr>
        <w:trPr>
          <w:trHeight w:val="22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Employee Name:</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Steve Cook</w:t>
            </w:r>
          </w:p>
        </w:tc>
      </w:tr>
      <w:tr>
        <w:trPr>
          <w:trHeight w:val="42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Signed:</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6/16/2021</w:t>
            </w:r>
          </w:p>
        </w:tc>
      </w:tr>
    </w:tbl>
    <w:p>
      <w:pPr>
        <w:spacing w:after="0" w:line="1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60"/>
          </w:cols>
          <w:pgMar w:left="480" w:top="683" w:right="759" w:bottom="1440" w:gutter="0" w:footer="0" w:header="0"/>
        </w:sectPr>
      </w:pPr>
    </w:p>
    <w:bookmarkStart w:id="813" w:name="page814"/>
    <w:bookmarkEnd w:id="81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SANSOME ST., SUITE 200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Wei-Li Shao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Offer of Employment by Omada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Wei-Li,</w:t>
      </w:r>
    </w:p>
    <w:p>
      <w:pPr>
        <w:spacing w:after="0" w:line="1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 am very pleased to confirm our offer to you of employment with Omada Health, Inc. (the “Company”). You will initially report to Sean Duffy, Chief Executive Officer, in the position of Chief Commercial Officer, at the Company’s headquarters in San Francisco, California. Your start date will be May 13, 2019, unless the Company earlier informs you otherwise (the “Start Date”). The terms of our offer and the benefits currently provided by the Company are as follows:</w:t>
      </w:r>
    </w:p>
    <w:p>
      <w:pPr>
        <w:spacing w:after="0" w:line="82" w:lineRule="exact"/>
        <w:rPr>
          <w:sz w:val="20"/>
          <w:szCs w:val="20"/>
          <w:color w:val="auto"/>
        </w:rPr>
      </w:pPr>
    </w:p>
    <w:p>
      <w:pPr>
        <w:ind w:left="980" w:hanging="545"/>
        <w:spacing w:after="0"/>
        <w:tabs>
          <w:tab w:leader="none" w:pos="98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Compensation.</w:t>
      </w:r>
    </w:p>
    <w:p>
      <w:pPr>
        <w:spacing w:after="0" w:line="127" w:lineRule="exact"/>
        <w:rPr>
          <w:rFonts w:ascii="Times New Roman" w:cs="Times New Roman" w:eastAsia="Times New Roman" w:hAnsi="Times New Roman"/>
          <w:sz w:val="18"/>
          <w:szCs w:val="18"/>
          <w:b w:val="1"/>
          <w:bCs w:val="1"/>
          <w:color w:val="auto"/>
        </w:rPr>
      </w:pPr>
    </w:p>
    <w:p>
      <w:pPr>
        <w:ind w:left="1420" w:right="40" w:hanging="436"/>
        <w:spacing w:after="0" w:line="259" w:lineRule="auto"/>
        <w:tabs>
          <w:tab w:leader="none" w:pos="1420"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starting base salary will be $350,000 per year, less applicable deductions and withholding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periodic review(s) to occur a minimum of once per calendar year. You will be an exempt employee and will not be eligible for overtime pay. The Company’s payroll schedule is semi- monthly, with pay dates generally occurring on the 15th and 30th days of the month.</w:t>
      </w:r>
    </w:p>
    <w:p>
      <w:pPr>
        <w:spacing w:after="0" w:line="82" w:lineRule="exact"/>
        <w:rPr>
          <w:rFonts w:ascii="Times New Roman" w:cs="Times New Roman" w:eastAsia="Times New Roman" w:hAnsi="Times New Roman"/>
          <w:sz w:val="18"/>
          <w:szCs w:val="18"/>
          <w:b w:val="1"/>
          <w:bCs w:val="1"/>
          <w:color w:val="auto"/>
        </w:rPr>
      </w:pPr>
    </w:p>
    <w:p>
      <w:pPr>
        <w:ind w:left="1420" w:right="20" w:hanging="436"/>
        <w:spacing w:after="0" w:line="255" w:lineRule="auto"/>
        <w:tabs>
          <w:tab w:leader="none" w:pos="1420"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eligible to earn and receive, pursuant to an incentive compensation plan to be provided to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annual incentive compensation with an initial target amount of $150,000, less applicable deductions and withholding; provided, however, that your incentive compensation for your calendar year of hire will be prorated, based on the portion of the calendar year during which you are employed by the Company. The Company shall have sole discretion in determining whether incentive compensation has been earned, the amount thereof and when earned incentive-compensation will be paid, subject to the terms and conditions of your incentive-compensation plan.</w:t>
      </w:r>
    </w:p>
    <w:p>
      <w:pPr>
        <w:spacing w:after="0" w:line="84" w:lineRule="exact"/>
        <w:rPr>
          <w:rFonts w:ascii="Times New Roman" w:cs="Times New Roman" w:eastAsia="Times New Roman" w:hAnsi="Times New Roman"/>
          <w:sz w:val="18"/>
          <w:szCs w:val="18"/>
          <w:b w:val="1"/>
          <w:bCs w:val="1"/>
          <w:color w:val="auto"/>
        </w:rPr>
      </w:pPr>
    </w:p>
    <w:p>
      <w:pPr>
        <w:ind w:left="980" w:hanging="545"/>
        <w:spacing w:after="0"/>
        <w:tabs>
          <w:tab w:leader="none" w:pos="98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Equity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grant you stock options on the terms and conditions set forth below.</w:t>
      </w:r>
    </w:p>
    <w:p>
      <w:pPr>
        <w:spacing w:after="0" w:line="131" w:lineRule="exact"/>
        <w:rPr>
          <w:rFonts w:ascii="Times New Roman" w:cs="Times New Roman" w:eastAsia="Times New Roman" w:hAnsi="Times New Roman"/>
          <w:sz w:val="18"/>
          <w:szCs w:val="18"/>
          <w:b w:val="1"/>
          <w:bCs w:val="1"/>
          <w:color w:val="auto"/>
        </w:rPr>
      </w:pPr>
    </w:p>
    <w:p>
      <w:pPr>
        <w:ind w:left="1420" w:right="80" w:hanging="436"/>
        <w:spacing w:after="0" w:line="263" w:lineRule="auto"/>
        <w:tabs>
          <w:tab w:leader="none" w:pos="1420" w:val="left"/>
        </w:tabs>
        <w:numPr>
          <w:ilvl w:val="1"/>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approval by the Company’s board of directors (the “Board”) in the first quarter of 2020, at the same time that the annual bonus for 2019 is generally approved by the Board for the Company’s eligible employees, you will be granted an option to purchase up to a maximum of 22,000 shares of the Company’s common</w:t>
      </w:r>
    </w:p>
    <w:p>
      <w:pPr>
        <w:sectPr>
          <w:pgSz w:w="11900" w:h="16838" w:orient="portrait"/>
          <w:cols w:equalWidth="0" w:num="1">
            <w:col w:w="10920"/>
          </w:cols>
          <w:pgMar w:left="480" w:top="117" w:right="499" w:bottom="1440" w:gutter="0" w:footer="0" w:header="0"/>
        </w:sectPr>
      </w:pPr>
    </w:p>
    <w:bookmarkStart w:id="814" w:name="page815"/>
    <w:bookmarkEnd w:id="814"/>
    <w:p>
      <w:pPr>
        <w:ind w:left="460"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stock (the “Common Stock”) (with the actual number of shares based on attainment of applicable performance goals that have been set by the Board for the management team for 2019). The performance goals for your 2019 bonus stock option will relate exclusively to Company performance in calendar year 2019, and the shares subject to your 2019 bonus stock option will be fully vested and exercisable on grant, at which time complete grant documents will be provided to you.</w:t>
      </w:r>
    </w:p>
    <w:p>
      <w:pPr>
        <w:spacing w:after="0" w:line="86" w:lineRule="exact"/>
        <w:rPr>
          <w:sz w:val="20"/>
          <w:szCs w:val="20"/>
          <w:color w:val="auto"/>
        </w:rPr>
      </w:pPr>
    </w:p>
    <w:p>
      <w:pPr>
        <w:ind w:left="460" w:hanging="436"/>
        <w:spacing w:after="0" w:line="250" w:lineRule="auto"/>
        <w:tabs>
          <w:tab w:leader="none" w:pos="460"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your commencement of employment, the Company will grant you your 2020 bonus stock option, which will be an option to purchase up to a maximum of 150,000 shares of the Common Stock (with the actual number of shares based on attainment of applicable performance goals); the shares subject to this bonus stock option will be earned as follows: (x) if you attain 100% or more of your 2020 revenue plan, all 150,000 option shares will be earned, (y) if you attain less than 80% of your 2020 revenue plan, no option shares will be earned and the 2020 bonus stock option will immediately lapse and (z) if you attain between 80% and 100% of your 2020 revenue plan, 7,500 option shares will be earned for each percentage point attained between 80% and 100% (for example, 85.5% attainment will correspond to 41,250 option shares earned) and the balance of the 2020 bonus stock option will immediately lapse. Once the Board has determined the level of achievement of the performance goals for the 2020 bonus stock option, then the earned option shares will vest and become exercisable, in equal monthly installments over 28 months of your continuous service, on the first day of each calendar month beginning February 2021, so long as you remain employed by the Company. Although the 2020 revenue plan is ultimately subject to approval by the Board or its Compensation Committee, the Company currently anticipates that the 2020 revenue plan shall be based on the Company’s then-current condition and prospects, shall take into account the Company’s projections and plans, shall determine a reasonable target revenue amount for calendar year 2020 and shall be finalized for purposes of your 2020 bonus stock option no later than the first quarter of 2020, at the same time as the Board approves the Company’s annual business plan.</w:t>
      </w:r>
    </w:p>
    <w:p>
      <w:pPr>
        <w:spacing w:after="0" w:line="95" w:lineRule="exact"/>
        <w:rPr>
          <w:rFonts w:ascii="Times New Roman" w:cs="Times New Roman" w:eastAsia="Times New Roman" w:hAnsi="Times New Roman"/>
          <w:sz w:val="18"/>
          <w:szCs w:val="18"/>
          <w:b w:val="1"/>
          <w:bCs w:val="1"/>
          <w:color w:val="auto"/>
        </w:rPr>
      </w:pPr>
    </w:p>
    <w:p>
      <w:pPr>
        <w:ind w:left="460" w:right="20" w:hanging="436"/>
        <w:spacing w:after="0" w:line="269" w:lineRule="auto"/>
        <w:tabs>
          <w:tab w:leader="none" w:pos="460" w:val="left"/>
        </w:tabs>
        <w:numPr>
          <w:ilvl w:val="0"/>
          <w:numId w:val="5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Following your commencement of employment, the Company will grant you your 2021 bonus stock option, which will be an option to purchase up to a maximum of 150,000 shares of the Common Stock (with the actual number of shares based on attainment of applicable performance goals); the shares subject to this bonus stock option will be earned as follows: (x) if you attain 100% or more of your 2021 revenue plan, all 150,000 option shares will be earned, (y) if you attain less than 80% of your 2021 revenue plan, no option shares will be earned and the 2021 bonus stock option will immediately lapse and (z) if you attain between 80% and 100% of your 2021 revenue plan, 7,500 option shares will be earned for each percentage point attained between 80% and 100% (for example, 85.5% attainment will correspond to 41,250 option shares earned) and the balance of the 2021 bonus stock option will immediately lapse. Once the Board has determined the level of achievement of the performance goals for the 2021 bonus stock option, then the</w:t>
      </w:r>
    </w:p>
    <w:p>
      <w:pPr>
        <w:spacing w:after="0" w:line="1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960"/>
          </w:cols>
          <w:pgMar w:left="1440" w:top="269" w:right="499" w:bottom="1440" w:gutter="0" w:footer="0" w:header="0"/>
        </w:sectPr>
      </w:pPr>
    </w:p>
    <w:bookmarkStart w:id="815" w:name="page816"/>
    <w:bookmarkEnd w:id="815"/>
    <w:p>
      <w:pPr>
        <w:ind w:left="985"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earned option shares will vest and become exercisable, in equal monthly installments over 16 months of your continuous service, on the first day of each calendar month beginning February 2022, so long as you remain employed by the Company. Although the 2021 revenue plan is ultimately subject to approval by the Board or the Compensation Committee, the Company currently anticipates that the 2021 revenue plan shall be based on the Company’s then-current condition and prospects, shall take into account the Company’s projections and plans, shall determine a reasonable target revenue amount for calendar year 2021 and shall be finalized for purposes of your 2021 bonus stock option no later than the first quarter of 2021, at the same time as the Board approves the Company’s annual business plan.</w:t>
      </w:r>
    </w:p>
    <w:p>
      <w:pPr>
        <w:spacing w:after="0" w:line="77" w:lineRule="exact"/>
        <w:rPr>
          <w:sz w:val="20"/>
          <w:szCs w:val="20"/>
          <w:color w:val="auto"/>
        </w:rPr>
      </w:pPr>
    </w:p>
    <w:p>
      <w:pPr>
        <w:ind w:left="545" w:right="80"/>
        <w:spacing w:after="0" w:line="252" w:lineRule="auto"/>
        <w:rPr>
          <w:sz w:val="20"/>
          <w:szCs w:val="20"/>
          <w:color w:val="auto"/>
        </w:rPr>
      </w:pPr>
      <w:r>
        <w:rPr>
          <w:rFonts w:ascii="Times New Roman" w:cs="Times New Roman" w:eastAsia="Times New Roman" w:hAnsi="Times New Roman"/>
          <w:sz w:val="18"/>
          <w:szCs w:val="18"/>
          <w:color w:val="auto"/>
        </w:rPr>
        <w:t>As to each stock option, the Board shall have sole discretion in determining whether performance goals have been attained, the level of attainment and the actual number of option shares that have been earned. Each bonus stock option in Section 2(b) and Section 2(c) will commence vesting only after the relevant performance period and only to the extent threshold attainment has been confirmed. To be eligible to receive any stock option, you must be employed by the Company on the date of grant. All stock options will be subject to approval by the Board and will be subject to the terms and conditions of the Company’s 2011 Stock Plan, as it may be amended from time to time (the “Plan”), and the Company’s standard form(s) of stock option agreements, in substantially the form provided to you concurrently herewith. The exercise price per share applicable to each stock option will be no less than the fair market value of a share of the Common Stock on the date of grant, as determined by the Board on such date.</w:t>
      </w:r>
    </w:p>
    <w:p>
      <w:pPr>
        <w:spacing w:after="0" w:line="90" w:lineRule="exact"/>
        <w:rPr>
          <w:sz w:val="20"/>
          <w:szCs w:val="20"/>
          <w:color w:val="auto"/>
        </w:rPr>
      </w:pPr>
    </w:p>
    <w:p>
      <w:pPr>
        <w:ind w:left="545" w:right="680" w:hanging="545"/>
        <w:spacing w:after="0" w:line="282" w:lineRule="auto"/>
        <w:tabs>
          <w:tab w:leader="none" w:pos="545"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be eligible to participate in regular health insurance, bonus and other employee benefit plans established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its employees from time to time, in accordance with the applicable plan terms and conditions.</w:t>
      </w:r>
    </w:p>
    <w:p>
      <w:pPr>
        <w:spacing w:after="0" w:line="61" w:lineRule="exact"/>
        <w:rPr>
          <w:rFonts w:ascii="Times New Roman" w:cs="Times New Roman" w:eastAsia="Times New Roman" w:hAnsi="Times New Roman"/>
          <w:sz w:val="18"/>
          <w:szCs w:val="18"/>
          <w:b w:val="1"/>
          <w:bCs w:val="1"/>
          <w:color w:val="auto"/>
        </w:rPr>
      </w:pPr>
    </w:p>
    <w:p>
      <w:pPr>
        <w:ind w:left="545" w:hanging="545"/>
        <w:spacing w:after="0" w:line="259" w:lineRule="auto"/>
        <w:tabs>
          <w:tab w:leader="none" w:pos="545"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Place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parties agree otherwise, you will perform your duties as the Chief Commercial Officer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offices, located at San Francisco, California, provided, however, that the Company may from time to time require you to travel temporarily to other locations on Company business. The Company shall furnish you with reasonable office space, assistance, and facilities at the place of your employment.</w:t>
      </w:r>
    </w:p>
    <w:p>
      <w:pPr>
        <w:spacing w:after="0" w:line="82" w:lineRule="exact"/>
        <w:rPr>
          <w:rFonts w:ascii="Times New Roman" w:cs="Times New Roman" w:eastAsia="Times New Roman" w:hAnsi="Times New Roman"/>
          <w:sz w:val="18"/>
          <w:szCs w:val="18"/>
          <w:b w:val="1"/>
          <w:bCs w:val="1"/>
          <w:color w:val="auto"/>
        </w:rPr>
      </w:pPr>
    </w:p>
    <w:p>
      <w:pPr>
        <w:ind w:left="545" w:right="20" w:hanging="545"/>
        <w:spacing w:after="0" w:line="255" w:lineRule="auto"/>
        <w:tabs>
          <w:tab w:leader="none" w:pos="545"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 Reimbursement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such expenditures satisfy the criteria under (a) the Internal Revenue Code for deductibility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(whether or not fully deductible), for federal income tax purposes, as ordinary and necessary business expenses and (b) the Company’s expense-reimbursement policies in effect from time to time, the Company shall reimburse you promptly for reasonable business expenses, such as travel, meals, business meetings, professional dues, cell phone charges, and the costs of (or dues associated with) maintaining membership in professional trade groups or associations, made and substantiated in accordance with the policies and procedures established from time to time by the Company with respect to the Company’s other executive and managerial employees.</w:t>
      </w:r>
    </w:p>
    <w:p>
      <w:pPr>
        <w:spacing w:after="0" w:line="115"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5"/>
          </w:cols>
          <w:pgMar w:left="915" w:top="269" w:right="499" w:bottom="1440" w:gutter="0" w:footer="0" w:header="0"/>
        </w:sectPr>
      </w:pPr>
    </w:p>
    <w:bookmarkStart w:id="816" w:name="page817"/>
    <w:bookmarkEnd w:id="816"/>
    <w:p>
      <w:pPr>
        <w:ind w:left="980" w:right="80" w:hanging="545"/>
        <w:spacing w:after="0" w:line="259" w:lineRule="auto"/>
        <w:tabs>
          <w:tab w:leader="none" w:pos="98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Indemnification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to the maximum extent permitted by law and its bylaws, indemnify and hold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for any acts or decisions made in good faith while performing services for the Company in the same manner as applicable to other senior executives of the Company. You will be named as an insured on the director and officer liability insurance policy maintained by the Company from time to time.</w:t>
      </w:r>
    </w:p>
    <w:p>
      <w:pPr>
        <w:spacing w:after="0" w:line="180"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The Company reserves the right to change or otherwise modify, in its sole discretion, and in compliance and consistent with all applicable laws, the preceding terms of employment.</w:t>
      </w:r>
    </w:p>
    <w:p>
      <w:pPr>
        <w:spacing w:after="0" w:line="65" w:lineRule="exact"/>
        <w:rPr>
          <w:sz w:val="20"/>
          <w:szCs w:val="20"/>
          <w:color w:val="auto"/>
        </w:rPr>
      </w:pPr>
    </w:p>
    <w:p>
      <w:pPr>
        <w:ind w:left="980" w:hanging="545"/>
        <w:spacing w:after="0" w:line="251" w:lineRule="auto"/>
        <w:tabs>
          <w:tab w:leader="none" w:pos="98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of the Company, you will have access to certain confidential information of the Company and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course of your employment, develop certain information or inventions that will be the property of the Company. To protect the interests of the Company, you will need to sign the Company’s standard “Employee Invention Assignment and Confidentiality Agreement” as a condition of your employment. We wish to impress upon you that we do not want you to, and we hereby direct you not to, bring with you any 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w:t>
      </w:r>
    </w:p>
    <w:p>
      <w:pPr>
        <w:spacing w:after="0" w:line="95" w:lineRule="exact"/>
        <w:rPr>
          <w:rFonts w:ascii="Times New Roman" w:cs="Times New Roman" w:eastAsia="Times New Roman" w:hAnsi="Times New Roman"/>
          <w:sz w:val="18"/>
          <w:szCs w:val="18"/>
          <w:b w:val="1"/>
          <w:bCs w:val="1"/>
          <w:color w:val="auto"/>
        </w:rPr>
      </w:pPr>
    </w:p>
    <w:p>
      <w:pPr>
        <w:ind w:left="980" w:right="40" w:hanging="545"/>
        <w:spacing w:after="0" w:line="259" w:lineRule="auto"/>
        <w:tabs>
          <w:tab w:leader="none" w:pos="98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Breach of Obligations to Prior Employers.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represent that your signing of this offer letter, agreement(s) concerning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you, if any, under the Plan and the Company’s Employee Invention Assignment and Confidentiality Agreement and your commencement of employment with the Company will not violate any agreement currently in place between yourself and current or past employers.</w:t>
      </w:r>
    </w:p>
    <w:p>
      <w:pPr>
        <w:spacing w:after="0" w:line="82" w:lineRule="exact"/>
        <w:rPr>
          <w:rFonts w:ascii="Times New Roman" w:cs="Times New Roman" w:eastAsia="Times New Roman" w:hAnsi="Times New Roman"/>
          <w:sz w:val="18"/>
          <w:szCs w:val="18"/>
          <w:b w:val="1"/>
          <w:bCs w:val="1"/>
          <w:color w:val="auto"/>
        </w:rPr>
      </w:pPr>
    </w:p>
    <w:p>
      <w:pPr>
        <w:ind w:left="980" w:right="20" w:hanging="545"/>
        <w:spacing w:after="0" w:line="253" w:lineRule="auto"/>
        <w:tabs>
          <w:tab w:leader="none" w:pos="98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Relocation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your commencement of employment with the Company and your relocation to San Francisco, California,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your submission of itemized receipts for reasonable relocation expenses you have actually incurred in accordance with the Company’s expense-reimbursement policy then in effect, the Company will reimburse you for such actually incurred reasonable relocation expenses, grossed up for applicable withholding and taxes, in an aggregate amount (including both the expenses and the gross-up) not exceeding $50,000, less applicable deductions and withholding (if any). If you cease employment with the Company for any reason before the first anniversary of your start date, a prorated portion of the relocation reimbursement, based on the portion of the first year of service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5" w:right="519" w:bottom="1440" w:gutter="0" w:footer="0" w:header="0"/>
        </w:sectPr>
      </w:pPr>
    </w:p>
    <w:bookmarkStart w:id="817" w:name="page818"/>
    <w:bookmarkEnd w:id="817"/>
    <w:p>
      <w:pPr>
        <w:ind w:left="545"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that remains uncompleted, gross of applicable deductions and withholding (if any), will become immediately due and repayable by you. All such reimbursements will be made or provided in accordance with the requirements of Section 409A, including, where applicable, the requirement that (a) the amount of expenses eligible for reimbursement during a calendar year may not affect the expenses eligible for reimbursement in any other calendar year, (b) the reimbursement of an eligible expense will be made no later than the last day of the calendar year following the year in which the expense is incurred and (c) the right to reimbursement is not subject to liquidation or exchange for another benefit.</w:t>
      </w:r>
    </w:p>
    <w:p>
      <w:pPr>
        <w:spacing w:after="0" w:line="86" w:lineRule="exact"/>
        <w:rPr>
          <w:sz w:val="20"/>
          <w:szCs w:val="20"/>
          <w:color w:val="auto"/>
        </w:rPr>
      </w:pPr>
    </w:p>
    <w:p>
      <w:pPr>
        <w:ind w:left="545" w:right="120" w:hanging="545"/>
        <w:spacing w:after="0" w:line="251" w:lineRule="auto"/>
        <w:tabs>
          <w:tab w:leader="none" w:pos="545"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Initial Option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equity described in Section 2, the Company will grant you an option to purchase up to 775,000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Common Stock under the Plan and the Company’s standard form(s) of stock option agreements, with an exercise price equal to the fair market value per share on the date of grant, as determined by the Board on the date of grant in reliance on the Company’s then-current independent valuation report for purposes of Section 409A (which the Company intends to obtain following the closing of the Company’s next Preferred Stock financing). The shares subject to your initial stock option will vest at the rate of (a) twenty-five percent (25%) at the end of your first anniversary of your Start Date and (b) the balance in equal monthly installments over the next 36 months of your continuous service, so long as you remain employed by the Company. We anticipate granting your initial stock option and the 2020 and 2021 bonus stock options with each grant having the same exercise price at the first meeting of the Board following your commencement of employment at which options are granted to employees generally and at which the Board approves an independent valuation report for purposes of Section 409A.</w:t>
      </w:r>
    </w:p>
    <w:p>
      <w:pPr>
        <w:spacing w:after="0" w:line="95" w:lineRule="exact"/>
        <w:rPr>
          <w:rFonts w:ascii="Times New Roman" w:cs="Times New Roman" w:eastAsia="Times New Roman" w:hAnsi="Times New Roman"/>
          <w:sz w:val="18"/>
          <w:szCs w:val="18"/>
          <w:b w:val="1"/>
          <w:bCs w:val="1"/>
          <w:color w:val="auto"/>
        </w:rPr>
      </w:pPr>
    </w:p>
    <w:p>
      <w:pPr>
        <w:ind w:left="545" w:hanging="545"/>
        <w:spacing w:after="0" w:line="251" w:lineRule="auto"/>
        <w:tabs>
          <w:tab w:leader="none" w:pos="545"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Double-Trigger Acceleration.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vesting schedules described elsewhere in this offer letter, each of your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2020 and 2021 bonus stock options described in Section 2 above (but only if, when and to the extent the stock option has been granted and to the extent actually earned based on performance) and your initial stock option described in Section 10 above, will be subject to acceleration under the Company’s Double-Trigger Acceleration Policy, or any successor thereto, as it may be amended and/or restated, and to the extent in effect and applicable to you, from time to time (the “Acceleration Policy”), except that the 2020 and 2021 bonus stock options will only be eligible for acceleration of service- based vesting conditions under the Acceleration Policy and not performance-based vesting conditions and only after the end of the applicable performance year to the extent earned. Any shares subject to the 2020 or 2021 bonus stock options that are determined not to have been earned (i.e., the performance-based conditions are determined not to have been satisfied) will be immediately cancelled for no consideration and will not be eligible for acceleration under the Acceleration Policy. The Company reserves the right to amend, modify and/or terminate the Acceleration Policy at any time, provided that the Company will notify you in writing of any changes to the Acceleration Policy that affect you and/or any changes in your eligibility to participate in the Acceleration Policy after the commencement of your employment with the Company.</w:t>
      </w:r>
    </w:p>
    <w:p>
      <w:pPr>
        <w:spacing w:after="0" w:line="121"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5"/>
          </w:cols>
          <w:pgMar w:left="915" w:top="269" w:right="499" w:bottom="1440" w:gutter="0" w:footer="0" w:header="0"/>
        </w:sectPr>
      </w:pPr>
    </w:p>
    <w:bookmarkStart w:id="818" w:name="page819"/>
    <w:bookmarkEnd w:id="818"/>
    <w:p>
      <w:pPr>
        <w:ind w:left="545" w:right="60" w:hanging="545"/>
        <w:spacing w:after="0" w:line="253" w:lineRule="auto"/>
        <w:tabs>
          <w:tab w:leader="none" w:pos="545"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At 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we look forward to a long and profitable relationship, should you decide to accept our offer, you will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at-will employee of the Company, which means the employment relationship can be terminated by either of us for any reason, at any time, with or without prior notice and with or without cause. Any statements or representations to the contrary (and, indeed, any statements contradicting any provision in this letter) should be regarded by you as ineffective. Further, your participation in any stock option or benefit program is not to be regarded as assuring you of continuing employment for any particular period of time. Any modification or change in your at will employment status may only occur by way of a written employment agreement signed by you and the Chief Executive Officer of the Company.</w:t>
      </w:r>
    </w:p>
    <w:p>
      <w:pPr>
        <w:spacing w:after="0" w:line="90" w:lineRule="exact"/>
        <w:rPr>
          <w:rFonts w:ascii="Times New Roman" w:cs="Times New Roman" w:eastAsia="Times New Roman" w:hAnsi="Times New Roman"/>
          <w:sz w:val="18"/>
          <w:szCs w:val="18"/>
          <w:b w:val="1"/>
          <w:bCs w:val="1"/>
          <w:color w:val="auto"/>
        </w:rPr>
      </w:pPr>
    </w:p>
    <w:p>
      <w:pPr>
        <w:jc w:val="both"/>
        <w:ind w:left="545" w:right="240" w:hanging="545"/>
        <w:spacing w:after="0" w:line="265" w:lineRule="auto"/>
        <w:tabs>
          <w:tab w:leader="none" w:pos="545"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your employment, you are responsible for remaining in full compliance with applicable laws,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that are applicable to your employment, and a failure to remain in legal compliance may adversely impact your employment with the Company.</w:t>
      </w:r>
    </w:p>
    <w:p>
      <w:pPr>
        <w:spacing w:after="0" w:line="76" w:lineRule="exact"/>
        <w:rPr>
          <w:rFonts w:ascii="Times New Roman" w:cs="Times New Roman" w:eastAsia="Times New Roman" w:hAnsi="Times New Roman"/>
          <w:sz w:val="18"/>
          <w:szCs w:val="18"/>
          <w:b w:val="1"/>
          <w:bCs w:val="1"/>
          <w:color w:val="auto"/>
        </w:rPr>
      </w:pPr>
    </w:p>
    <w:p>
      <w:pPr>
        <w:ind w:left="545" w:right="220" w:hanging="545"/>
        <w:spacing w:after="0" w:line="259" w:lineRule="auto"/>
        <w:tabs>
          <w:tab w:leader="none" w:pos="545"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Authorization to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note that because of employer regulations adopted in the Immigration Reform and Control Act of 1986,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three (3) business days of starting your new position you will need to present documentation demonstrating that you have authorization to work in the United States. If you have questions about this requirement, which applies to U.S. citizens and non-U.S. citizens alike, you may contact our personnel office.</w:t>
      </w:r>
    </w:p>
    <w:p>
      <w:pPr>
        <w:spacing w:after="0" w:line="82" w:lineRule="exact"/>
        <w:rPr>
          <w:rFonts w:ascii="Times New Roman" w:cs="Times New Roman" w:eastAsia="Times New Roman" w:hAnsi="Times New Roman"/>
          <w:sz w:val="18"/>
          <w:szCs w:val="18"/>
          <w:b w:val="1"/>
          <w:bCs w:val="1"/>
          <w:color w:val="auto"/>
        </w:rPr>
      </w:pPr>
    </w:p>
    <w:p>
      <w:pPr>
        <w:ind w:left="545" w:hanging="545"/>
        <w:spacing w:after="0" w:line="267" w:lineRule="auto"/>
        <w:tabs>
          <w:tab w:leader="none" w:pos="545" w:val="left"/>
        </w:tabs>
        <w:numPr>
          <w:ilvl w:val="0"/>
          <w:numId w:val="5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Arbitration and Class Action Waiver</w:t>
      </w:r>
      <w:r>
        <w:rPr>
          <w:rFonts w:ascii="Times New Roman" w:cs="Times New Roman" w:eastAsia="Times New Roman" w:hAnsi="Times New Roman"/>
          <w:sz w:val="17"/>
          <w:szCs w:val="17"/>
          <w:color w:val="auto"/>
        </w:rPr>
        <w:t>. You and the Company agree to submit to mandatory binding arbitration any and all claims arising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(collectively, “Arbitrable Claims”) except that: (i) each party may, at its, his or her option, seek injunctive relief in court related to the improper use, disclosure or misappropriation of a party’s private, proprietary, confidential or trade secret information; and (ii) all claims involving alleged sexual harassment are not subject to arbitration and may be pursued in any appropriate forum, including court. Further, to the fullest extent permitted by law, you and the Company agree that no class or representative actions can be asserted in arbitration or otherwise. All claims, whether in arbitration or otherwise, must be brought solely in your or the Company’s individual capacity, and not as a plaintiff or class member in any purported class or collective proceeding. Nothing in this Arbitration and Class Action Waiver section, however, restricts your right, if any, to file in court a representative action where, as a matter of law, the parties may not restrict the ability to file such claims.</w:t>
      </w:r>
    </w:p>
    <w:p>
      <w:pPr>
        <w:spacing w:after="0" w:line="233" w:lineRule="exact"/>
        <w:rPr>
          <w:sz w:val="20"/>
          <w:szCs w:val="20"/>
          <w:color w:val="auto"/>
        </w:rPr>
      </w:pPr>
    </w:p>
    <w:p>
      <w:pPr>
        <w:jc w:val="center"/>
        <w:ind w:right="39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5"/>
          </w:cols>
          <w:pgMar w:left="915" w:top="263" w:right="519" w:bottom="1440" w:gutter="0" w:footer="0" w:header="0"/>
        </w:sectPr>
      </w:pPr>
    </w:p>
    <w:bookmarkStart w:id="819" w:name="page820"/>
    <w:bookmarkEnd w:id="819"/>
    <w:p>
      <w:pPr>
        <w:jc w:val="both"/>
        <w:ind w:left="545" w:right="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SUBJECT TO THE ABOVE, THE PARTIES HEREBY WAIVE ANY RIGHTS THEY MAY HAVE TO TRIAL BY JURY IN REGARD TO ARBITRABLE CLAIMS. THE PARTIES FURTHER WAIVE ANY RIGHTS THEY MAY HAVE TO PURSUE OR PARTICIPATE IN A CLASS OR COLLECTIVE ACTION PERTAINING TO ANY CLAIMS BETWEEN THEM.</w:t>
      </w:r>
    </w:p>
    <w:p>
      <w:pPr>
        <w:spacing w:after="0" w:line="68" w:lineRule="exact"/>
        <w:rPr>
          <w:sz w:val="20"/>
          <w:szCs w:val="20"/>
          <w:color w:val="auto"/>
        </w:rPr>
      </w:pPr>
    </w:p>
    <w:p>
      <w:pPr>
        <w:ind w:left="545"/>
        <w:spacing w:after="0" w:line="252" w:lineRule="auto"/>
        <w:rPr>
          <w:sz w:val="20"/>
          <w:szCs w:val="20"/>
          <w:color w:val="auto"/>
        </w:rPr>
      </w:pPr>
      <w:r>
        <w:rPr>
          <w:rFonts w:ascii="Times New Roman" w:cs="Times New Roman" w:eastAsia="Times New Roman" w:hAnsi="Times New Roman"/>
          <w:sz w:val="18"/>
          <w:szCs w:val="18"/>
          <w:color w:val="auto"/>
        </w:rPr>
        <w:t>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Arbitrable Claims. The arbitration shall be conducted through JAMS before a single neutral arbitrator, in accordance with the JAMS employment arbitration rules then in effect. The JAMS rules may be found and reviewed at http://www.jamsadr.com/rules-employment-arbitration. If you are unable to access these rules, upon request the Company will provide you with a hard copy. The arbitrator shall issue a written decision that contains the essential findings and conclusions on which the decision is based.</w:t>
      </w:r>
    </w:p>
    <w:p>
      <w:pPr>
        <w:spacing w:after="0" w:line="90" w:lineRule="exact"/>
        <w:rPr>
          <w:sz w:val="20"/>
          <w:szCs w:val="20"/>
          <w:color w:val="auto"/>
        </w:rPr>
      </w:pPr>
    </w:p>
    <w:p>
      <w:pPr>
        <w:ind w:left="545" w:right="760" w:hanging="545"/>
        <w:spacing w:after="0" w:line="313" w:lineRule="auto"/>
        <w:tabs>
          <w:tab w:leader="none" w:pos="545" w:val="left"/>
        </w:tabs>
        <w:numPr>
          <w:ilvl w:val="0"/>
          <w:numId w:val="5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Background Check.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offer is contingent upon a satisfactory verification of criminal, education, driving, and/or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background and Medicare exclusion databases. This offer can be rescinded based upon data received in the verification.</w:t>
      </w:r>
    </w:p>
    <w:p>
      <w:pPr>
        <w:spacing w:after="0" w:line="38" w:lineRule="exact"/>
        <w:rPr>
          <w:rFonts w:ascii="Times New Roman" w:cs="Times New Roman" w:eastAsia="Times New Roman" w:hAnsi="Times New Roman"/>
          <w:sz w:val="17"/>
          <w:szCs w:val="17"/>
          <w:b w:val="1"/>
          <w:bCs w:val="1"/>
          <w:color w:val="auto"/>
        </w:rPr>
      </w:pPr>
    </w:p>
    <w:p>
      <w:pPr>
        <w:ind w:left="545" w:hanging="545"/>
        <w:spacing w:after="0" w:line="255" w:lineRule="auto"/>
        <w:tabs>
          <w:tab w:leader="none" w:pos="545"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offer, once accepted, constitutes the entire agreement between you and the Company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all prior offers, negotiations and agreements, if any, whether written or oral, relating to such subject matter. You acknowledge that neither the Company nor its agents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spacing w:after="0" w:line="84" w:lineRule="exact"/>
        <w:rPr>
          <w:rFonts w:ascii="Times New Roman" w:cs="Times New Roman" w:eastAsia="Times New Roman" w:hAnsi="Times New Roman"/>
          <w:sz w:val="18"/>
          <w:szCs w:val="18"/>
          <w:b w:val="1"/>
          <w:bCs w:val="1"/>
          <w:color w:val="auto"/>
        </w:rPr>
      </w:pPr>
    </w:p>
    <w:p>
      <w:pPr>
        <w:ind w:left="545" w:right="40" w:hanging="545"/>
        <w:spacing w:after="0" w:line="265" w:lineRule="auto"/>
        <w:tabs>
          <w:tab w:leader="none" w:pos="545"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u w:val="single" w:color="auto"/>
          <w:color w:val="auto"/>
        </w:rPr>
        <w:t>This offer shall be construed and enforced in accordance with, and governed by, the laws of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without giving effect to the conflict of laws provisions thereof, with the exception of any claims that may be governed by federal law, such as claims governed by the Federal Arbitration Act or the Employee Retirement Income Security Act.</w:t>
      </w:r>
    </w:p>
    <w:p>
      <w:pPr>
        <w:spacing w:after="0" w:line="76" w:lineRule="exact"/>
        <w:rPr>
          <w:rFonts w:ascii="Times New Roman" w:cs="Times New Roman" w:eastAsia="Times New Roman" w:hAnsi="Times New Roman"/>
          <w:sz w:val="18"/>
          <w:szCs w:val="18"/>
          <w:b w:val="1"/>
          <w:bCs w:val="1"/>
          <w:color w:val="auto"/>
        </w:rPr>
      </w:pPr>
    </w:p>
    <w:p>
      <w:pPr>
        <w:ind w:left="545" w:right="40" w:hanging="545"/>
        <w:spacing w:after="0" w:line="259" w:lineRule="auto"/>
        <w:tabs>
          <w:tab w:leader="none" w:pos="545"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Acceptance.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offer will remain open until May 6, 2019. If you decide to accept our offer, and I hope you will, please sign the enclosed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this letter in the space indicated and return it to me. Your signature will acknowledge that you have read and understood and agreed to the terms and conditions of this offer letter and the attached documents, if any. Should you have anything else that you wish to discuss, please do not hesitate to contact me.</w:t>
      </w:r>
    </w:p>
    <w:p>
      <w:pPr>
        <w:spacing w:after="0" w:line="114" w:lineRule="exact"/>
        <w:rPr>
          <w:sz w:val="20"/>
          <w:szCs w:val="20"/>
          <w:color w:val="auto"/>
        </w:rPr>
      </w:pPr>
    </w:p>
    <w:p>
      <w:pPr>
        <w:jc w:val="center"/>
        <w:ind w:right="39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5"/>
          </w:cols>
          <w:pgMar w:left="915" w:top="268" w:right="519" w:bottom="1440" w:gutter="0" w:footer="0" w:header="0"/>
        </w:sectPr>
      </w:pPr>
    </w:p>
    <w:bookmarkStart w:id="820" w:name="page821"/>
    <w:bookmarkEnd w:id="8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We look forward to the opportunity to welcome you to the Company.</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Sean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Sean Duffy, CEO</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 have read and understood this offer letter and hereby acknowledge, accept and agree to the terms as set forth above and further acknowledge that no other commitments were made to me as part of my offer of employment except as specifically set forth herein.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Employee Signature:</w:t>
            </w: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Wei-Li Shao</w:t>
            </w:r>
          </w:p>
        </w:tc>
      </w:tr>
      <w:tr>
        <w:trPr>
          <w:trHeight w:val="43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Wei-Li Shao</w:t>
            </w:r>
          </w:p>
        </w:tc>
      </w:tr>
      <w:tr>
        <w:trPr>
          <w:trHeight w:val="42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signed:</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05/09/2019</w:t>
            </w:r>
          </w:p>
        </w:tc>
      </w:tr>
    </w:tbl>
    <w:p>
      <w:pPr>
        <w:spacing w:after="0" w:line="1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60"/>
          </w:cols>
          <w:pgMar w:left="480" w:top="268" w:right="759" w:bottom="1440" w:gutter="0" w:footer="0" w:header="0"/>
        </w:sectPr>
      </w:pPr>
    </w:p>
    <w:bookmarkStart w:id="821" w:name="page822"/>
    <w:bookmarkEnd w:id="8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Omada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76454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23" w:lineRule="exact"/>
        <w:rPr>
          <w:sz w:val="20"/>
          <w:szCs w:val="20"/>
          <w:color w:val="auto"/>
        </w:rPr>
      </w:pPr>
    </w:p>
    <w:p>
      <w:pPr>
        <w:ind w:left="440" w:right="240" w:hanging="433"/>
        <w:spacing w:after="0" w:line="278" w:lineRule="auto"/>
        <w:tabs>
          <w:tab w:leader="none" w:pos="44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Regulation S-K, Item 601(b)(21), the registrant has omitted the names of its subsidiaries that, when considered in the aggregate as a single subsidiary, do not constitute a significant subsidiary as defined in Rule 1-02(w) of Regulation S-X.</w:t>
      </w:r>
    </w:p>
    <w:sectPr>
      <w:pgSz w:w="11900" w:h="16838" w:orient="portrait"/>
      <w:cols w:equalWidth="0" w:num="1">
        <w:col w:w="10920"/>
      </w:cols>
      <w:pgMar w:left="48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2EDBE4"/>
    <w:multiLevelType w:val="hybridMultilevel"/>
    <w:lvl w:ilvl="0">
      <w:lvlJc w:val="left"/>
      <w:lvlText w:val="•"/>
      <w:numFmt w:val="bullet"/>
      <w:start w:val="1"/>
    </w:lvl>
  </w:abstractNum>
  <w:abstractNum w:abstractNumId="1">
    <w:nsid w:val="3D1A2DD9"/>
    <w:multiLevelType w:val="hybridMultilevel"/>
    <w:lvl w:ilvl="0">
      <w:lvlJc w:val="left"/>
      <w:lvlText w:val="•"/>
      <w:numFmt w:val="bullet"/>
      <w:start w:val="1"/>
    </w:lvl>
  </w:abstractNum>
  <w:abstractNum w:abstractNumId="2">
    <w:nsid w:val="7F618FCD"/>
    <w:multiLevelType w:val="hybridMultilevel"/>
    <w:lvl w:ilvl="0">
      <w:lvlJc w:val="left"/>
      <w:lvlText w:val="•"/>
      <w:numFmt w:val="bullet"/>
      <w:start w:val="1"/>
    </w:lvl>
  </w:abstractNum>
  <w:abstractNum w:abstractNumId="3">
    <w:nsid w:val="7843E45"/>
    <w:multiLevelType w:val="hybridMultilevel"/>
    <w:lvl w:ilvl="0">
      <w:lvlJc w:val="left"/>
      <w:lvlText w:val="•"/>
      <w:numFmt w:val="bullet"/>
      <w:start w:val="1"/>
    </w:lvl>
  </w:abstractNum>
  <w:abstractNum w:abstractNumId="4">
    <w:nsid w:val="9815DA3"/>
    <w:multiLevelType w:val="hybridMultilevel"/>
    <w:lvl w:ilvl="0">
      <w:lvlJc w:val="left"/>
      <w:lvlText w:val="•"/>
      <w:numFmt w:val="bullet"/>
      <w:start w:val="1"/>
    </w:lvl>
  </w:abstractNum>
  <w:abstractNum w:abstractNumId="5">
    <w:nsid w:val="5204A191"/>
    <w:multiLevelType w:val="hybridMultilevel"/>
    <w:lvl w:ilvl="0">
      <w:lvlJc w:val="left"/>
      <w:lvlText w:val="•"/>
      <w:numFmt w:val="bullet"/>
      <w:start w:val="1"/>
    </w:lvl>
  </w:abstractNum>
  <w:abstractNum w:abstractNumId="6">
    <w:nsid w:val="4C73A9C6"/>
    <w:multiLevelType w:val="hybridMultilevel"/>
    <w:lvl w:ilvl="0">
      <w:lvlJc w:val="left"/>
      <w:lvlText w:val="•"/>
      <w:numFmt w:val="bullet"/>
      <w:start w:val="1"/>
    </w:lvl>
  </w:abstractNum>
  <w:abstractNum w:abstractNumId="7">
    <w:nsid w:val="1C7E3C01"/>
    <w:multiLevelType w:val="hybridMultilevel"/>
    <w:lvl w:ilvl="0">
      <w:lvlJc w:val="left"/>
      <w:lvlText w:val="•"/>
      <w:numFmt w:val="bullet"/>
      <w:start w:val="1"/>
    </w:lvl>
  </w:abstractNum>
  <w:abstractNum w:abstractNumId="8">
    <w:nsid w:val="1C2201FF"/>
    <w:multiLevelType w:val="hybridMultilevel"/>
    <w:lvl w:ilvl="0">
      <w:lvlJc w:val="left"/>
      <w:lvlText w:val="•"/>
      <w:numFmt w:val="bullet"/>
      <w:start w:val="1"/>
    </w:lvl>
  </w:abstractNum>
  <w:abstractNum w:abstractNumId="9">
    <w:nsid w:val="50ABCEC9"/>
    <w:multiLevelType w:val="hybridMultilevel"/>
    <w:lvl w:ilvl="0">
      <w:lvlJc w:val="left"/>
      <w:lvlText w:val="•"/>
      <w:numFmt w:val="bullet"/>
      <w:start w:val="1"/>
    </w:lvl>
  </w:abstractNum>
  <w:abstractNum w:abstractNumId="10">
    <w:nsid w:val="7635AA2A"/>
    <w:multiLevelType w:val="hybridMultilevel"/>
    <w:lvl w:ilvl="0">
      <w:lvlJc w:val="left"/>
      <w:lvlText w:val="•"/>
      <w:numFmt w:val="bullet"/>
      <w:start w:val="1"/>
    </w:lvl>
  </w:abstractNum>
  <w:abstractNum w:abstractNumId="11">
    <w:nsid w:val="5E74C4D9"/>
    <w:multiLevelType w:val="hybridMultilevel"/>
    <w:lvl w:ilvl="0">
      <w:lvlJc w:val="left"/>
      <w:lvlText w:val="(%1)"/>
      <w:numFmt w:val="decimal"/>
      <w:start w:val="1"/>
    </w:lvl>
  </w:abstractNum>
  <w:abstractNum w:abstractNumId="12">
    <w:nsid w:val="3B3EBE15"/>
    <w:multiLevelType w:val="hybridMultilevel"/>
    <w:lvl w:ilvl="0">
      <w:lvlJc w:val="left"/>
      <w:lvlText w:val="(%1)"/>
      <w:numFmt w:val="decimal"/>
      <w:start w:val="1"/>
    </w:lvl>
  </w:abstractNum>
  <w:abstractNum w:abstractNumId="13">
    <w:nsid w:val="3822CB01"/>
    <w:multiLevelType w:val="hybridMultilevel"/>
    <w:lvl w:ilvl="0">
      <w:lvlJc w:val="left"/>
      <w:lvlText w:val="(%1)"/>
      <w:numFmt w:val="decimal"/>
      <w:start w:val="4"/>
    </w:lvl>
  </w:abstractNum>
  <w:abstractNum w:abstractNumId="14">
    <w:nsid w:val="6CE00443"/>
    <w:multiLevelType w:val="hybridMultilevel"/>
    <w:lvl w:ilvl="0">
      <w:lvlJc w:val="left"/>
      <w:lvlText w:val="•"/>
      <w:numFmt w:val="bullet"/>
      <w:start w:val="1"/>
    </w:lvl>
  </w:abstractNum>
  <w:abstractNum w:abstractNumId="15">
    <w:nsid w:val="79F0D62F"/>
    <w:multiLevelType w:val="hybridMultilevel"/>
    <w:lvl w:ilvl="0">
      <w:lvlJc w:val="left"/>
      <w:lvlText w:val="•"/>
      <w:numFmt w:val="bullet"/>
      <w:start w:val="1"/>
    </w:lvl>
  </w:abstractNum>
  <w:abstractNum w:abstractNumId="16">
    <w:nsid w:val="7975E8EE"/>
    <w:multiLevelType w:val="hybridMultilevel"/>
    <w:lvl w:ilvl="0">
      <w:lvlJc w:val="left"/>
      <w:lvlText w:val="•"/>
      <w:numFmt w:val="bullet"/>
      <w:start w:val="1"/>
    </w:lvl>
  </w:abstractNum>
  <w:abstractNum w:abstractNumId="17">
    <w:nsid w:val="73154115"/>
    <w:multiLevelType w:val="hybridMultilevel"/>
    <w:lvl w:ilvl="0">
      <w:lvlJc w:val="left"/>
      <w:lvlText w:val="•"/>
      <w:numFmt w:val="bullet"/>
      <w:start w:val="1"/>
    </w:lvl>
  </w:abstractNum>
  <w:abstractNum w:abstractNumId="18">
    <w:nsid w:val="622D8102"/>
    <w:multiLevelType w:val="hybridMultilevel"/>
    <w:lvl w:ilvl="0">
      <w:lvlJc w:val="left"/>
      <w:lvlText w:val="•"/>
      <w:numFmt w:val="bullet"/>
      <w:start w:val="1"/>
    </w:lvl>
  </w:abstractNum>
  <w:abstractNum w:abstractNumId="19">
    <w:nsid w:val="2AB26587"/>
    <w:multiLevelType w:val="hybridMultilevel"/>
    <w:lvl w:ilvl="0">
      <w:lvlJc w:val="left"/>
      <w:lvlText w:val="•"/>
      <w:numFmt w:val="bullet"/>
      <w:start w:val="1"/>
    </w:lvl>
  </w:abstractNum>
  <w:abstractNum w:abstractNumId="20">
    <w:nsid w:val="44B3FA61"/>
    <w:multiLevelType w:val="hybridMultilevel"/>
    <w:lvl w:ilvl="0">
      <w:lvlJc w:val="left"/>
      <w:lvlText w:val="•"/>
      <w:numFmt w:val="bullet"/>
      <w:start w:val="1"/>
    </w:lvl>
  </w:abstractNum>
  <w:abstractNum w:abstractNumId="21">
    <w:nsid w:val="1C0CA67C"/>
    <w:multiLevelType w:val="hybridMultilevel"/>
    <w:lvl w:ilvl="0">
      <w:lvlJc w:val="left"/>
      <w:lvlText w:val="•"/>
      <w:numFmt w:val="bullet"/>
      <w:start w:val="1"/>
    </w:lvl>
  </w:abstractNum>
  <w:abstractNum w:abstractNumId="22">
    <w:nsid w:val="3D206613"/>
    <w:multiLevelType w:val="hybridMultilevel"/>
    <w:lvl w:ilvl="0">
      <w:lvlJc w:val="left"/>
      <w:lvlText w:val="•"/>
      <w:numFmt w:val="bullet"/>
      <w:start w:val="1"/>
    </w:lvl>
  </w:abstractNum>
  <w:abstractNum w:abstractNumId="23">
    <w:nsid w:val="7993B662"/>
    <w:multiLevelType w:val="hybridMultilevel"/>
    <w:lvl w:ilvl="0">
      <w:lvlJc w:val="left"/>
      <w:lvlText w:val="•"/>
      <w:numFmt w:val="bullet"/>
      <w:start w:val="1"/>
    </w:lvl>
  </w:abstractNum>
  <w:abstractNum w:abstractNumId="24">
    <w:nsid w:val="3BAB699E"/>
    <w:multiLevelType w:val="hybridMultilevel"/>
    <w:lvl w:ilvl="0">
      <w:lvlJc w:val="left"/>
      <w:lvlText w:val="•"/>
      <w:numFmt w:val="bullet"/>
      <w:start w:val="1"/>
    </w:lvl>
  </w:abstractNum>
  <w:abstractNum w:abstractNumId="25">
    <w:nsid w:val="71315369"/>
    <w:multiLevelType w:val="hybridMultilevel"/>
    <w:lvl w:ilvl="0">
      <w:lvlJc w:val="left"/>
      <w:lvlText w:val="•"/>
      <w:numFmt w:val="bullet"/>
      <w:start w:val="1"/>
    </w:lvl>
  </w:abstractNum>
  <w:abstractNum w:abstractNumId="26">
    <w:nsid w:val="7BCFBAFC"/>
    <w:multiLevelType w:val="hybridMultilevel"/>
    <w:lvl w:ilvl="0">
      <w:lvlJc w:val="left"/>
      <w:lvlText w:val="•"/>
      <w:numFmt w:val="bullet"/>
      <w:start w:val="1"/>
    </w:lvl>
  </w:abstractNum>
  <w:abstractNum w:abstractNumId="27">
    <w:nsid w:val="17859F72"/>
    <w:multiLevelType w:val="hybridMultilevel"/>
    <w:lvl w:ilvl="0">
      <w:lvlJc w:val="left"/>
      <w:lvlText w:val="(%1)"/>
      <w:numFmt w:val="lowerRoman"/>
      <w:start w:val="2"/>
    </w:lvl>
  </w:abstractNum>
  <w:abstractNum w:abstractNumId="28">
    <w:nsid w:val="3AA10581"/>
    <w:multiLevelType w:val="hybridMultilevel"/>
    <w:lvl w:ilvl="0">
      <w:lvlJc w:val="left"/>
      <w:lvlText w:val="•"/>
      <w:numFmt w:val="bullet"/>
      <w:start w:val="1"/>
    </w:lvl>
  </w:abstractNum>
  <w:abstractNum w:abstractNumId="29">
    <w:nsid w:val="63DE60CD"/>
    <w:multiLevelType w:val="hybridMultilevel"/>
    <w:lvl w:ilvl="0">
      <w:lvlJc w:val="left"/>
      <w:lvlText w:val="•"/>
      <w:numFmt w:val="bullet"/>
      <w:start w:val="1"/>
    </w:lvl>
  </w:abstractNum>
  <w:abstractNum w:abstractNumId="30">
    <w:nsid w:val="621AF471"/>
    <w:multiLevelType w:val="hybridMultilevel"/>
    <w:lvl w:ilvl="0">
      <w:lvlJc w:val="left"/>
      <w:lvlText w:val="•"/>
      <w:numFmt w:val="bullet"/>
      <w:start w:val="1"/>
    </w:lvl>
  </w:abstractNum>
  <w:abstractNum w:abstractNumId="31">
    <w:nsid w:val="73CFE165"/>
    <w:multiLevelType w:val="hybridMultilevel"/>
    <w:lvl w:ilvl="0">
      <w:lvlJc w:val="left"/>
      <w:lvlText w:val="•"/>
      <w:numFmt w:val="bullet"/>
      <w:start w:val="1"/>
    </w:lvl>
  </w:abstractNum>
  <w:abstractNum w:abstractNumId="32">
    <w:nsid w:val="20F88EA6"/>
    <w:multiLevelType w:val="hybridMultilevel"/>
    <w:lvl w:ilvl="0">
      <w:lvlJc w:val="left"/>
      <w:lvlText w:val="•"/>
      <w:numFmt w:val="bullet"/>
      <w:start w:val="1"/>
    </w:lvl>
  </w:abstractNum>
  <w:abstractNum w:abstractNumId="33">
    <w:nsid w:val="617C843E"/>
    <w:multiLevelType w:val="hybridMultilevel"/>
    <w:lvl w:ilvl="0">
      <w:lvlJc w:val="left"/>
      <w:lvlText w:val="•"/>
      <w:numFmt w:val="bullet"/>
      <w:start w:val="1"/>
    </w:lvl>
  </w:abstractNum>
  <w:abstractNum w:abstractNumId="34">
    <w:nsid w:val="7B541FAB"/>
    <w:multiLevelType w:val="hybridMultilevel"/>
    <w:lvl w:ilvl="0">
      <w:lvlJc w:val="left"/>
      <w:lvlText w:val="•"/>
      <w:numFmt w:val="bullet"/>
      <w:start w:val="1"/>
    </w:lvl>
  </w:abstractNum>
  <w:abstractNum w:abstractNumId="35">
    <w:nsid w:val="2A79EC49"/>
    <w:multiLevelType w:val="hybridMultilevel"/>
    <w:lvl w:ilvl="0">
      <w:lvlJc w:val="left"/>
      <w:lvlText w:val="•"/>
      <w:numFmt w:val="bullet"/>
      <w:start w:val="1"/>
    </w:lvl>
  </w:abstractNum>
  <w:abstractNum w:abstractNumId="36">
    <w:nsid w:val="338125CF"/>
    <w:multiLevelType w:val="hybridMultilevel"/>
    <w:lvl w:ilvl="0">
      <w:lvlJc w:val="left"/>
      <w:lvlText w:val="•"/>
      <w:numFmt w:val="bullet"/>
      <w:start w:val="1"/>
    </w:lvl>
  </w:abstractNum>
  <w:abstractNum w:abstractNumId="37">
    <w:nsid w:val="47C7C971"/>
    <w:multiLevelType w:val="hybridMultilevel"/>
    <w:lvl w:ilvl="0">
      <w:lvlJc w:val="left"/>
      <w:lvlText w:val="•"/>
      <w:numFmt w:val="bullet"/>
      <w:start w:val="1"/>
    </w:lvl>
  </w:abstractNum>
  <w:abstractNum w:abstractNumId="38">
    <w:nsid w:val="46F8284B"/>
    <w:multiLevelType w:val="hybridMultilevel"/>
    <w:lvl w:ilvl="0">
      <w:lvlJc w:val="left"/>
      <w:lvlText w:val="•"/>
      <w:numFmt w:val="bullet"/>
      <w:start w:val="1"/>
    </w:lvl>
  </w:abstractNum>
  <w:abstractNum w:abstractNumId="39">
    <w:nsid w:val="4FA327CE"/>
    <w:multiLevelType w:val="hybridMultilevel"/>
    <w:lvl w:ilvl="0">
      <w:lvlJc w:val="left"/>
      <w:lvlText w:val="•"/>
      <w:numFmt w:val="bullet"/>
      <w:start w:val="1"/>
    </w:lvl>
  </w:abstractNum>
  <w:abstractNum w:abstractNumId="40">
    <w:nsid w:val="1873983A"/>
    <w:multiLevelType w:val="hybridMultilevel"/>
    <w:lvl w:ilvl="0">
      <w:lvlJc w:val="left"/>
      <w:lvlText w:val="•"/>
      <w:numFmt w:val="bullet"/>
      <w:start w:val="1"/>
    </w:lvl>
  </w:abstractNum>
  <w:abstractNum w:abstractNumId="41">
    <w:nsid w:val="3D2DD275"/>
    <w:multiLevelType w:val="hybridMultilevel"/>
    <w:lvl w:ilvl="0">
      <w:lvlJc w:val="left"/>
      <w:lvlText w:val="•"/>
      <w:numFmt w:val="bullet"/>
      <w:start w:val="1"/>
    </w:lvl>
  </w:abstractNum>
  <w:abstractNum w:abstractNumId="42">
    <w:nsid w:val="2E17ECA7"/>
    <w:multiLevelType w:val="hybridMultilevel"/>
    <w:lvl w:ilvl="0">
      <w:lvlJc w:val="left"/>
      <w:lvlText w:val="•"/>
      <w:numFmt w:val="bullet"/>
      <w:start w:val="1"/>
    </w:lvl>
  </w:abstractNum>
  <w:abstractNum w:abstractNumId="43">
    <w:nsid w:val="53B2564F"/>
    <w:multiLevelType w:val="hybridMultilevel"/>
    <w:lvl w:ilvl="0">
      <w:lvlJc w:val="left"/>
      <w:lvlText w:val="•"/>
      <w:numFmt w:val="bullet"/>
      <w:start w:val="1"/>
    </w:lvl>
  </w:abstractNum>
  <w:abstractNum w:abstractNumId="44">
    <w:nsid w:val="75509D76"/>
    <w:multiLevelType w:val="hybridMultilevel"/>
    <w:lvl w:ilvl="0">
      <w:lvlJc w:val="left"/>
      <w:lvlText w:val="•"/>
      <w:numFmt w:val="bullet"/>
      <w:start w:val="1"/>
    </w:lvl>
  </w:abstractNum>
  <w:abstractNum w:abstractNumId="45">
    <w:nsid w:val="1AF7F0EA"/>
    <w:multiLevelType w:val="hybridMultilevel"/>
    <w:lvl w:ilvl="0">
      <w:lvlJc w:val="left"/>
      <w:lvlText w:val="•"/>
      <w:numFmt w:val="bullet"/>
      <w:start w:val="1"/>
    </w:lvl>
  </w:abstractNum>
  <w:abstractNum w:abstractNumId="46">
    <w:nsid w:val="4DA32C7E"/>
    <w:multiLevelType w:val="hybridMultilevel"/>
    <w:lvl w:ilvl="0">
      <w:lvlJc w:val="left"/>
      <w:lvlText w:val="•"/>
      <w:numFmt w:val="bullet"/>
      <w:start w:val="1"/>
    </w:lvl>
  </w:abstractNum>
  <w:abstractNum w:abstractNumId="47">
    <w:nsid w:val="6EC68664"/>
    <w:multiLevelType w:val="hybridMultilevel"/>
    <w:lvl w:ilvl="0">
      <w:lvlJc w:val="left"/>
      <w:lvlText w:val=" "/>
      <w:numFmt w:val="bullet"/>
      <w:start w:val="1"/>
    </w:lvl>
  </w:abstractNum>
  <w:abstractNum w:abstractNumId="48">
    <w:nsid w:val="E0D31FF"/>
    <w:multiLevelType w:val="hybridMultilevel"/>
    <w:lvl w:ilvl="0">
      <w:lvlJc w:val="left"/>
      <w:lvlText w:val="•"/>
      <w:numFmt w:val="bullet"/>
      <w:start w:val="1"/>
    </w:lvl>
  </w:abstractNum>
  <w:abstractNum w:abstractNumId="49">
    <w:nsid w:val="2FD0AD81"/>
    <w:multiLevelType w:val="hybridMultilevel"/>
    <w:lvl w:ilvl="0">
      <w:lvlJc w:val="left"/>
      <w:lvlText w:val="•"/>
      <w:numFmt w:val="bullet"/>
      <w:start w:val="1"/>
    </w:lvl>
  </w:abstractNum>
  <w:abstractNum w:abstractNumId="50">
    <w:nsid w:val="1978EBEB"/>
    <w:multiLevelType w:val="hybridMultilevel"/>
    <w:lvl w:ilvl="0">
      <w:lvlJc w:val="left"/>
      <w:lvlText w:val="•"/>
      <w:numFmt w:val="bullet"/>
      <w:start w:val="1"/>
    </w:lvl>
  </w:abstractNum>
  <w:abstractNum w:abstractNumId="51">
    <w:nsid w:val="52C12C61"/>
    <w:multiLevelType w:val="hybridMultilevel"/>
    <w:lvl w:ilvl="0">
      <w:lvlJc w:val="left"/>
      <w:lvlText w:val="•"/>
      <w:numFmt w:val="bullet"/>
      <w:start w:val="1"/>
    </w:lvl>
  </w:abstractNum>
  <w:abstractNum w:abstractNumId="52">
    <w:nsid w:val="4BDD53FD"/>
    <w:multiLevelType w:val="hybridMultilevel"/>
    <w:lvl w:ilvl="0">
      <w:lvlJc w:val="left"/>
      <w:lvlText w:val="(%1)"/>
      <w:numFmt w:val="decimal"/>
      <w:start w:val="1"/>
    </w:lvl>
  </w:abstractNum>
  <w:abstractNum w:abstractNumId="53">
    <w:nsid w:val="569951FE"/>
    <w:multiLevelType w:val="hybridMultilevel"/>
    <w:lvl w:ilvl="0">
      <w:lvlJc w:val="left"/>
      <w:lvlText w:val="(%1)"/>
      <w:numFmt w:val="decimal"/>
      <w:start w:val="2"/>
    </w:lvl>
  </w:abstractNum>
  <w:abstractNum w:abstractNumId="54">
    <w:nsid w:val="4C54E2C3"/>
    <w:multiLevelType w:val="hybridMultilevel"/>
    <w:lvl w:ilvl="0">
      <w:lvlJc w:val="left"/>
      <w:lvlText w:val="(%1)"/>
      <w:numFmt w:val="decimal"/>
      <w:start w:val="3"/>
    </w:lvl>
  </w:abstractNum>
  <w:abstractNum w:abstractNumId="55">
    <w:nsid w:val="788BD9B"/>
    <w:multiLevelType w:val="hybridMultilevel"/>
    <w:lvl w:ilvl="0">
      <w:lvlJc w:val="left"/>
      <w:lvlText w:val="(%1)"/>
      <w:numFmt w:val="lowerRoman"/>
      <w:start w:val="1"/>
    </w:lvl>
  </w:abstractNum>
  <w:abstractNum w:abstractNumId="56">
    <w:nsid w:val="47CAA567"/>
    <w:multiLevelType w:val="hybridMultilevel"/>
    <w:lvl w:ilvl="0">
      <w:lvlJc w:val="left"/>
      <w:lvlText w:val="*"/>
      <w:numFmt w:val="bullet"/>
      <w:start w:val="1"/>
    </w:lvl>
  </w:abstractNum>
  <w:abstractNum w:abstractNumId="57">
    <w:nsid w:val="48249DBF"/>
    <w:multiLevelType w:val="hybridMultilevel"/>
    <w:lvl w:ilvl="0">
      <w:lvlJc w:val="left"/>
      <w:lvlText w:val="*"/>
      <w:numFmt w:val="bullet"/>
      <w:start w:val="1"/>
    </w:lvl>
  </w:abstractNum>
  <w:abstractNum w:abstractNumId="58">
    <w:nsid w:val="1F0E5D0D"/>
    <w:multiLevelType w:val="hybridMultilevel"/>
    <w:lvl w:ilvl="0">
      <w:lvlJc w:val="left"/>
      <w:lvlText w:val="(%1)"/>
      <w:numFmt w:val="decimal"/>
      <w:start w:val="1"/>
    </w:lvl>
  </w:abstractNum>
  <w:abstractNum w:abstractNumId="59">
    <w:nsid w:val="26BAAE9"/>
    <w:multiLevelType w:val="hybridMultilevel"/>
    <w:lvl w:ilvl="0">
      <w:lvlJc w:val="left"/>
      <w:lvlText w:val="(%1)"/>
      <w:numFmt w:val="lowerRoman"/>
      <w:start w:val="3"/>
    </w:lvl>
  </w:abstractNum>
  <w:abstractNum w:abstractNumId="60">
    <w:nsid w:val="2C02FE8C"/>
    <w:multiLevelType w:val="hybridMultilevel"/>
    <w:lvl w:ilvl="0">
      <w:lvlJc w:val="left"/>
      <w:lvlText w:val="•"/>
      <w:numFmt w:val="bullet"/>
      <w:start w:val="1"/>
    </w:lvl>
  </w:abstractNum>
  <w:abstractNum w:abstractNumId="61">
    <w:nsid w:val="129517E"/>
    <w:multiLevelType w:val="hybridMultilevel"/>
    <w:lvl w:ilvl="0">
      <w:lvlJc w:val="left"/>
      <w:lvlText w:val="•"/>
      <w:numFmt w:val="bullet"/>
      <w:start w:val="1"/>
    </w:lvl>
  </w:abstractNum>
  <w:abstractNum w:abstractNumId="62">
    <w:nsid w:val="763B8C4E"/>
    <w:multiLevelType w:val="hybridMultilevel"/>
    <w:lvl w:ilvl="0">
      <w:lvlJc w:val="left"/>
      <w:lvlText w:val="•"/>
      <w:numFmt w:val="bullet"/>
      <w:start w:val="1"/>
    </w:lvl>
  </w:abstractNum>
  <w:abstractNum w:abstractNumId="63">
    <w:nsid w:val="4CFB8D32"/>
    <w:multiLevelType w:val="hybridMultilevel"/>
    <w:lvl w:ilvl="0">
      <w:lvlJc w:val="left"/>
      <w:lvlText w:val="•"/>
      <w:numFmt w:val="bullet"/>
      <w:start w:val="1"/>
    </w:lvl>
  </w:abstractNum>
  <w:abstractNum w:abstractNumId="64">
    <w:nsid w:val="62A5D5BD"/>
    <w:multiLevelType w:val="hybridMultilevel"/>
    <w:lvl w:ilvl="0">
      <w:lvlJc w:val="left"/>
      <w:lvlText w:val="1"/>
      <w:numFmt w:val="bullet"/>
      <w:start w:val="1"/>
    </w:lvl>
  </w:abstractNum>
  <w:abstractNum w:abstractNumId="65">
    <w:nsid w:val="718FABF9"/>
    <w:multiLevelType w:val="hybridMultilevel"/>
    <w:lvl w:ilvl="0">
      <w:lvlJc w:val="left"/>
      <w:lvlText w:val="•"/>
      <w:numFmt w:val="bullet"/>
      <w:start w:val="1"/>
    </w:lvl>
  </w:abstractNum>
  <w:abstractNum w:abstractNumId="66">
    <w:nsid w:val="7775797C"/>
    <w:multiLevelType w:val="hybridMultilevel"/>
    <w:lvl w:ilvl="0">
      <w:lvlJc w:val="left"/>
      <w:lvlText w:val="•"/>
      <w:numFmt w:val="bullet"/>
      <w:start w:val="1"/>
    </w:lvl>
  </w:abstractNum>
  <w:abstractNum w:abstractNumId="67">
    <w:nsid w:val="1626FB8C"/>
    <w:multiLevelType w:val="hybridMultilevel"/>
    <w:lvl w:ilvl="0">
      <w:lvlJc w:val="left"/>
      <w:lvlText w:val="•"/>
      <w:numFmt w:val="bullet"/>
      <w:start w:val="1"/>
    </w:lvl>
  </w:abstractNum>
  <w:abstractNum w:abstractNumId="68">
    <w:nsid w:val="3957756A"/>
    <w:multiLevelType w:val="hybridMultilevel"/>
    <w:lvl w:ilvl="0">
      <w:lvlJc w:val="left"/>
      <w:lvlText w:val="•"/>
      <w:numFmt w:val="bullet"/>
      <w:start w:val="1"/>
    </w:lvl>
  </w:abstractNum>
  <w:abstractNum w:abstractNumId="69">
    <w:nsid w:val="3E6DA1C7"/>
    <w:multiLevelType w:val="hybridMultilevel"/>
    <w:lvl w:ilvl="0">
      <w:lvlJc w:val="left"/>
      <w:lvlText w:val="•"/>
      <w:numFmt w:val="bullet"/>
      <w:start w:val="1"/>
    </w:lvl>
  </w:abstractNum>
  <w:abstractNum w:abstractNumId="70">
    <w:nsid w:val="65CA235B"/>
    <w:multiLevelType w:val="hybridMultilevel"/>
    <w:lvl w:ilvl="0">
      <w:lvlJc w:val="left"/>
      <w:lvlText w:val="•"/>
      <w:numFmt w:val="bullet"/>
      <w:start w:val="1"/>
    </w:lvl>
  </w:abstractNum>
  <w:abstractNum w:abstractNumId="71">
    <w:nsid w:val="51CB0DA4"/>
    <w:multiLevelType w:val="hybridMultilevel"/>
    <w:lvl w:ilvl="0">
      <w:lvlJc w:val="left"/>
      <w:lvlText w:val="•"/>
      <w:numFmt w:val="bullet"/>
      <w:start w:val="1"/>
    </w:lvl>
  </w:abstractNum>
  <w:abstractNum w:abstractNumId="72">
    <w:nsid w:val="7B9B743C"/>
    <w:multiLevelType w:val="hybridMultilevel"/>
    <w:lvl w:ilvl="0">
      <w:lvlJc w:val="left"/>
      <w:lvlText w:val="•"/>
      <w:numFmt w:val="bullet"/>
      <w:start w:val="1"/>
    </w:lvl>
  </w:abstractNum>
  <w:abstractNum w:abstractNumId="73">
    <w:nsid w:val="13E21002"/>
    <w:multiLevelType w:val="hybridMultilevel"/>
    <w:lvl w:ilvl="0">
      <w:lvlJc w:val="left"/>
      <w:lvlText w:val="•"/>
      <w:numFmt w:val="bullet"/>
      <w:start w:val="1"/>
    </w:lvl>
  </w:abstractNum>
  <w:abstractNum w:abstractNumId="74">
    <w:nsid w:val="257D63F4"/>
    <w:multiLevelType w:val="hybridMultilevel"/>
    <w:lvl w:ilvl="0">
      <w:lvlJc w:val="left"/>
      <w:lvlText w:val="•"/>
      <w:numFmt w:val="bullet"/>
      <w:start w:val="1"/>
    </w:lvl>
  </w:abstractNum>
  <w:abstractNum w:abstractNumId="75">
    <w:nsid w:val="70EC11B2"/>
    <w:multiLevelType w:val="hybridMultilevel"/>
    <w:lvl w:ilvl="0">
      <w:lvlJc w:val="left"/>
      <w:lvlText w:val="•"/>
      <w:numFmt w:val="bullet"/>
      <w:start w:val="1"/>
    </w:lvl>
  </w:abstractNum>
  <w:abstractNum w:abstractNumId="76">
    <w:nsid w:val="2EDA00ED"/>
    <w:multiLevelType w:val="hybridMultilevel"/>
    <w:lvl w:ilvl="0">
      <w:lvlJc w:val="left"/>
      <w:lvlText w:val="•"/>
      <w:numFmt w:val="bullet"/>
      <w:start w:val="1"/>
    </w:lvl>
  </w:abstractNum>
  <w:abstractNum w:abstractNumId="77">
    <w:nsid w:val="73209072"/>
    <w:multiLevelType w:val="hybridMultilevel"/>
    <w:lvl w:ilvl="0">
      <w:lvlJc w:val="left"/>
      <w:lvlText w:val="•"/>
      <w:numFmt w:val="bullet"/>
      <w:start w:val="1"/>
    </w:lvl>
  </w:abstractNum>
  <w:abstractNum w:abstractNumId="78">
    <w:nsid w:val="5FB29816"/>
    <w:multiLevelType w:val="hybridMultilevel"/>
    <w:lvl w:ilvl="0">
      <w:lvlJc w:val="left"/>
      <w:lvlText w:val="•"/>
      <w:numFmt w:val="bullet"/>
      <w:start w:val="1"/>
    </w:lvl>
  </w:abstractNum>
  <w:abstractNum w:abstractNumId="79">
    <w:nsid w:val="3CE732EC"/>
    <w:multiLevelType w:val="hybridMultilevel"/>
    <w:lvl w:ilvl="0">
      <w:lvlJc w:val="left"/>
      <w:lvlText w:val="•"/>
      <w:numFmt w:val="bullet"/>
      <w:start w:val="1"/>
    </w:lvl>
  </w:abstractNum>
  <w:abstractNum w:abstractNumId="80">
    <w:nsid w:val="22F13DF3"/>
    <w:multiLevelType w:val="hybridMultilevel"/>
    <w:lvl w:ilvl="0">
      <w:lvlJc w:val="left"/>
      <w:lvlText w:val="•"/>
      <w:numFmt w:val="bullet"/>
      <w:start w:val="1"/>
    </w:lvl>
  </w:abstractNum>
  <w:abstractNum w:abstractNumId="81">
    <w:nsid w:val="792B8401"/>
    <w:multiLevelType w:val="hybridMultilevel"/>
    <w:lvl w:ilvl="0">
      <w:lvlJc w:val="left"/>
      <w:lvlText w:val="•"/>
      <w:numFmt w:val="bullet"/>
      <w:start w:val="1"/>
    </w:lvl>
  </w:abstractNum>
  <w:abstractNum w:abstractNumId="82">
    <w:nsid w:val="FA85F4D"/>
    <w:multiLevelType w:val="hybridMultilevel"/>
    <w:lvl w:ilvl="0">
      <w:lvlJc w:val="left"/>
      <w:lvlText w:val="•"/>
      <w:numFmt w:val="bullet"/>
      <w:start w:val="1"/>
    </w:lvl>
  </w:abstractNum>
  <w:abstractNum w:abstractNumId="83">
    <w:nsid w:val="6ECE91F0"/>
    <w:multiLevelType w:val="hybridMultilevel"/>
    <w:lvl w:ilvl="0">
      <w:lvlJc w:val="left"/>
      <w:lvlText w:val="•"/>
      <w:numFmt w:val="bullet"/>
      <w:start w:val="1"/>
    </w:lvl>
  </w:abstractNum>
  <w:abstractNum w:abstractNumId="84">
    <w:nsid w:val="4FC4D600"/>
    <w:multiLevelType w:val="hybridMultilevel"/>
    <w:lvl w:ilvl="0">
      <w:lvlJc w:val="left"/>
      <w:lvlText w:val="•"/>
      <w:numFmt w:val="bullet"/>
      <w:start w:val="1"/>
    </w:lvl>
  </w:abstractNum>
  <w:abstractNum w:abstractNumId="85">
    <w:nsid w:val="5BFD4210"/>
    <w:multiLevelType w:val="hybridMultilevel"/>
    <w:lvl w:ilvl="0">
      <w:lvlJc w:val="left"/>
      <w:lvlText w:val="•"/>
      <w:numFmt w:val="bullet"/>
      <w:start w:val="1"/>
    </w:lvl>
  </w:abstractNum>
  <w:abstractNum w:abstractNumId="86">
    <w:nsid w:val="76574F8B"/>
    <w:multiLevelType w:val="hybridMultilevel"/>
    <w:lvl w:ilvl="0">
      <w:lvlJc w:val="left"/>
      <w:lvlText w:val="(%1)"/>
      <w:numFmt w:val="lowerRoman"/>
      <w:start w:val="2"/>
    </w:lvl>
  </w:abstractNum>
  <w:abstractNum w:abstractNumId="87">
    <w:nsid w:val="178F7B67"/>
    <w:multiLevelType w:val="hybridMultilevel"/>
    <w:lvl w:ilvl="0">
      <w:lvlJc w:val="left"/>
      <w:lvlText w:val="•"/>
      <w:numFmt w:val="bullet"/>
      <w:start w:val="1"/>
    </w:lvl>
  </w:abstractNum>
  <w:abstractNum w:abstractNumId="88">
    <w:nsid w:val="2421DFCF"/>
    <w:multiLevelType w:val="hybridMultilevel"/>
    <w:lvl w:ilvl="0">
      <w:lvlJc w:val="left"/>
      <w:lvlText w:val="(%1)"/>
      <w:numFmt w:val="decimal"/>
      <w:start w:val="1"/>
    </w:lvl>
  </w:abstractNum>
  <w:abstractNum w:abstractNumId="89">
    <w:nsid w:val="1565AC99"/>
    <w:multiLevelType w:val="hybridMultilevel"/>
    <w:lvl w:ilvl="0">
      <w:lvlJc w:val="left"/>
      <w:lvlText w:val="•"/>
      <w:numFmt w:val="bullet"/>
      <w:start w:val="1"/>
    </w:lvl>
  </w:abstractNum>
  <w:abstractNum w:abstractNumId="90">
    <w:nsid w:val="19FB2650"/>
    <w:multiLevelType w:val="hybridMultilevel"/>
    <w:lvl w:ilvl="0">
      <w:lvlJc w:val="left"/>
      <w:lvlText w:val="•"/>
      <w:numFmt w:val="bullet"/>
      <w:start w:val="1"/>
    </w:lvl>
  </w:abstractNum>
  <w:abstractNum w:abstractNumId="91">
    <w:nsid w:val="5024DE5B"/>
    <w:multiLevelType w:val="hybridMultilevel"/>
    <w:lvl w:ilvl="0">
      <w:lvlJc w:val="left"/>
      <w:lvlText w:val="•"/>
      <w:numFmt w:val="bullet"/>
      <w:start w:val="1"/>
    </w:lvl>
  </w:abstractNum>
  <w:abstractNum w:abstractNumId="92">
    <w:nsid w:val="168EFE17"/>
    <w:multiLevelType w:val="hybridMultilevel"/>
    <w:lvl w:ilvl="0">
      <w:lvlJc w:val="left"/>
      <w:lvlText w:val="•"/>
      <w:numFmt w:val="bullet"/>
      <w:start w:val="1"/>
    </w:lvl>
  </w:abstractNum>
  <w:abstractNum w:abstractNumId="93">
    <w:nsid w:val="1036B29F"/>
    <w:multiLevelType w:val="hybridMultilevel"/>
    <w:lvl w:ilvl="0">
      <w:lvlJc w:val="left"/>
      <w:lvlText w:val="•"/>
      <w:numFmt w:val="bullet"/>
      <w:start w:val="1"/>
    </w:lvl>
  </w:abstractNum>
  <w:abstractNum w:abstractNumId="94">
    <w:nsid w:val="1D206B8E"/>
    <w:multiLevelType w:val="hybridMultilevel"/>
    <w:lvl w:ilvl="0">
      <w:lvlJc w:val="left"/>
      <w:lvlText w:val="•"/>
      <w:numFmt w:val="bullet"/>
      <w:start w:val="1"/>
    </w:lvl>
  </w:abstractNum>
  <w:abstractNum w:abstractNumId="95">
    <w:nsid w:val="7934D3D4"/>
    <w:multiLevelType w:val="hybridMultilevel"/>
    <w:lvl w:ilvl="0">
      <w:lvlJc w:val="left"/>
      <w:lvlText w:val="•"/>
      <w:numFmt w:val="bullet"/>
      <w:start w:val="1"/>
    </w:lvl>
  </w:abstractNum>
  <w:abstractNum w:abstractNumId="96">
    <w:nsid w:val="1C65E98"/>
    <w:multiLevelType w:val="hybridMultilevel"/>
    <w:lvl w:ilvl="0">
      <w:lvlJc w:val="left"/>
      <w:lvlText w:val="•"/>
      <w:numFmt w:val="bullet"/>
      <w:start w:val="1"/>
    </w:lvl>
  </w:abstractNum>
  <w:abstractNum w:abstractNumId="97">
    <w:nsid w:val="1495E50A"/>
    <w:multiLevelType w:val="hybridMultilevel"/>
    <w:lvl w:ilvl="0">
      <w:lvlJc w:val="left"/>
      <w:lvlText w:val="(%1)"/>
      <w:numFmt w:val="decimal"/>
      <w:start w:val="1"/>
    </w:lvl>
  </w:abstractNum>
  <w:abstractNum w:abstractNumId="98">
    <w:nsid w:val="F5BCF61"/>
    <w:multiLevelType w:val="hybridMultilevel"/>
    <w:lvl w:ilvl="0">
      <w:lvlJc w:val="left"/>
      <w:lvlText w:val="•"/>
      <w:numFmt w:val="bullet"/>
      <w:start w:val="1"/>
    </w:lvl>
  </w:abstractNum>
  <w:abstractNum w:abstractNumId="99">
    <w:nsid w:val="3B1DD403"/>
    <w:multiLevelType w:val="hybridMultilevel"/>
    <w:lvl w:ilvl="0">
      <w:lvlJc w:val="left"/>
      <w:lvlText w:val="(%1)"/>
      <w:numFmt w:val="decimal"/>
      <w:start w:val="1"/>
    </w:lvl>
  </w:abstractNum>
  <w:abstractNum w:abstractNumId="100">
    <w:nsid w:val="530386D1"/>
    <w:multiLevelType w:val="hybridMultilevel"/>
    <w:lvl w:ilvl="0">
      <w:lvlJc w:val="left"/>
      <w:lvlText w:val="(%1)"/>
      <w:numFmt w:val="lowerRoman"/>
      <w:start w:val="2"/>
    </w:lvl>
  </w:abstractNum>
  <w:abstractNum w:abstractNumId="101">
    <w:nsid w:val="7525F2BC"/>
    <w:multiLevelType w:val="hybridMultilevel"/>
    <w:lvl w:ilvl="0">
      <w:lvlJc w:val="left"/>
      <w:lvlText w:val="•"/>
      <w:numFmt w:val="bullet"/>
      <w:start w:val="1"/>
    </w:lvl>
  </w:abstractNum>
  <w:abstractNum w:abstractNumId="102">
    <w:nsid w:val="CE8E1A7"/>
    <w:multiLevelType w:val="hybridMultilevel"/>
    <w:lvl w:ilvl="0">
      <w:lvlJc w:val="left"/>
      <w:lvlText w:val="•"/>
      <w:numFmt w:val="bullet"/>
      <w:start w:val="1"/>
    </w:lvl>
  </w:abstractNum>
  <w:abstractNum w:abstractNumId="103">
    <w:nsid w:val="4E9EFB0D"/>
    <w:multiLevelType w:val="hybridMultilevel"/>
    <w:lvl w:ilvl="0">
      <w:lvlJc w:val="left"/>
      <w:lvlText w:val="(%1)"/>
      <w:numFmt w:val="decimal"/>
      <w:start w:val="1"/>
    </w:lvl>
  </w:abstractNum>
  <w:abstractNum w:abstractNumId="104">
    <w:nsid w:val="90802BE"/>
    <w:multiLevelType w:val="hybridMultilevel"/>
    <w:lvl w:ilvl="0">
      <w:lvlJc w:val="left"/>
      <w:lvlText w:val="(%1)"/>
      <w:numFmt w:val="decimal"/>
      <w:start w:val="2"/>
    </w:lvl>
  </w:abstractNum>
  <w:abstractNum w:abstractNumId="105">
    <w:nsid w:val="3266459B"/>
    <w:multiLevelType w:val="hybridMultilevel"/>
    <w:lvl w:ilvl="0">
      <w:lvlJc w:val="left"/>
      <w:lvlText w:val="(%1)"/>
      <w:numFmt w:val="decimal"/>
      <w:start w:val="1"/>
    </w:lvl>
  </w:abstractNum>
  <w:abstractNum w:abstractNumId="106">
    <w:nsid w:val="3F8B0CBF"/>
    <w:multiLevelType w:val="hybridMultilevel"/>
    <w:lvl w:ilvl="0">
      <w:lvlJc w:val="left"/>
      <w:lvlText w:val="(%1)"/>
      <w:numFmt w:val="decimal"/>
      <w:start w:val="1"/>
    </w:lvl>
  </w:abstractNum>
  <w:abstractNum w:abstractNumId="107">
    <w:nsid w:val="37E203AB"/>
    <w:multiLevelType w:val="hybridMultilevel"/>
    <w:lvl w:ilvl="0">
      <w:lvlJc w:val="left"/>
      <w:lvlText w:val="•"/>
      <w:numFmt w:val="bullet"/>
      <w:start w:val="1"/>
    </w:lvl>
  </w:abstractNum>
  <w:abstractNum w:abstractNumId="108">
    <w:nsid w:val="2586D60E"/>
    <w:multiLevelType w:val="hybridMultilevel"/>
    <w:lvl w:ilvl="0">
      <w:lvlJc w:val="left"/>
      <w:lvlText w:val="*"/>
      <w:numFmt w:val="bullet"/>
      <w:start w:val="1"/>
    </w:lvl>
  </w:abstractNum>
  <w:abstractNum w:abstractNumId="109">
    <w:nsid w:val="1F3DA4D5"/>
    <w:multiLevelType w:val="hybridMultilevel"/>
    <w:lvl w:ilvl="0">
      <w:lvlJc w:val="left"/>
      <w:lvlText w:val="(%1)"/>
      <w:numFmt w:val="decimal"/>
      <w:start w:val="1"/>
    </w:lvl>
    <w:lvl w:ilvl="1">
      <w:lvlJc w:val="left"/>
      <w:lvlText w:val="(%2)"/>
      <w:numFmt w:val="lowerRoman"/>
      <w:start w:val="4"/>
    </w:lvl>
  </w:abstractNum>
  <w:abstractNum w:abstractNumId="110">
    <w:nsid w:val="74C93698"/>
    <w:multiLevelType w:val="hybridMultilevel"/>
    <w:lvl w:ilvl="0">
      <w:lvlJc w:val="left"/>
      <w:lvlText w:val="%1"/>
      <w:numFmt w:val="decimal"/>
      <w:start w:val="1"/>
    </w:lvl>
    <w:lvl w:ilvl="1">
      <w:lvlJc w:val="left"/>
      <w:lvlText w:val="(%2)"/>
      <w:numFmt w:val="lowerRoman"/>
      <w:start w:val="7"/>
    </w:lvl>
  </w:abstractNum>
  <w:abstractNum w:abstractNumId="111">
    <w:nsid w:val="48781401"/>
    <w:multiLevelType w:val="hybridMultilevel"/>
    <w:lvl w:ilvl="0">
      <w:lvlJc w:val="left"/>
      <w:lvlText w:val="(%1)"/>
      <w:numFmt w:val="decimal"/>
      <w:start w:val="4"/>
    </w:lvl>
  </w:abstractNum>
  <w:abstractNum w:abstractNumId="112">
    <w:nsid w:val="186928D6"/>
    <w:multiLevelType w:val="hybridMultilevel"/>
    <w:lvl w:ilvl="0">
      <w:lvlJc w:val="left"/>
      <w:lvlText w:val="(%1)"/>
      <w:numFmt w:val="lowerRoman"/>
      <w:start w:val="1"/>
    </w:lvl>
  </w:abstractNum>
  <w:abstractNum w:abstractNumId="113">
    <w:nsid w:val="47195E5"/>
    <w:multiLevelType w:val="hybridMultilevel"/>
    <w:lvl w:ilvl="0">
      <w:lvlJc w:val="left"/>
      <w:lvlText w:val="•"/>
      <w:numFmt w:val="bullet"/>
      <w:start w:val="1"/>
    </w:lvl>
  </w:abstractNum>
  <w:abstractNum w:abstractNumId="114">
    <w:nsid w:val="3746A5F2"/>
    <w:multiLevelType w:val="hybridMultilevel"/>
    <w:lvl w:ilvl="0">
      <w:lvlJc w:val="left"/>
      <w:lvlText w:val="•"/>
      <w:numFmt w:val="bullet"/>
      <w:start w:val="1"/>
    </w:lvl>
  </w:abstractNum>
  <w:abstractNum w:abstractNumId="115">
    <w:nsid w:val="682DFED6"/>
    <w:multiLevelType w:val="hybridMultilevel"/>
    <w:lvl w:ilvl="0">
      <w:lvlJc w:val="left"/>
      <w:lvlText w:val="•"/>
      <w:numFmt w:val="bullet"/>
      <w:start w:val="1"/>
    </w:lvl>
  </w:abstractNum>
  <w:abstractNum w:abstractNumId="116">
    <w:nsid w:val="606ED7F6"/>
    <w:multiLevelType w:val="hybridMultilevel"/>
    <w:lvl w:ilvl="0">
      <w:lvlJc w:val="left"/>
      <w:lvlText w:val="%1."/>
      <w:numFmt w:val="decimal"/>
      <w:start w:val="144"/>
    </w:lvl>
  </w:abstractNum>
  <w:abstractNum w:abstractNumId="117">
    <w:nsid w:val="2D9DF57D"/>
    <w:multiLevelType w:val="hybridMultilevel"/>
    <w:lvl w:ilvl="0">
      <w:lvlJc w:val="left"/>
      <w:lvlText w:val="•"/>
      <w:numFmt w:val="bullet"/>
      <w:start w:val="1"/>
    </w:lvl>
  </w:abstractNum>
  <w:abstractNum w:abstractNumId="118">
    <w:nsid w:val="7FBD7A3E"/>
    <w:multiLevelType w:val="hybridMultilevel"/>
    <w:lvl w:ilvl="0">
      <w:lvlJc w:val="left"/>
      <w:lvlText w:val="•"/>
      <w:numFmt w:val="bullet"/>
      <w:start w:val="1"/>
    </w:lvl>
  </w:abstractNum>
  <w:abstractNum w:abstractNumId="119">
    <w:nsid w:val="490B7C5"/>
    <w:multiLevelType w:val="hybridMultilevel"/>
    <w:lvl w:ilvl="0">
      <w:lvlJc w:val="left"/>
      <w:lvlText w:val="•"/>
      <w:numFmt w:val="bullet"/>
      <w:start w:val="1"/>
    </w:lvl>
  </w:abstractNum>
  <w:abstractNum w:abstractNumId="120">
    <w:nsid w:val="4303A216"/>
    <w:multiLevelType w:val="hybridMultilevel"/>
    <w:lvl w:ilvl="0">
      <w:lvlJc w:val="left"/>
      <w:lvlText w:val="•"/>
      <w:numFmt w:val="bullet"/>
      <w:start w:val="1"/>
    </w:lvl>
  </w:abstractNum>
  <w:abstractNum w:abstractNumId="121">
    <w:nsid w:val="19B8A08E"/>
    <w:multiLevelType w:val="hybridMultilevel"/>
    <w:lvl w:ilvl="0">
      <w:lvlJc w:val="left"/>
      <w:lvlText w:val=" "/>
      <w:numFmt w:val="bullet"/>
      <w:start w:val="1"/>
    </w:lvl>
  </w:abstractNum>
  <w:abstractNum w:abstractNumId="122">
    <w:nsid w:val="54B59621"/>
    <w:multiLevelType w:val="hybridMultilevel"/>
    <w:lvl w:ilvl="0">
      <w:lvlJc w:val="left"/>
      <w:lvlText w:val="(%1)"/>
      <w:numFmt w:val="decimal"/>
      <w:start w:val="1"/>
    </w:lvl>
  </w:abstractNum>
  <w:abstractNum w:abstractNumId="123">
    <w:nsid w:val="5992A02E"/>
    <w:multiLevelType w:val="hybridMultilevel"/>
    <w:lvl w:ilvl="0">
      <w:lvlJc w:val="left"/>
      <w:lvlText w:val=" "/>
      <w:numFmt w:val="bullet"/>
      <w:start w:val="1"/>
    </w:lvl>
    <w:lvl w:ilvl="1">
      <w:lvlJc w:val="left"/>
      <w:lvlText w:val="(%2)"/>
      <w:numFmt w:val="decimal"/>
      <w:start w:val="1"/>
    </w:lvl>
  </w:abstractNum>
  <w:abstractNum w:abstractNumId="124">
    <w:nsid w:val="29EF532D"/>
    <w:multiLevelType w:val="hybridMultilevel"/>
    <w:lvl w:ilvl="0">
      <w:lvlJc w:val="left"/>
      <w:lvlText w:val="(%1)"/>
      <w:numFmt w:val="lowerLetter"/>
      <w:start w:val="1"/>
    </w:lvl>
  </w:abstractNum>
  <w:abstractNum w:abstractNumId="125">
    <w:nsid w:val="71D601AF"/>
    <w:multiLevelType w:val="hybridMultilevel"/>
    <w:lvl w:ilvl="0">
      <w:lvlJc w:val="left"/>
      <w:lvlText w:val="(%1)"/>
      <w:numFmt w:val="lowerLetter"/>
      <w:start w:val="1"/>
    </w:lvl>
  </w:abstractNum>
  <w:abstractNum w:abstractNumId="126">
    <w:nsid w:val="52C77402"/>
    <w:multiLevelType w:val="hybridMultilevel"/>
    <w:lvl w:ilvl="0">
      <w:lvlJc w:val="left"/>
      <w:lvlText w:val="•"/>
      <w:numFmt w:val="bullet"/>
      <w:start w:val="1"/>
    </w:lvl>
  </w:abstractNum>
  <w:abstractNum w:abstractNumId="127">
    <w:nsid w:val="2BB5B1C6"/>
    <w:multiLevelType w:val="hybridMultilevel"/>
    <w:lvl w:ilvl="0">
      <w:lvlJc w:val="left"/>
      <w:lvlText w:val="(%1)"/>
      <w:numFmt w:val="lowerRoman"/>
      <w:start w:val="1"/>
    </w:lvl>
  </w:abstractNum>
  <w:abstractNum w:abstractNumId="128">
    <w:nsid w:val="66BE6B9"/>
    <w:multiLevelType w:val="hybridMultilevel"/>
    <w:lvl w:ilvl="0">
      <w:lvlJc w:val="left"/>
      <w:lvlText w:val="(%1)"/>
      <w:numFmt w:val="lowerRoman"/>
      <w:start w:val="1"/>
    </w:lvl>
  </w:abstractNum>
  <w:abstractNum w:abstractNumId="129">
    <w:nsid w:val="62234363"/>
    <w:multiLevelType w:val="hybridMultilevel"/>
    <w:lvl w:ilvl="0">
      <w:lvlJc w:val="left"/>
      <w:lvlText w:val="(%1)"/>
      <w:numFmt w:val="lowerRoman"/>
      <w:start w:val="1"/>
    </w:lvl>
    <w:lvl w:ilvl="1">
      <w:lvlJc w:val="left"/>
      <w:lvlText w:val="%2)"/>
      <w:numFmt w:val="lowerLetter"/>
      <w:start w:val="1"/>
    </w:lvl>
  </w:abstractNum>
  <w:abstractNum w:abstractNumId="130">
    <w:nsid w:val="66D385C9"/>
    <w:multiLevelType w:val="hybridMultilevel"/>
    <w:lvl w:ilvl="0">
      <w:lvlJc w:val="left"/>
      <w:lvlText w:val="•"/>
      <w:numFmt w:val="bullet"/>
      <w:start w:val="1"/>
    </w:lvl>
  </w:abstractNum>
  <w:abstractNum w:abstractNumId="131">
    <w:nsid w:val="596F6D8A"/>
    <w:multiLevelType w:val="hybridMultilevel"/>
    <w:lvl w:ilvl="0">
      <w:lvlJc w:val="left"/>
      <w:lvlText w:val="(%1)"/>
      <w:numFmt w:val="decimal"/>
      <w:start w:val="1"/>
    </w:lvl>
  </w:abstractNum>
  <w:abstractNum w:abstractNumId="132">
    <w:nsid w:val="5749361F"/>
    <w:multiLevelType w:val="hybridMultilevel"/>
    <w:lvl w:ilvl="0">
      <w:lvlJc w:val="left"/>
      <w:lvlText w:val="(%1)"/>
      <w:numFmt w:val="decimal"/>
      <w:start w:val="1"/>
    </w:lvl>
  </w:abstractNum>
  <w:abstractNum w:abstractNumId="133">
    <w:nsid w:val="73BC6770"/>
    <w:multiLevelType w:val="hybridMultilevel"/>
    <w:lvl w:ilvl="0">
      <w:lvlJc w:val="left"/>
      <w:lvlText w:val="(%1)"/>
      <w:numFmt w:val="decimal"/>
      <w:start w:val="1"/>
    </w:lvl>
  </w:abstractNum>
  <w:abstractNum w:abstractNumId="134">
    <w:nsid w:val="280E6897"/>
    <w:multiLevelType w:val="hybridMultilevel"/>
    <w:lvl w:ilvl="0">
      <w:lvlJc w:val="left"/>
      <w:lvlText w:val="%1."/>
      <w:numFmt w:val="decimal"/>
      <w:start w:val="2"/>
    </w:lvl>
  </w:abstractNum>
  <w:abstractNum w:abstractNumId="135">
    <w:nsid w:val="605138DE"/>
    <w:multiLevelType w:val="hybridMultilevel"/>
    <w:lvl w:ilvl="0">
      <w:lvlJc w:val="left"/>
      <w:lvlText w:val="*"/>
      <w:numFmt w:val="bullet"/>
      <w:start w:val="1"/>
    </w:lvl>
  </w:abstractNum>
  <w:abstractNum w:abstractNumId="136">
    <w:nsid w:val="2622AD0C"/>
    <w:multiLevelType w:val="hybridMultilevel"/>
    <w:lvl w:ilvl="0">
      <w:lvlJc w:val="left"/>
      <w:lvlText w:val="%1."/>
      <w:numFmt w:val="decimal"/>
      <w:start w:val="4"/>
    </w:lvl>
  </w:abstractNum>
  <w:abstractNum w:abstractNumId="137">
    <w:nsid w:val="67997556"/>
    <w:multiLevelType w:val="hybridMultilevel"/>
    <w:lvl w:ilvl="0">
      <w:lvlJc w:val="left"/>
      <w:lvlText w:val="(%1)"/>
      <w:numFmt w:val="decimal"/>
      <w:start w:val="1"/>
    </w:lvl>
  </w:abstractNum>
  <w:abstractNum w:abstractNumId="138">
    <w:nsid w:val="18333C89"/>
    <w:multiLevelType w:val="hybridMultilevel"/>
    <w:lvl w:ilvl="0">
      <w:lvlJc w:val="left"/>
      <w:lvlText w:val="%1."/>
      <w:numFmt w:val="decimal"/>
      <w:start w:val="14"/>
    </w:lvl>
  </w:abstractNum>
  <w:abstractNum w:abstractNumId="139">
    <w:nsid w:val="4BA9831A"/>
    <w:multiLevelType w:val="hybridMultilevel"/>
    <w:lvl w:ilvl="0">
      <w:lvlJc w:val="left"/>
      <w:lvlText w:val="%1."/>
      <w:numFmt w:val="decimal"/>
      <w:start w:val="1"/>
    </w:lvl>
  </w:abstractNum>
  <w:abstractNum w:abstractNumId="140">
    <w:nsid w:val="6D71A2B"/>
    <w:multiLevelType w:val="hybridMultilevel"/>
    <w:lvl w:ilvl="0">
      <w:lvlJc w:val="left"/>
      <w:lvlText w:val="%1."/>
      <w:numFmt w:val="decimal"/>
      <w:start w:val="3"/>
    </w:lvl>
  </w:abstractNum>
  <w:abstractNum w:abstractNumId="141">
    <w:nsid w:val="CFC7321"/>
    <w:multiLevelType w:val="hybridMultilevel"/>
    <w:lvl w:ilvl="0">
      <w:lvlJc w:val="left"/>
      <w:lvlText w:val="%1."/>
      <w:numFmt w:val="decimal"/>
      <w:start w:val="5"/>
    </w:lvl>
  </w:abstractNum>
  <w:abstractNum w:abstractNumId="142">
    <w:nsid w:val="1421971B"/>
    <w:multiLevelType w:val="hybridMultilevel"/>
    <w:lvl w:ilvl="0">
      <w:lvlJc w:val="left"/>
      <w:lvlText w:val="(%1)"/>
      <w:numFmt w:val="lowerLetter"/>
      <w:start w:val="1"/>
    </w:lvl>
    <w:lvl w:ilvl="1">
      <w:lvlJc w:val="left"/>
      <w:lvlText w:val="(%2)"/>
      <w:numFmt w:val="decimal"/>
      <w:start w:val="1"/>
    </w:lvl>
  </w:abstractNum>
  <w:abstractNum w:abstractNumId="143">
    <w:nsid w:val="1F404301"/>
    <w:multiLevelType w:val="hybridMultilevel"/>
    <w:lvl w:ilvl="0">
      <w:lvlJc w:val="left"/>
      <w:lvlText w:val=" "/>
      <w:numFmt w:val="bullet"/>
      <w:start w:val="1"/>
    </w:lvl>
  </w:abstractNum>
  <w:abstractNum w:abstractNumId="144">
    <w:nsid w:val="116E0907"/>
    <w:multiLevelType w:val="hybridMultilevel"/>
    <w:lvl w:ilvl="0">
      <w:lvlJc w:val="left"/>
      <w:lvlText w:val=" "/>
      <w:numFmt w:val="bullet"/>
      <w:start w:val="1"/>
    </w:lvl>
  </w:abstractNum>
  <w:abstractNum w:abstractNumId="145">
    <w:nsid w:val="4B683D0D"/>
    <w:multiLevelType w:val="hybridMultilevel"/>
    <w:lvl w:ilvl="0">
      <w:lvlJc w:val="left"/>
      <w:lvlText w:val=" "/>
      <w:numFmt w:val="bullet"/>
      <w:start w:val="1"/>
    </w:lvl>
  </w:abstractNum>
  <w:abstractNum w:abstractNumId="146">
    <w:nsid w:val="76E41D8"/>
    <w:multiLevelType w:val="hybridMultilevel"/>
    <w:lvl w:ilvl="0">
      <w:lvlJc w:val="left"/>
      <w:lvlText w:val=" "/>
      <w:numFmt w:val="bullet"/>
      <w:start w:val="1"/>
    </w:lvl>
  </w:abstractNum>
  <w:abstractNum w:abstractNumId="147">
    <w:nsid w:val="71DCE0FD"/>
    <w:multiLevelType w:val="hybridMultilevel"/>
    <w:lvl w:ilvl="0">
      <w:lvlJc w:val="left"/>
      <w:lvlText w:val=" "/>
      <w:numFmt w:val="bullet"/>
      <w:start w:val="1"/>
    </w:lvl>
  </w:abstractNum>
  <w:abstractNum w:abstractNumId="148">
    <w:nsid w:val="7906328B"/>
    <w:multiLevelType w:val="hybridMultilevel"/>
    <w:lvl w:ilvl="0">
      <w:lvlJc w:val="left"/>
      <w:lvlText w:val=" "/>
      <w:numFmt w:val="bullet"/>
      <w:start w:val="1"/>
    </w:lvl>
  </w:abstractNum>
  <w:abstractNum w:abstractNumId="149">
    <w:nsid w:val="72BBC16"/>
    <w:multiLevelType w:val="hybridMultilevel"/>
    <w:lvl w:ilvl="0">
      <w:lvlJc w:val="left"/>
      <w:lvlText w:val="*"/>
      <w:numFmt w:val="bullet"/>
      <w:start w:val="1"/>
    </w:lvl>
  </w:abstractNum>
  <w:abstractNum w:abstractNumId="150">
    <w:nsid w:val="766D98C2"/>
    <w:multiLevelType w:val="hybridMultilevel"/>
    <w:lvl w:ilvl="0">
      <w:lvlJc w:val="left"/>
      <w:lvlText w:val="#"/>
      <w:numFmt w:val="bullet"/>
      <w:start w:val="1"/>
    </w:lvl>
  </w:abstractNum>
  <w:abstractNum w:abstractNumId="151">
    <w:nsid w:val="3C09D4A1"/>
    <w:multiLevelType w:val="hybridMultilevel"/>
    <w:lvl w:ilvl="0">
      <w:lvlJc w:val="left"/>
      <w:lvlText w:val="†"/>
      <w:numFmt w:val="bullet"/>
      <w:start w:val="1"/>
    </w:lvl>
  </w:abstractNum>
  <w:abstractNum w:abstractNumId="152">
    <w:nsid w:val="20E45CA4"/>
    <w:multiLevelType w:val="hybridMultilevel"/>
    <w:lvl w:ilvl="0">
      <w:lvlJc w:val="left"/>
      <w:lvlText w:val="^"/>
      <w:numFmt w:val="bullet"/>
      <w:start w:val="1"/>
    </w:lvl>
  </w:abstractNum>
  <w:abstractNum w:abstractNumId="153">
    <w:nsid w:val="4B232EE3"/>
    <w:multiLevelType w:val="hybridMultilevel"/>
    <w:lvl w:ilvl="0">
      <w:lvlJc w:val="left"/>
      <w:lvlText w:val="(%1)"/>
      <w:numFmt w:val="upperLetter"/>
      <w:start w:val="3"/>
    </w:lvl>
  </w:abstractNum>
  <w:abstractNum w:abstractNumId="154">
    <w:nsid w:val="159C74CF"/>
    <w:multiLevelType w:val="hybridMultilevel"/>
    <w:lvl w:ilvl="0">
      <w:lvlJc w:val="left"/>
      <w:lvlText w:val="(%1)"/>
      <w:numFmt w:val="decimal"/>
      <w:start w:val="1"/>
    </w:lvl>
  </w:abstractNum>
  <w:abstractNum w:abstractNumId="155">
    <w:nsid w:val="4AD3AFD2"/>
    <w:multiLevelType w:val="hybridMultilevel"/>
    <w:lvl w:ilvl="0">
      <w:lvlJc w:val="left"/>
      <w:lvlText w:val="(%1)"/>
      <w:numFmt w:val="lowerRoman"/>
      <w:start w:val="2"/>
    </w:lvl>
  </w:abstractNum>
  <w:abstractNum w:abstractNumId="156">
    <w:nsid w:val="3CF93092"/>
    <w:multiLevelType w:val="hybridMultilevel"/>
    <w:lvl w:ilvl="0">
      <w:lvlJc w:val="left"/>
      <w:lvlText w:val="(%1)"/>
      <w:numFmt w:val="lowerRoman"/>
      <w:start w:val="3"/>
    </w:lvl>
  </w:abstractNum>
  <w:abstractNum w:abstractNumId="157">
    <w:nsid w:val="6863E8D2"/>
    <w:multiLevelType w:val="hybridMultilevel"/>
    <w:lvl w:ilvl="0">
      <w:lvlJc w:val="left"/>
      <w:lvlText w:val="(%1)"/>
      <w:numFmt w:val="decimal"/>
      <w:start w:val="2"/>
    </w:lvl>
  </w:abstractNum>
  <w:abstractNum w:abstractNumId="158">
    <w:nsid w:val="76896198"/>
    <w:multiLevelType w:val="hybridMultilevel"/>
    <w:lvl w:ilvl="0">
      <w:lvlJc w:val="left"/>
      <w:lvlText w:val="(%1)"/>
      <w:numFmt w:val="decimal"/>
      <w:start w:val="10"/>
    </w:lvl>
  </w:abstractNum>
  <w:abstractNum w:abstractNumId="159">
    <w:nsid w:val="4365174B"/>
    <w:multiLevelType w:val="hybridMultilevel"/>
    <w:lvl w:ilvl="0">
      <w:lvlJc w:val="left"/>
      <w:lvlText w:val="(%1)"/>
      <w:numFmt w:val="lowerRoman"/>
      <w:start w:val="1"/>
    </w:lvl>
  </w:abstractNum>
  <w:abstractNum w:abstractNumId="160">
    <w:nsid w:val="4A872C35"/>
    <w:multiLevelType w:val="hybridMultilevel"/>
    <w:lvl w:ilvl="0">
      <w:lvlJc w:val="left"/>
      <w:lvlText w:val="(%1)"/>
      <w:numFmt w:val="lowerLetter"/>
      <w:start w:val="24"/>
    </w:lvl>
  </w:abstractNum>
  <w:abstractNum w:abstractNumId="161">
    <w:nsid w:val="5D5CE761"/>
    <w:multiLevelType w:val="hybridMultilevel"/>
    <w:lvl w:ilvl="0">
      <w:lvlJc w:val="left"/>
      <w:lvlText w:val=" "/>
      <w:numFmt w:val="bullet"/>
      <w:start w:val="1"/>
    </w:lvl>
  </w:abstractNum>
  <w:abstractNum w:abstractNumId="162">
    <w:nsid w:val="1CD484D5"/>
    <w:multiLevelType w:val="hybridMultilevel"/>
    <w:lvl w:ilvl="0">
      <w:lvlJc w:val="left"/>
      <w:lvlText w:val="(%1)"/>
      <w:numFmt w:val="lowerRoman"/>
      <w:start w:val="3"/>
    </w:lvl>
  </w:abstractNum>
  <w:abstractNum w:abstractNumId="163">
    <w:nsid w:val="21D06255"/>
    <w:multiLevelType w:val="hybridMultilevel"/>
    <w:lvl w:ilvl="0">
      <w:lvlJc w:val="left"/>
      <w:lvlText w:val="(%1)"/>
      <w:numFmt w:val="lowerRoman"/>
      <w:start w:val="3"/>
    </w:lvl>
  </w:abstractNum>
  <w:abstractNum w:abstractNumId="164">
    <w:nsid w:val="51194ED1"/>
    <w:multiLevelType w:val="hybridMultilevel"/>
    <w:lvl w:ilvl="0">
      <w:lvlJc w:val="left"/>
      <w:lvlText w:val="(%1)"/>
      <w:numFmt w:val="lowerRoman"/>
      <w:start w:val="10"/>
    </w:lvl>
  </w:abstractNum>
  <w:abstractNum w:abstractNumId="165">
    <w:nsid w:val="44E2ED6C"/>
    <w:multiLevelType w:val="hybridMultilevel"/>
    <w:lvl w:ilvl="0">
      <w:lvlJc w:val="left"/>
      <w:lvlText w:val="(%1)"/>
      <w:numFmt w:val="lowerRoman"/>
      <w:start w:val="1"/>
    </w:lvl>
  </w:abstractNum>
  <w:abstractNum w:abstractNumId="166">
    <w:nsid w:val="2219B33"/>
    <w:multiLevelType w:val="hybridMultilevel"/>
    <w:lvl w:ilvl="0">
      <w:lvlJc w:val="left"/>
      <w:lvlText w:val="(%1)"/>
      <w:numFmt w:val="lowerLetter"/>
      <w:start w:val="6"/>
    </w:lvl>
  </w:abstractNum>
  <w:abstractNum w:abstractNumId="167">
    <w:nsid w:val="773BFBDD"/>
    <w:multiLevelType w:val="hybridMultilevel"/>
    <w:lvl w:ilvl="0">
      <w:lvlJc w:val="left"/>
      <w:lvlText w:val="(%1)"/>
      <w:numFmt w:val="lowerLetter"/>
      <w:start w:val="2"/>
    </w:lvl>
  </w:abstractNum>
  <w:abstractNum w:abstractNumId="168">
    <w:nsid w:val="2C7C62C2"/>
    <w:multiLevelType w:val="hybridMultilevel"/>
    <w:lvl w:ilvl="0">
      <w:lvlJc w:val="left"/>
      <w:lvlText w:val="(%1)"/>
      <w:numFmt w:val="lowerLetter"/>
      <w:start w:val="2"/>
    </w:lvl>
  </w:abstractNum>
  <w:abstractNum w:abstractNumId="169">
    <w:nsid w:val="1A54D7BC"/>
    <w:multiLevelType w:val="hybridMultilevel"/>
    <w:lvl w:ilvl="0">
      <w:lvlJc w:val="left"/>
      <w:lvlText w:val="(%1)"/>
      <w:numFmt w:val="lowerLetter"/>
      <w:start w:val="2"/>
    </w:lvl>
  </w:abstractNum>
  <w:abstractNum w:abstractNumId="170">
    <w:nsid w:val="42E57EF7"/>
    <w:multiLevelType w:val="hybridMultilevel"/>
    <w:lvl w:ilvl="0">
      <w:lvlJc w:val="left"/>
      <w:lvlText w:val="(%1)"/>
      <w:numFmt w:val="lowerLetter"/>
      <w:start w:val="1"/>
    </w:lvl>
  </w:abstractNum>
  <w:abstractNum w:abstractNumId="171">
    <w:nsid w:val="33537CED"/>
    <w:multiLevelType w:val="hybridMultilevel"/>
    <w:lvl w:ilvl="0">
      <w:lvlJc w:val="left"/>
      <w:lvlText w:val="(%1)"/>
      <w:numFmt w:val="lowerLetter"/>
      <w:start w:val="4"/>
    </w:lvl>
  </w:abstractNum>
  <w:abstractNum w:abstractNumId="172">
    <w:nsid w:val="27514ADE"/>
    <w:multiLevelType w:val="hybridMultilevel"/>
    <w:lvl w:ilvl="0">
      <w:lvlJc w:val="left"/>
      <w:lvlText w:val="(%1)"/>
      <w:numFmt w:val="lowerLetter"/>
      <w:start w:val="5"/>
    </w:lvl>
  </w:abstractNum>
  <w:abstractNum w:abstractNumId="173">
    <w:nsid w:val="57071613"/>
    <w:multiLevelType w:val="hybridMultilevel"/>
    <w:lvl w:ilvl="0">
      <w:lvlJc w:val="left"/>
      <w:lvlText w:val="(%1)"/>
      <w:numFmt w:val="lowerLetter"/>
      <w:start w:val="1"/>
    </w:lvl>
  </w:abstractNum>
  <w:abstractNum w:abstractNumId="174">
    <w:nsid w:val="5293BFEF"/>
    <w:multiLevelType w:val="hybridMultilevel"/>
    <w:lvl w:ilvl="0">
      <w:lvlJc w:val="left"/>
      <w:lvlText w:val="%1"/>
      <w:numFmt w:val="lowerLetter"/>
      <w:start w:val="1"/>
    </w:lvl>
    <w:lvl w:ilvl="1">
      <w:lvlJc w:val="left"/>
      <w:lvlText w:val="(%2)"/>
      <w:numFmt w:val="lowerLetter"/>
      <w:start w:val="9"/>
    </w:lvl>
  </w:abstractNum>
  <w:abstractNum w:abstractNumId="175">
    <w:nsid w:val="38BF53E5"/>
    <w:multiLevelType w:val="hybridMultilevel"/>
    <w:lvl w:ilvl="0">
      <w:lvlJc w:val="left"/>
      <w:lvlText w:val="(%1)"/>
      <w:numFmt w:val="lowerLetter"/>
      <w:start w:val="11"/>
    </w:lvl>
    <w:lvl w:ilvl="1">
      <w:lvlJc w:val="left"/>
      <w:lvlText w:val="(%2)"/>
      <w:numFmt w:val="lowerLetter"/>
      <w:start w:val="12"/>
    </w:lvl>
  </w:abstractNum>
  <w:abstractNum w:abstractNumId="176">
    <w:nsid w:val="226F5320"/>
    <w:multiLevelType w:val="hybridMultilevel"/>
    <w:lvl w:ilvl="0">
      <w:lvlJc w:val="left"/>
      <w:lvlText w:val="(%1)"/>
      <w:numFmt w:val="lowerRoman"/>
      <w:start w:val="5"/>
    </w:lvl>
  </w:abstractNum>
  <w:abstractNum w:abstractNumId="177">
    <w:nsid w:val="5A0201C7"/>
    <w:multiLevelType w:val="hybridMultilevel"/>
    <w:lvl w:ilvl="0">
      <w:lvlJc w:val="left"/>
      <w:lvlText w:val="(%1)"/>
      <w:numFmt w:val="lowerLetter"/>
      <w:start w:val="1"/>
    </w:lvl>
  </w:abstractNum>
  <w:abstractNum w:abstractNumId="178">
    <w:nsid w:val="2A9C34E2"/>
    <w:multiLevelType w:val="hybridMultilevel"/>
    <w:lvl w:ilvl="0">
      <w:lvlJc w:val="left"/>
      <w:lvlText w:val="(%1)"/>
      <w:numFmt w:val="lowerLetter"/>
      <w:start w:val="6"/>
    </w:lvl>
  </w:abstractNum>
  <w:abstractNum w:abstractNumId="179">
    <w:nsid w:val="1B7585AB"/>
    <w:multiLevelType w:val="hybridMultilevel"/>
    <w:lvl w:ilvl="0">
      <w:lvlJc w:val="left"/>
      <w:lvlText w:val="(%1)"/>
      <w:numFmt w:val="lowerLetter"/>
      <w:start w:val="8"/>
    </w:lvl>
  </w:abstractNum>
  <w:abstractNum w:abstractNumId="180">
    <w:nsid w:val="612DBDDD"/>
    <w:multiLevelType w:val="hybridMultilevel"/>
    <w:lvl w:ilvl="0">
      <w:lvlJc w:val="left"/>
      <w:lvlText w:val="(%1)"/>
      <w:numFmt w:val="lowerLetter"/>
      <w:start w:val="2"/>
    </w:lvl>
  </w:abstractNum>
  <w:abstractNum w:abstractNumId="181">
    <w:nsid w:val="2109CDA4"/>
    <w:multiLevelType w:val="hybridMultilevel"/>
    <w:lvl w:ilvl="0">
      <w:lvlJc w:val="left"/>
      <w:lvlText w:val="(%1)"/>
      <w:numFmt w:val="lowerLetter"/>
      <w:start w:val="4"/>
    </w:lvl>
  </w:abstractNum>
  <w:abstractNum w:abstractNumId="182">
    <w:nsid w:val="577F5A4D"/>
    <w:multiLevelType w:val="hybridMultilevel"/>
    <w:lvl w:ilvl="0">
      <w:lvlJc w:val="left"/>
      <w:lvlText w:val="(%1)"/>
      <w:numFmt w:val="lowerLetter"/>
      <w:start w:val="1"/>
    </w:lvl>
  </w:abstractNum>
  <w:abstractNum w:abstractNumId="183">
    <w:nsid w:val="2121A81"/>
    <w:multiLevelType w:val="hybridMultilevel"/>
    <w:lvl w:ilvl="0">
      <w:lvlJc w:val="left"/>
      <w:lvlText w:val="(%1)"/>
      <w:numFmt w:val="lowerLetter"/>
      <w:start w:val="1"/>
    </w:lvl>
  </w:abstractNum>
  <w:abstractNum w:abstractNumId="184">
    <w:nsid w:val="6C2CFC88"/>
    <w:multiLevelType w:val="hybridMultilevel"/>
    <w:lvl w:ilvl="0">
      <w:lvlJc w:val="left"/>
      <w:lvlText w:val="(%1)"/>
      <w:numFmt w:val="lowerLetter"/>
      <w:start w:val="2"/>
    </w:lvl>
  </w:abstractNum>
  <w:abstractNum w:abstractNumId="185">
    <w:nsid w:val="6D1BCF1C"/>
    <w:multiLevelType w:val="hybridMultilevel"/>
    <w:lvl w:ilvl="0">
      <w:lvlJc w:val="left"/>
      <w:lvlText w:val="(%1)"/>
      <w:numFmt w:val="lowerRoman"/>
      <w:start w:val="2"/>
    </w:lvl>
  </w:abstractNum>
  <w:abstractNum w:abstractNumId="186">
    <w:nsid w:val="4CE5CA53"/>
    <w:multiLevelType w:val="hybridMultilevel"/>
    <w:lvl w:ilvl="0">
      <w:lvlJc w:val="left"/>
      <w:lvlText w:val="(%1)"/>
      <w:numFmt w:val="lowerLetter"/>
      <w:start w:val="3"/>
    </w:lvl>
  </w:abstractNum>
  <w:abstractNum w:abstractNumId="187">
    <w:nsid w:val="29262D1A"/>
    <w:multiLevelType w:val="hybridMultilevel"/>
    <w:lvl w:ilvl="0">
      <w:lvlJc w:val="left"/>
      <w:lvlText w:val="(%1)"/>
      <w:numFmt w:val="lowerLetter"/>
      <w:start w:val="1"/>
    </w:lvl>
  </w:abstractNum>
  <w:abstractNum w:abstractNumId="188">
    <w:nsid w:val="557FB7EE"/>
    <w:multiLevelType w:val="hybridMultilevel"/>
    <w:lvl w:ilvl="0">
      <w:lvlJc w:val="left"/>
      <w:lvlText w:val="(%1)"/>
      <w:numFmt w:val="lowerLetter"/>
      <w:start w:val="4"/>
    </w:lvl>
  </w:abstractNum>
  <w:abstractNum w:abstractNumId="189">
    <w:nsid w:val="436F2BEB"/>
    <w:multiLevelType w:val="hybridMultilevel"/>
    <w:lvl w:ilvl="0">
      <w:lvlJc w:val="left"/>
      <w:lvlText w:val="(%1)"/>
      <w:numFmt w:val="lowerLetter"/>
      <w:start w:val="1"/>
    </w:lvl>
  </w:abstractNum>
  <w:abstractNum w:abstractNumId="190">
    <w:nsid w:val="6C8B4466"/>
    <w:multiLevelType w:val="hybridMultilevel"/>
    <w:lvl w:ilvl="0">
      <w:lvlJc w:val="left"/>
      <w:lvlText w:val="(%1)"/>
      <w:numFmt w:val="lowerLetter"/>
      <w:start w:val="1"/>
    </w:lvl>
  </w:abstractNum>
  <w:abstractNum w:abstractNumId="191">
    <w:nsid w:val="2006E424"/>
    <w:multiLevelType w:val="hybridMultilevel"/>
    <w:lvl w:ilvl="0">
      <w:lvlJc w:val="left"/>
      <w:lvlText w:val="(%1)"/>
      <w:numFmt w:val="lowerLetter"/>
      <w:start w:val="3"/>
    </w:lvl>
  </w:abstractNum>
  <w:abstractNum w:abstractNumId="192">
    <w:nsid w:val="20CC134C"/>
    <w:multiLevelType w:val="hybridMultilevel"/>
    <w:lvl w:ilvl="0">
      <w:lvlJc w:val="left"/>
      <w:lvlText w:val="(%1)"/>
      <w:numFmt w:val="lowerLetter"/>
      <w:start w:val="1"/>
    </w:lvl>
  </w:abstractNum>
  <w:abstractNum w:abstractNumId="193">
    <w:nsid w:val="95FC93B"/>
    <w:multiLevelType w:val="hybridMultilevel"/>
    <w:lvl w:ilvl="0">
      <w:lvlJc w:val="left"/>
      <w:lvlText w:val="(%1)"/>
      <w:numFmt w:val="lowerLetter"/>
      <w:start w:val="1"/>
    </w:lvl>
  </w:abstractNum>
  <w:abstractNum w:abstractNumId="194">
    <w:nsid w:val="41D74679"/>
    <w:multiLevelType w:val="hybridMultilevel"/>
    <w:lvl w:ilvl="0">
      <w:lvlJc w:val="left"/>
      <w:lvlText w:val="(%1)"/>
      <w:numFmt w:val="lowerLetter"/>
      <w:start w:val="5"/>
    </w:lvl>
  </w:abstractNum>
  <w:abstractNum w:abstractNumId="195">
    <w:nsid w:val="71E5621E"/>
    <w:multiLevelType w:val="hybridMultilevel"/>
    <w:lvl w:ilvl="0">
      <w:lvlJc w:val="left"/>
      <w:lvlText w:val="(%1)"/>
      <w:numFmt w:val="lowerLetter"/>
      <w:start w:val="13"/>
    </w:lvl>
  </w:abstractNum>
  <w:abstractNum w:abstractNumId="196">
    <w:nsid w:val="4E42B6A8"/>
    <w:multiLevelType w:val="hybridMultilevel"/>
    <w:lvl w:ilvl="0">
      <w:lvlJc w:val="left"/>
      <w:lvlText w:val="(%1)"/>
      <w:numFmt w:val="lowerLetter"/>
      <w:start w:val="1"/>
    </w:lvl>
  </w:abstractNum>
  <w:abstractNum w:abstractNumId="197">
    <w:nsid w:val="43F8E1AC"/>
    <w:multiLevelType w:val="hybridMultilevel"/>
    <w:lvl w:ilvl="0">
      <w:lvlJc w:val="left"/>
      <w:lvlText w:val="(%1)"/>
      <w:numFmt w:val="lowerLetter"/>
      <w:start w:val="6"/>
    </w:lvl>
  </w:abstractNum>
  <w:abstractNum w:abstractNumId="198">
    <w:nsid w:val="69215DFB"/>
    <w:multiLevelType w:val="hybridMultilevel"/>
    <w:lvl w:ilvl="0">
      <w:lvlJc w:val="left"/>
      <w:lvlText w:val="(%1)"/>
      <w:numFmt w:val="lowerLetter"/>
      <w:start w:val="2"/>
    </w:lvl>
  </w:abstractNum>
  <w:abstractNum w:abstractNumId="199">
    <w:nsid w:val="7ABF196A"/>
    <w:multiLevelType w:val="hybridMultilevel"/>
    <w:lvl w:ilvl="0">
      <w:lvlJc w:val="left"/>
      <w:lvlText w:val="(%1)"/>
      <w:numFmt w:val="lowerLetter"/>
      <w:start w:val="1"/>
    </w:lvl>
    <w:lvl w:ilvl="1">
      <w:lvlJc w:val="left"/>
      <w:lvlText w:val="(%2)"/>
      <w:numFmt w:val="lowerLetter"/>
      <w:start w:val="9"/>
    </w:lvl>
  </w:abstractNum>
  <w:abstractNum w:abstractNumId="200">
    <w:nsid w:val="5E4DB968"/>
    <w:multiLevelType w:val="hybridMultilevel"/>
    <w:lvl w:ilvl="0">
      <w:lvlJc w:val="left"/>
      <w:lvlText w:val="%1"/>
      <w:numFmt w:val="lowerRoman"/>
      <w:start w:val="1"/>
    </w:lvl>
    <w:lvl w:ilvl="1">
      <w:lvlJc w:val="left"/>
      <w:lvlText w:val="(%2)"/>
      <w:numFmt w:val="upperLetter"/>
      <w:start w:val="1"/>
    </w:lvl>
  </w:abstractNum>
  <w:abstractNum w:abstractNumId="201">
    <w:nsid w:val="2C06DCF3"/>
    <w:multiLevelType w:val="hybridMultilevel"/>
    <w:lvl w:ilvl="0">
      <w:lvlJc w:val="left"/>
      <w:lvlText w:val="(%1)"/>
      <w:numFmt w:val="lowerRoman"/>
      <w:start w:val="2"/>
    </w:lvl>
    <w:lvl w:ilvl="1">
      <w:lvlJc w:val="left"/>
      <w:lvlText w:val="%2"/>
      <w:numFmt w:val="upperLetter"/>
      <w:start w:val="1"/>
    </w:lvl>
  </w:abstractNum>
  <w:abstractNum w:abstractNumId="202">
    <w:nsid w:val="2E129658"/>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203">
    <w:nsid w:val="59F044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lowerRoman"/>
      <w:start w:val="4"/>
    </w:lvl>
  </w:abstractNum>
  <w:abstractNum w:abstractNumId="204">
    <w:nsid w:val="30DF30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3"/>
    </w:lvl>
    <w:lvl w:ilvl="4">
      <w:lvlJc w:val="left"/>
      <w:lvlText w:val="%5"/>
      <w:numFmt w:val="lowerRoman"/>
      <w:start w:val="1"/>
    </w:lvl>
  </w:abstractNum>
  <w:abstractNum w:abstractNumId="205">
    <w:nsid w:val="A65647"/>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upperLetter"/>
      <w:start w:val="1"/>
    </w:lvl>
    <w:lvl w:ilvl="4">
      <w:lvlJc w:val="left"/>
      <w:lvlText w:val="%5"/>
      <w:numFmt w:val="lowerRoman"/>
      <w:start w:val="1"/>
    </w:lvl>
  </w:abstractNum>
  <w:abstractNum w:abstractNumId="206">
    <w:nsid w:val="3E5E582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lowerRoman"/>
      <w:start w:val="1"/>
    </w:lvl>
  </w:abstractNum>
  <w:abstractNum w:abstractNumId="207">
    <w:nsid w:val="257D4626"/>
    <w:multiLevelType w:val="hybridMultilevel"/>
    <w:lvl w:ilvl="0">
      <w:lvlJc w:val="left"/>
      <w:lvlText w:val="(%1)"/>
      <w:numFmt w:val="lowerRoman"/>
      <w:start w:val="2"/>
    </w:lvl>
    <w:lvl w:ilvl="1">
      <w:lvlJc w:val="left"/>
      <w:lvlText w:val="(%2)"/>
      <w:numFmt w:val="upperLetter"/>
      <w:start w:val="1"/>
    </w:lvl>
  </w:abstractNum>
  <w:abstractNum w:abstractNumId="208">
    <w:nsid w:val="5AA8580E"/>
    <w:multiLevelType w:val="hybridMultilevel"/>
    <w:lvl w:ilvl="0">
      <w:lvlJc w:val="left"/>
      <w:lvlText w:val="(%1)"/>
      <w:numFmt w:val="lowerLetter"/>
      <w:start w:val="1"/>
    </w:lvl>
    <w:lvl w:ilvl="1">
      <w:lvlJc w:val="left"/>
      <w:lvlText w:val="(%2)"/>
      <w:numFmt w:val="lowerRoman"/>
      <w:start w:val="1"/>
    </w:lvl>
  </w:abstractNum>
  <w:abstractNum w:abstractNumId="209">
    <w:nsid w:val="68FA8D0D"/>
    <w:multiLevelType w:val="hybridMultilevel"/>
    <w:lvl w:ilvl="0">
      <w:lvlJc w:val="left"/>
      <w:lvlText w:val="%1"/>
      <w:numFmt w:val="lowerLetter"/>
      <w:start w:val="1"/>
    </w:lvl>
    <w:lvl w:ilvl="1">
      <w:lvlJc w:val="left"/>
      <w:lvlText w:val="(%2)"/>
      <w:numFmt w:val="lowerLetter"/>
      <w:start w:val="61"/>
    </w:lvl>
  </w:abstractNum>
  <w:abstractNum w:abstractNumId="210">
    <w:nsid w:val="40F2CBD2"/>
    <w:multiLevelType w:val="hybridMultilevel"/>
    <w:lvl w:ilvl="0">
      <w:lvlJc w:val="left"/>
      <w:lvlText w:val="(%1)"/>
      <w:numFmt w:val="lowerLetter"/>
      <w:start w:val="2"/>
    </w:lvl>
    <w:lvl w:ilvl="1">
      <w:lvlJc w:val="left"/>
      <w:lvlText w:val="%2"/>
      <w:numFmt w:val="lowerLetter"/>
      <w:start w:val="1"/>
    </w:lvl>
  </w:abstractNum>
  <w:abstractNum w:abstractNumId="211">
    <w:nsid w:val="3BD615EB"/>
    <w:multiLevelType w:val="hybridMultilevel"/>
    <w:lvl w:ilvl="0">
      <w:lvlJc w:val="left"/>
      <w:lvlText w:val="%1"/>
      <w:numFmt w:val="lowerLetter"/>
      <w:start w:val="1"/>
    </w:lvl>
    <w:lvl w:ilvl="1">
      <w:lvlJc w:val="left"/>
      <w:lvlText w:val="(%2)"/>
      <w:numFmt w:val="lowerLetter"/>
      <w:start w:val="9"/>
    </w:lvl>
  </w:abstractNum>
  <w:abstractNum w:abstractNumId="212">
    <w:nsid w:val="A045AB2"/>
    <w:multiLevelType w:val="hybridMultilevel"/>
    <w:lvl w:ilvl="0">
      <w:lvlJc w:val="left"/>
      <w:lvlText w:val="(%1)"/>
      <w:numFmt w:val="lowerLetter"/>
      <w:start w:val="25"/>
    </w:lvl>
    <w:lvl w:ilvl="1">
      <w:lvlJc w:val="left"/>
      <w:lvlText w:val="(%2)"/>
      <w:numFmt w:val="lowerLetter"/>
      <w:start w:val="10"/>
    </w:lvl>
  </w:abstractNum>
  <w:abstractNum w:abstractNumId="213">
    <w:nsid w:val="1872261F"/>
    <w:multiLevelType w:val="hybridMultilevel"/>
    <w:lvl w:ilvl="0">
      <w:lvlJc w:val="left"/>
      <w:lvlText w:val="(%1)"/>
      <w:numFmt w:val="lowerLetter"/>
      <w:start w:val="13"/>
    </w:lvl>
    <w:lvl w:ilvl="1">
      <w:lvlJc w:val="left"/>
      <w:lvlText w:val="(%2)"/>
      <w:numFmt w:val="lowerRoman"/>
      <w:start w:val="1"/>
    </w:lvl>
  </w:abstractNum>
  <w:abstractNum w:abstractNumId="214">
    <w:nsid w:val="3DE8306C"/>
    <w:multiLevelType w:val="hybridMultilevel"/>
    <w:lvl w:ilvl="0">
      <w:lvlJc w:val="left"/>
      <w:lvlText w:val="(%1)"/>
      <w:numFmt w:val="lowerLetter"/>
      <w:start w:val="16"/>
    </w:lvl>
  </w:abstractNum>
  <w:abstractNum w:abstractNumId="215">
    <w:nsid w:val="7631573A"/>
    <w:multiLevelType w:val="hybridMultilevel"/>
    <w:lvl w:ilvl="0">
      <w:lvlJc w:val="left"/>
      <w:lvlText w:val="(%1)"/>
      <w:numFmt w:val="lowerLetter"/>
      <w:start w:val="1"/>
    </w:lvl>
  </w:abstractNum>
  <w:abstractNum w:abstractNumId="216">
    <w:nsid w:val="58DF53B"/>
    <w:multiLevelType w:val="hybridMultilevel"/>
    <w:lvl w:ilvl="0">
      <w:lvlJc w:val="left"/>
      <w:lvlText w:val="(%1)"/>
      <w:numFmt w:val="lowerLetter"/>
      <w:start w:val="3"/>
    </w:lvl>
  </w:abstractNum>
  <w:abstractNum w:abstractNumId="217">
    <w:nsid w:val="ACDFAC0"/>
    <w:multiLevelType w:val="hybridMultilevel"/>
    <w:lvl w:ilvl="0">
      <w:lvlJc w:val="left"/>
      <w:lvlText w:val="(%1)"/>
      <w:numFmt w:val="lowerLetter"/>
      <w:start w:val="1"/>
    </w:lvl>
  </w:abstractNum>
  <w:abstractNum w:abstractNumId="218">
    <w:nsid w:val="1F57845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219">
    <w:nsid w:val="5B0DAD2A"/>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220">
    <w:nsid w:val="4E3D26AB"/>
    <w:multiLevelType w:val="hybridMultilevel"/>
    <w:lvl w:ilvl="0">
      <w:lvlJc w:val="left"/>
      <w:lvlText w:val="(%1)"/>
      <w:numFmt w:val="upperLetter"/>
      <w:start w:val="2"/>
    </w:lvl>
    <w:lvl w:ilvl="1">
      <w:lvlJc w:val="left"/>
      <w:lvlText w:val="%2"/>
      <w:numFmt w:val="lowerRoman"/>
      <w:start w:val="1"/>
    </w:lvl>
  </w:abstractNum>
  <w:abstractNum w:abstractNumId="221">
    <w:nsid w:val="BE2C8BA"/>
    <w:multiLevelType w:val="hybridMultilevel"/>
    <w:lvl w:ilvl="0">
      <w:lvlJc w:val="left"/>
      <w:lvlText w:val="(%1)"/>
      <w:numFmt w:val="upperLetter"/>
      <w:start w:val="5"/>
    </w:lvl>
    <w:lvl w:ilvl="1">
      <w:lvlJc w:val="left"/>
      <w:lvlText w:val="(%2)"/>
      <w:numFmt w:val="lowerRoman"/>
      <w:start w:val="2"/>
    </w:lvl>
  </w:abstractNum>
  <w:abstractNum w:abstractNumId="222">
    <w:nsid w:val="7B14914E"/>
    <w:multiLevelType w:val="hybridMultilevel"/>
    <w:lvl w:ilvl="0">
      <w:lvlJc w:val="left"/>
      <w:lvlText w:val="(%1)"/>
      <w:numFmt w:val="lowerLetter"/>
      <w:start w:val="4"/>
    </w:lvl>
  </w:abstractNum>
  <w:abstractNum w:abstractNumId="223">
    <w:nsid w:val="6F0939F8"/>
    <w:multiLevelType w:val="hybridMultilevel"/>
    <w:lvl w:ilvl="0">
      <w:lvlJc w:val="left"/>
      <w:lvlText w:val="(%1)"/>
      <w:numFmt w:val="lowerLetter"/>
      <w:start w:val="7"/>
    </w:lvl>
  </w:abstractNum>
  <w:abstractNum w:abstractNumId="224">
    <w:nsid w:val="154291F6"/>
    <w:multiLevelType w:val="hybridMultilevel"/>
    <w:lvl w:ilvl="0">
      <w:lvlJc w:val="left"/>
      <w:lvlText w:val="(%1)"/>
      <w:numFmt w:val="lowerLetter"/>
      <w:start w:val="10"/>
    </w:lvl>
  </w:abstractNum>
  <w:abstractNum w:abstractNumId="225">
    <w:nsid w:val="3CEBD7C7"/>
    <w:multiLevelType w:val="hybridMultilevel"/>
    <w:lvl w:ilvl="0">
      <w:lvlJc w:val="left"/>
      <w:lvlText w:val="(%1)"/>
      <w:numFmt w:val="lowerLetter"/>
      <w:start w:val="1"/>
    </w:lvl>
  </w:abstractNum>
  <w:abstractNum w:abstractNumId="226">
    <w:nsid w:val="60EE9C16"/>
    <w:multiLevelType w:val="hybridMultilevel"/>
    <w:lvl w:ilvl="0">
      <w:lvlJc w:val="left"/>
      <w:lvlText w:val="(%1)"/>
      <w:numFmt w:val="lowerLetter"/>
      <w:start w:val="4"/>
    </w:lvl>
  </w:abstractNum>
  <w:abstractNum w:abstractNumId="227">
    <w:nsid w:val="6385489E"/>
    <w:multiLevelType w:val="hybridMultilevel"/>
    <w:lvl w:ilvl="0">
      <w:lvlJc w:val="left"/>
      <w:lvlText w:val="(%1)"/>
      <w:numFmt w:val="lowerLetter"/>
      <w:start w:val="1"/>
    </w:lvl>
  </w:abstractNum>
  <w:abstractNum w:abstractNumId="228">
    <w:nsid w:val="E4B973"/>
    <w:multiLevelType w:val="hybridMultilevel"/>
    <w:lvl w:ilvl="0">
      <w:lvlJc w:val="left"/>
      <w:lvlText w:val="%1"/>
      <w:numFmt w:val="lowerLetter"/>
      <w:start w:val="1"/>
    </w:lvl>
    <w:lvl w:ilvl="1">
      <w:lvlJc w:val="left"/>
      <w:lvlText w:val="(%2)"/>
      <w:numFmt w:val="lowerLetter"/>
      <w:start w:val="3"/>
    </w:lvl>
  </w:abstractNum>
  <w:abstractNum w:abstractNumId="229">
    <w:nsid w:val="4A0FFA11"/>
    <w:multiLevelType w:val="hybridMultilevel"/>
    <w:lvl w:ilvl="0">
      <w:lvlJc w:val="left"/>
      <w:lvlText w:val="(%1)"/>
      <w:numFmt w:val="lowerLetter"/>
      <w:start w:val="61"/>
    </w:lvl>
    <w:lvl w:ilvl="1">
      <w:lvlJc w:val="left"/>
      <w:lvlText w:val="(%2)"/>
      <w:numFmt w:val="lowerLetter"/>
      <w:start w:val="4"/>
    </w:lvl>
  </w:abstractNum>
  <w:abstractNum w:abstractNumId="230">
    <w:nsid w:val="5E446208"/>
    <w:multiLevelType w:val="hybridMultilevel"/>
    <w:lvl w:ilvl="0">
      <w:lvlJc w:val="left"/>
      <w:lvlText w:val="(%1)"/>
      <w:numFmt w:val="lowerLetter"/>
      <w:start w:val="9"/>
    </w:lvl>
    <w:lvl w:ilvl="1">
      <w:lvlJc w:val="left"/>
      <w:lvlText w:val="(%2)"/>
      <w:numFmt w:val="lowerLetter"/>
      <w:start w:val="5"/>
    </w:lvl>
  </w:abstractNum>
  <w:abstractNum w:abstractNumId="231">
    <w:nsid w:val="5F3272DB"/>
    <w:multiLevelType w:val="hybridMultilevel"/>
    <w:lvl w:ilvl="0">
      <w:lvlJc w:val="left"/>
      <w:lvlText w:val="(%1)"/>
      <w:numFmt w:val="lowerRoman"/>
      <w:start w:val="1"/>
    </w:lvl>
  </w:abstractNum>
  <w:abstractNum w:abstractNumId="232">
    <w:nsid w:val="7616D704"/>
    <w:multiLevelType w:val="hybridMultilevel"/>
    <w:lvl w:ilvl="0">
      <w:lvlJc w:val="left"/>
      <w:lvlText w:val="%1"/>
      <w:numFmt w:val="lowerLetter"/>
      <w:start w:val="1"/>
    </w:lvl>
    <w:lvl w:ilvl="1">
      <w:lvlJc w:val="left"/>
      <w:lvlText w:val="(%2)"/>
      <w:numFmt w:val="lowerLetter"/>
      <w:start w:val="1"/>
    </w:lvl>
  </w:abstractNum>
  <w:abstractNum w:abstractNumId="233">
    <w:nsid w:val="C56F860"/>
    <w:multiLevelType w:val="hybridMultilevel"/>
    <w:lvl w:ilvl="0">
      <w:lvlJc w:val="left"/>
      <w:lvlText w:val="(%1)"/>
      <w:numFmt w:val="lowerLetter"/>
      <w:start w:val="35"/>
    </w:lvl>
    <w:lvl w:ilvl="1">
      <w:lvlJc w:val="left"/>
      <w:lvlText w:val="(%2)"/>
      <w:numFmt w:val="lowerLetter"/>
      <w:start w:val="2"/>
    </w:lvl>
  </w:abstractNum>
  <w:abstractNum w:abstractNumId="234">
    <w:nsid w:val="64D17722"/>
    <w:multiLevelType w:val="hybridMultilevel"/>
    <w:lvl w:ilvl="0">
      <w:lvlJc w:val="left"/>
      <w:lvlText w:val="(%1)"/>
      <w:numFmt w:val="lowerLetter"/>
      <w:start w:val="4"/>
    </w:lvl>
  </w:abstractNum>
  <w:abstractNum w:abstractNumId="235">
    <w:nsid w:val="7924CA0A"/>
    <w:multiLevelType w:val="hybridMultilevel"/>
    <w:lvl w:ilvl="0">
      <w:lvlJc w:val="left"/>
      <w:lvlText w:val="(%1)"/>
      <w:numFmt w:val="lowerLetter"/>
      <w:start w:val="10"/>
    </w:lvl>
  </w:abstractNum>
  <w:abstractNum w:abstractNumId="236">
    <w:nsid w:val="CFD4EA7"/>
    <w:multiLevelType w:val="hybridMultilevel"/>
    <w:lvl w:ilvl="0">
      <w:lvlJc w:val="left"/>
      <w:lvlText w:val="(%1)"/>
      <w:numFmt w:val="lowerLetter"/>
      <w:start w:val="1"/>
    </w:lvl>
  </w:abstractNum>
  <w:abstractNum w:abstractNumId="237">
    <w:nsid w:val="232FCF4D"/>
    <w:multiLevelType w:val="hybridMultilevel"/>
    <w:lvl w:ilvl="0">
      <w:lvlJc w:val="left"/>
      <w:lvlText w:val="(%1)"/>
      <w:numFmt w:val="lowerLetter"/>
      <w:start w:val="1"/>
    </w:lvl>
  </w:abstractNum>
  <w:abstractNum w:abstractNumId="238">
    <w:nsid w:val="1EA21031"/>
    <w:multiLevelType w:val="hybridMultilevel"/>
    <w:lvl w:ilvl="0">
      <w:lvlJc w:val="left"/>
      <w:lvlText w:val="%1"/>
      <w:numFmt w:val="lowerLetter"/>
      <w:start w:val="1"/>
    </w:lvl>
    <w:lvl w:ilvl="1">
      <w:lvlJc w:val="left"/>
      <w:lvlText w:val="(%2)"/>
      <w:numFmt w:val="lowerLetter"/>
      <w:start w:val="1"/>
    </w:lvl>
  </w:abstractNum>
  <w:abstractNum w:abstractNumId="239">
    <w:nsid w:val="67A5A6B5"/>
    <w:multiLevelType w:val="hybridMultilevel"/>
    <w:lvl w:ilvl="0">
      <w:lvlJc w:val="left"/>
      <w:lvlText w:val="(%1)"/>
      <w:numFmt w:val="lowerLetter"/>
      <w:start w:val="35"/>
    </w:lvl>
    <w:lvl w:ilvl="1">
      <w:lvlJc w:val="left"/>
      <w:lvlText w:val="%2"/>
      <w:numFmt w:val="lowerLetter"/>
      <w:start w:val="1"/>
    </w:lvl>
  </w:abstractNum>
  <w:abstractNum w:abstractNumId="240">
    <w:nsid w:val="C2A5C5B"/>
    <w:multiLevelType w:val="hybridMultilevel"/>
    <w:lvl w:ilvl="0">
      <w:lvlJc w:val="left"/>
      <w:lvlText w:val="(%1)"/>
      <w:numFmt w:val="lowerLetter"/>
      <w:start w:val="1"/>
    </w:lvl>
  </w:abstractNum>
  <w:abstractNum w:abstractNumId="241">
    <w:nsid w:val="5F94DC03"/>
    <w:multiLevelType w:val="hybridMultilevel"/>
    <w:lvl w:ilvl="0">
      <w:lvlJc w:val="left"/>
      <w:lvlText w:val="(%1)"/>
      <w:numFmt w:val="lowerLetter"/>
      <w:start w:val="1"/>
    </w:lvl>
  </w:abstractNum>
  <w:abstractNum w:abstractNumId="242">
    <w:nsid w:val="237BBCA0"/>
    <w:multiLevelType w:val="hybridMultilevel"/>
    <w:lvl w:ilvl="0">
      <w:lvlJc w:val="left"/>
      <w:lvlText w:val="(%1)"/>
      <w:numFmt w:val="lowerLetter"/>
      <w:start w:val="1"/>
    </w:lvl>
  </w:abstractNum>
  <w:abstractNum w:abstractNumId="243">
    <w:nsid w:val="162EB70D"/>
    <w:multiLevelType w:val="hybridMultilevel"/>
    <w:lvl w:ilvl="0">
      <w:lvlJc w:val="left"/>
      <w:lvlText w:val="(%1)"/>
      <w:numFmt w:val="lowerLetter"/>
      <w:start w:val="3"/>
    </w:lvl>
  </w:abstractNum>
  <w:abstractNum w:abstractNumId="244">
    <w:nsid w:val="78070222"/>
    <w:multiLevelType w:val="hybridMultilevel"/>
    <w:lvl w:ilvl="0">
      <w:lvlJc w:val="left"/>
      <w:lvlText w:val="(%1)"/>
      <w:numFmt w:val="lowerLetter"/>
      <w:start w:val="1"/>
    </w:lvl>
  </w:abstractNum>
  <w:abstractNum w:abstractNumId="245">
    <w:nsid w:val="6163ED0D"/>
    <w:multiLevelType w:val="hybridMultilevel"/>
    <w:lvl w:ilvl="0">
      <w:lvlJc w:val="left"/>
      <w:lvlText w:val="%1"/>
      <w:numFmt w:val="lowerLetter"/>
      <w:start w:val="1"/>
    </w:lvl>
    <w:lvl w:ilvl="1">
      <w:lvlJc w:val="left"/>
      <w:lvlText w:val="(%2)"/>
      <w:numFmt w:val="lowerLetter"/>
      <w:start w:val="3"/>
    </w:lvl>
  </w:abstractNum>
  <w:abstractNum w:abstractNumId="246">
    <w:nsid w:val="C600E47"/>
    <w:multiLevelType w:val="hybridMultilevel"/>
    <w:lvl w:ilvl="0">
      <w:lvlJc w:val="left"/>
      <w:lvlText w:val="(%1)"/>
      <w:numFmt w:val="lowerLetter"/>
      <w:start w:val="35"/>
    </w:lvl>
    <w:lvl w:ilvl="1">
      <w:lvlJc w:val="left"/>
      <w:lvlText w:val="(%2)"/>
      <w:numFmt w:val="lowerLetter"/>
      <w:start w:val="10"/>
    </w:lvl>
  </w:abstractNum>
  <w:abstractNum w:abstractNumId="247">
    <w:nsid w:val="7D94F75D"/>
    <w:multiLevelType w:val="hybridMultilevel"/>
    <w:lvl w:ilvl="0">
      <w:lvlJc w:val="left"/>
      <w:lvlText w:val="(%1)"/>
      <w:numFmt w:val="lowerLetter"/>
      <w:start w:val="11"/>
    </w:lvl>
  </w:abstractNum>
  <w:abstractNum w:abstractNumId="248">
    <w:nsid w:val="6C31E7CD"/>
    <w:multiLevelType w:val="hybridMultilevel"/>
    <w:lvl w:ilvl="0">
      <w:lvlJc w:val="left"/>
      <w:lvlText w:val="(%1)"/>
      <w:numFmt w:val="lowerRoman"/>
      <w:start w:val="1"/>
    </w:lvl>
  </w:abstractNum>
  <w:abstractNum w:abstractNumId="249">
    <w:nsid w:val="2BB7929B"/>
    <w:multiLevelType w:val="hybridMultilevel"/>
    <w:lvl w:ilvl="0">
      <w:lvlJc w:val="left"/>
      <w:lvlText w:val="(%1)"/>
      <w:numFmt w:val="lowerLetter"/>
      <w:start w:val="12"/>
    </w:lvl>
  </w:abstractNum>
  <w:abstractNum w:abstractNumId="250">
    <w:nsid w:val="58A2A487"/>
    <w:multiLevelType w:val="hybridMultilevel"/>
    <w:lvl w:ilvl="0">
      <w:lvlJc w:val="left"/>
      <w:lvlText w:val="(%1)"/>
      <w:numFmt w:val="lowerLetter"/>
      <w:start w:val="2"/>
    </w:lvl>
  </w:abstractNum>
  <w:abstractNum w:abstractNumId="251">
    <w:nsid w:val="3A6F0E78"/>
    <w:multiLevelType w:val="hybridMultilevel"/>
    <w:lvl w:ilvl="0">
      <w:lvlJc w:val="left"/>
      <w:lvlText w:val="%1"/>
      <w:numFmt w:val="lowerRoman"/>
      <w:start w:val="1"/>
    </w:lvl>
    <w:lvl w:ilvl="1">
      <w:lvlJc w:val="left"/>
      <w:lvlText w:val="(%2)"/>
      <w:numFmt w:val="lowerLetter"/>
      <w:start w:val="1"/>
    </w:lvl>
  </w:abstractNum>
  <w:abstractNum w:abstractNumId="252">
    <w:nsid w:val="379A5B56"/>
    <w:multiLevelType w:val="hybridMultilevel"/>
    <w:lvl w:ilvl="0">
      <w:lvlJc w:val="left"/>
      <w:lvlText w:val="(%1)"/>
      <w:numFmt w:val="lowerRoman"/>
      <w:start w:val="4"/>
    </w:lvl>
    <w:lvl w:ilvl="1">
      <w:lvlJc w:val="left"/>
      <w:lvlText w:val="(%2)"/>
      <w:numFmt w:val="lowerLetter"/>
      <w:start w:val="4"/>
    </w:lvl>
  </w:abstractNum>
  <w:abstractNum w:abstractNumId="253">
    <w:nsid w:val="53B735D5"/>
    <w:multiLevelType w:val="hybridMultilevel"/>
    <w:lvl w:ilvl="0">
      <w:lvlJc w:val="left"/>
      <w:lvlText w:val="(%1)"/>
      <w:numFmt w:val="decimal"/>
      <w:start w:val="10"/>
    </w:lvl>
    <w:lvl w:ilvl="1">
      <w:lvlJc w:val="left"/>
      <w:lvlText w:val="(%2)"/>
      <w:numFmt w:val="lowerLetter"/>
      <w:start w:val="5"/>
    </w:lvl>
  </w:abstractNum>
  <w:abstractNum w:abstractNumId="254">
    <w:nsid w:val="29784870"/>
    <w:multiLevelType w:val="hybridMultilevel"/>
    <w:lvl w:ilvl="0">
      <w:lvlJc w:val="left"/>
      <w:lvlText w:val="%1"/>
      <w:numFmt w:val="decimal"/>
      <w:start w:val="1"/>
    </w:lvl>
    <w:lvl w:ilvl="1">
      <w:lvlJc w:val="left"/>
      <w:lvlText w:val="(%2)"/>
      <w:numFmt w:val="lowerLetter"/>
      <w:start w:val="1"/>
    </w:lvl>
  </w:abstractNum>
  <w:abstractNum w:abstractNumId="255">
    <w:nsid w:val="4CDCED4C"/>
    <w:multiLevelType w:val="hybridMultilevel"/>
    <w:lvl w:ilvl="0">
      <w:lvlJc w:val="left"/>
      <w:lvlText w:val="(%1)"/>
      <w:numFmt w:val="decimal"/>
      <w:start w:val="2"/>
    </w:lvl>
    <w:lvl w:ilvl="1">
      <w:lvlJc w:val="left"/>
      <w:lvlText w:val="%2"/>
      <w:numFmt w:val="lowerLetter"/>
      <w:start w:val="1"/>
    </w:lvl>
  </w:abstractNum>
  <w:abstractNum w:abstractNumId="256">
    <w:nsid w:val="10A30D9C"/>
    <w:multiLevelType w:val="hybridMultilevel"/>
    <w:lvl w:ilvl="0">
      <w:lvlJc w:val="left"/>
      <w:lvlText w:val="(%1)"/>
      <w:numFmt w:val="lowerLetter"/>
      <w:start w:val="2"/>
    </w:lvl>
  </w:abstractNum>
  <w:abstractNum w:abstractNumId="257">
    <w:nsid w:val="A66E486"/>
    <w:multiLevelType w:val="hybridMultilevel"/>
    <w:lvl w:ilvl="0">
      <w:lvlJc w:val="left"/>
      <w:lvlText w:val="(%1)"/>
      <w:numFmt w:val="lowerLetter"/>
      <w:start w:val="1"/>
    </w:lvl>
  </w:abstractNum>
  <w:abstractNum w:abstractNumId="258">
    <w:nsid w:val="306235EA"/>
    <w:multiLevelType w:val="hybridMultilevel"/>
    <w:lvl w:ilvl="0">
      <w:lvlJc w:val="left"/>
      <w:lvlText w:val="(%1)"/>
      <w:numFmt w:val="lowerLetter"/>
      <w:start w:val="1"/>
    </w:lvl>
  </w:abstractNum>
  <w:abstractNum w:abstractNumId="259">
    <w:nsid w:val="1187C70F"/>
    <w:multiLevelType w:val="hybridMultilevel"/>
    <w:lvl w:ilvl="0">
      <w:lvlJc w:val="left"/>
      <w:lvlText w:val="%1"/>
      <w:numFmt w:val="lowerLetter"/>
      <w:start w:val="1"/>
    </w:lvl>
    <w:lvl w:ilvl="1">
      <w:lvlJc w:val="left"/>
      <w:lvlText w:val="(%2)"/>
      <w:numFmt w:val="lowerLetter"/>
      <w:start w:val="2"/>
    </w:lvl>
  </w:abstractNum>
  <w:abstractNum w:abstractNumId="260">
    <w:nsid w:val="5476DE98"/>
    <w:multiLevelType w:val="hybridMultilevel"/>
    <w:lvl w:ilvl="0">
      <w:lvlJc w:val="left"/>
      <w:lvlText w:val="(%1)"/>
      <w:numFmt w:val="lowerLetter"/>
      <w:start w:val="61"/>
    </w:lvl>
    <w:lvl w:ilvl="1">
      <w:lvlJc w:val="left"/>
      <w:lvlText w:val="(%2)"/>
      <w:numFmt w:val="lowerLetter"/>
      <w:start w:val="5"/>
    </w:lvl>
  </w:abstractNum>
  <w:abstractNum w:abstractNumId="261">
    <w:nsid w:val="EA697F2"/>
    <w:multiLevelType w:val="hybridMultilevel"/>
    <w:lvl w:ilvl="0">
      <w:lvlJc w:val="left"/>
      <w:lvlText w:val="(%1)"/>
      <w:numFmt w:val="decimal"/>
      <w:start w:val="3"/>
    </w:lvl>
  </w:abstractNum>
  <w:abstractNum w:abstractNumId="262">
    <w:nsid w:val="70BA39EB"/>
    <w:multiLevelType w:val="hybridMultilevel"/>
    <w:lvl w:ilvl="0">
      <w:lvlJc w:val="left"/>
      <w:lvlText w:val="(%1)"/>
      <w:numFmt w:val="decimal"/>
      <w:start w:val="3"/>
    </w:lvl>
  </w:abstractNum>
  <w:abstractNum w:abstractNumId="263">
    <w:nsid w:val="4A8DB59C"/>
    <w:multiLevelType w:val="hybridMultilevel"/>
    <w:lvl w:ilvl="0">
      <w:lvlJc w:val="left"/>
      <w:lvlText w:val="(%1)"/>
      <w:numFmt w:val="lowerLetter"/>
      <w:start w:val="1"/>
    </w:lvl>
  </w:abstractNum>
  <w:abstractNum w:abstractNumId="264">
    <w:nsid w:val="1AFD9053"/>
    <w:multiLevelType w:val="hybridMultilevel"/>
    <w:lvl w:ilvl="0">
      <w:lvlJc w:val="left"/>
      <w:lvlText w:val="(%1)"/>
      <w:numFmt w:val="lowerLetter"/>
      <w:start w:val="1"/>
    </w:lvl>
  </w:abstractNum>
  <w:abstractNum w:abstractNumId="265">
    <w:nsid w:val="558BB10D"/>
    <w:multiLevelType w:val="hybridMultilevel"/>
    <w:lvl w:ilvl="0">
      <w:lvlJc w:val="left"/>
      <w:lvlText w:val="(%1)"/>
      <w:numFmt w:val="lowerLetter"/>
      <w:start w:val="1"/>
    </w:lvl>
  </w:abstractNum>
  <w:abstractNum w:abstractNumId="266">
    <w:nsid w:val="43B27FA7"/>
    <w:multiLevelType w:val="hybridMultilevel"/>
    <w:lvl w:ilvl="0">
      <w:lvlJc w:val="left"/>
      <w:lvlText w:val="(%1)"/>
      <w:numFmt w:val="lowerLetter"/>
      <w:start w:val="1"/>
    </w:lvl>
  </w:abstractNum>
  <w:abstractNum w:abstractNumId="267">
    <w:nsid w:val="27FADEFA"/>
    <w:multiLevelType w:val="hybridMultilevel"/>
    <w:lvl w:ilvl="0">
      <w:lvlJc w:val="left"/>
      <w:lvlText w:val="(%1)"/>
      <w:numFmt w:val="lowerLetter"/>
      <w:start w:val="1"/>
    </w:lvl>
  </w:abstractNum>
  <w:abstractNum w:abstractNumId="268">
    <w:nsid w:val="78BB805A"/>
    <w:multiLevelType w:val="hybridMultilevel"/>
    <w:lvl w:ilvl="0">
      <w:lvlJc w:val="left"/>
      <w:lvlText w:val="(%1)"/>
      <w:numFmt w:val="lowerLetter"/>
      <w:start w:val="1"/>
    </w:lvl>
  </w:abstractNum>
  <w:abstractNum w:abstractNumId="269">
    <w:nsid w:val="62548FD8"/>
    <w:multiLevelType w:val="hybridMultilevel"/>
    <w:lvl w:ilvl="0">
      <w:lvlJc w:val="left"/>
      <w:lvlText w:val="(%1)"/>
      <w:numFmt w:val="lowerLetter"/>
      <w:start w:val="1"/>
    </w:lvl>
  </w:abstractNum>
  <w:abstractNum w:abstractNumId="270">
    <w:nsid w:val="FA085B0"/>
    <w:multiLevelType w:val="hybridMultilevel"/>
    <w:lvl w:ilvl="0">
      <w:lvlJc w:val="left"/>
      <w:lvlText w:val="(%1)"/>
      <w:numFmt w:val="lowerLetter"/>
      <w:start w:val="1"/>
    </w:lvl>
  </w:abstractNum>
  <w:abstractNum w:abstractNumId="271">
    <w:nsid w:val="4E5DCB5"/>
    <w:multiLevelType w:val="hybridMultilevel"/>
    <w:lvl w:ilvl="0">
      <w:lvlJc w:val="left"/>
      <w:lvlText w:val="(%1)"/>
      <w:numFmt w:val="lowerRoman"/>
      <w:start w:val="2"/>
    </w:lvl>
  </w:abstractNum>
  <w:abstractNum w:abstractNumId="272">
    <w:nsid w:val="41E96BDB"/>
    <w:multiLevelType w:val="hybridMultilevel"/>
    <w:lvl w:ilvl="0">
      <w:lvlJc w:val="left"/>
      <w:lvlText w:val="(%1)"/>
      <w:numFmt w:val="lowerLetter"/>
      <w:start w:val="1"/>
    </w:lvl>
  </w:abstractNum>
  <w:abstractNum w:abstractNumId="273">
    <w:nsid w:val="331C4250"/>
    <w:multiLevelType w:val="hybridMultilevel"/>
    <w:lvl w:ilvl="0">
      <w:lvlJc w:val="left"/>
      <w:lvlText w:val="(%1)"/>
      <w:numFmt w:val="lowerLetter"/>
      <w:start w:val="1"/>
    </w:lvl>
  </w:abstractNum>
  <w:abstractNum w:abstractNumId="274">
    <w:nsid w:val="1B1493C2"/>
    <w:multiLevelType w:val="hybridMultilevel"/>
    <w:lvl w:ilvl="0">
      <w:lvlJc w:val="left"/>
      <w:lvlText w:val="(%1)"/>
      <w:numFmt w:val="lowerLetter"/>
      <w:start w:val="1"/>
    </w:lvl>
  </w:abstractNum>
  <w:abstractNum w:abstractNumId="275">
    <w:nsid w:val="39F06DFD"/>
    <w:multiLevelType w:val="hybridMultilevel"/>
    <w:lvl w:ilvl="0">
      <w:lvlJc w:val="left"/>
      <w:lvlText w:val="(%1)"/>
      <w:numFmt w:val="lowerLetter"/>
      <w:start w:val="1"/>
    </w:lvl>
  </w:abstractNum>
  <w:abstractNum w:abstractNumId="276">
    <w:nsid w:val="14802F5D"/>
    <w:multiLevelType w:val="hybridMultilevel"/>
    <w:lvl w:ilvl="0">
      <w:lvlJc w:val="left"/>
      <w:lvlText w:val="(%1)"/>
      <w:numFmt w:val="lowerLetter"/>
      <w:start w:val="1"/>
    </w:lvl>
  </w:abstractNum>
  <w:abstractNum w:abstractNumId="277">
    <w:nsid w:val="2774A209"/>
    <w:multiLevelType w:val="hybridMultilevel"/>
    <w:lvl w:ilvl="0">
      <w:lvlJc w:val="left"/>
      <w:lvlText w:val="(%1)"/>
      <w:numFmt w:val="lowerLetter"/>
      <w:start w:val="4"/>
    </w:lvl>
  </w:abstractNum>
  <w:abstractNum w:abstractNumId="278">
    <w:nsid w:val="3785655A"/>
    <w:multiLevelType w:val="hybridMultilevel"/>
    <w:lvl w:ilvl="0">
      <w:lvlJc w:val="left"/>
      <w:lvlText w:val="%1"/>
      <w:numFmt w:val="lowerLetter"/>
      <w:start w:val="1"/>
    </w:lvl>
    <w:lvl w:ilvl="1">
      <w:lvlJc w:val="left"/>
      <w:lvlText w:val="(%2)"/>
      <w:numFmt w:val="lowerLetter"/>
      <w:start w:val="1"/>
    </w:lvl>
  </w:abstractNum>
  <w:abstractNum w:abstractNumId="279">
    <w:nsid w:val="B2172A"/>
    <w:multiLevelType w:val="hybridMultilevel"/>
    <w:lvl w:ilvl="0">
      <w:lvlJc w:val="left"/>
      <w:lvlText w:val="(%1)"/>
      <w:numFmt w:val="lowerLetter"/>
      <w:start w:val="9"/>
    </w:lvl>
    <w:lvl w:ilvl="1">
      <w:lvlJc w:val="left"/>
      <w:lvlText w:val="(%2)"/>
      <w:numFmt w:val="lowerLetter"/>
      <w:start w:val="3"/>
    </w:lvl>
  </w:abstractNum>
  <w:abstractNum w:abstractNumId="280">
    <w:nsid w:val="532C34A5"/>
    <w:multiLevelType w:val="hybridMultilevel"/>
    <w:lvl w:ilvl="0">
      <w:lvlJc w:val="left"/>
      <w:lvlText w:val="(%1)"/>
      <w:numFmt w:val="lowerLetter"/>
      <w:start w:val="9"/>
    </w:lvl>
    <w:lvl w:ilvl="1">
      <w:lvlJc w:val="left"/>
      <w:lvlText w:val="(%2)"/>
      <w:numFmt w:val="lowerLetter"/>
      <w:start w:val="4"/>
    </w:lvl>
  </w:abstractNum>
  <w:abstractNum w:abstractNumId="281">
    <w:nsid w:val="102809E2"/>
    <w:multiLevelType w:val="hybridMultilevel"/>
    <w:lvl w:ilvl="0">
      <w:lvlJc w:val="left"/>
      <w:lvlText w:val="(%1)"/>
      <w:numFmt w:val="lowerLetter"/>
      <w:start w:val="5"/>
    </w:lvl>
    <w:lvl w:ilvl="1">
      <w:lvlJc w:val="left"/>
      <w:lvlText w:val="(%2)"/>
      <w:numFmt w:val="lowerLetter"/>
      <w:start w:val="9"/>
    </w:lvl>
  </w:abstractNum>
  <w:abstractNum w:abstractNumId="282">
    <w:nsid w:val="3B2125A3"/>
    <w:multiLevelType w:val="hybridMultilevel"/>
    <w:lvl w:ilvl="0">
      <w:lvlJc w:val="left"/>
      <w:lvlText w:val="(%1)"/>
      <w:numFmt w:val="lowerRoman"/>
      <w:start w:val="2"/>
    </w:lvl>
  </w:abstractNum>
  <w:abstractNum w:abstractNumId="283">
    <w:nsid w:val="AC68FFB"/>
    <w:multiLevelType w:val="hybridMultilevel"/>
    <w:lvl w:ilvl="0">
      <w:lvlJc w:val="left"/>
      <w:lvlText w:val="(%1)"/>
      <w:numFmt w:val="lowerRoman"/>
      <w:start w:val="7"/>
    </w:lvl>
  </w:abstractNum>
  <w:abstractNum w:abstractNumId="284">
    <w:nsid w:val="63DF3FB7"/>
    <w:multiLevelType w:val="hybridMultilevel"/>
    <w:lvl w:ilvl="0">
      <w:lvlJc w:val="left"/>
      <w:lvlText w:val="%1"/>
      <w:numFmt w:val="lowerLetter"/>
      <w:start w:val="1"/>
    </w:lvl>
    <w:lvl w:ilvl="1">
      <w:lvlJc w:val="left"/>
      <w:lvlText w:val="(%2)"/>
      <w:numFmt w:val="lowerLetter"/>
      <w:start w:val="1"/>
    </w:lvl>
  </w:abstractNum>
  <w:abstractNum w:abstractNumId="285">
    <w:nsid w:val="64996E13"/>
    <w:multiLevelType w:val="hybridMultilevel"/>
    <w:lvl w:ilvl="0">
      <w:lvlJc w:val="left"/>
      <w:lvlText w:val="(%1)"/>
      <w:numFmt w:val="lowerLetter"/>
      <w:start w:val="35"/>
    </w:lvl>
    <w:lvl w:ilvl="1">
      <w:lvlJc w:val="left"/>
      <w:lvlText w:val="(%2)"/>
      <w:numFmt w:val="lowerLetter"/>
      <w:start w:val="3"/>
    </w:lvl>
  </w:abstractNum>
  <w:abstractNum w:abstractNumId="286">
    <w:nsid w:val="57A37D47"/>
    <w:multiLevelType w:val="hybridMultilevel"/>
    <w:lvl w:ilvl="0">
      <w:lvlJc w:val="left"/>
      <w:lvlText w:val="(%1)"/>
      <w:numFmt w:val="lowerLetter"/>
      <w:start w:val="4"/>
    </w:lvl>
  </w:abstractNum>
  <w:abstractNum w:abstractNumId="287">
    <w:nsid w:val="74824D54"/>
    <w:multiLevelType w:val="hybridMultilevel"/>
    <w:lvl w:ilvl="0">
      <w:lvlJc w:val="left"/>
      <w:lvlText w:val="(%1)"/>
      <w:numFmt w:val="lowerLetter"/>
      <w:start w:val="9"/>
    </w:lvl>
  </w:abstractNum>
  <w:abstractNum w:abstractNumId="288">
    <w:nsid w:val="6F00529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89">
    <w:nsid w:val="805B331"/>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3"/>
    </w:lvl>
  </w:abstractNum>
  <w:abstractNum w:abstractNumId="290">
    <w:nsid w:val="60A1463"/>
    <w:multiLevelType w:val="hybridMultilevel"/>
    <w:lvl w:ilvl="0">
      <w:lvlJc w:val="left"/>
      <w:lvlText w:val="(%1)"/>
      <w:numFmt w:val="lowerLetter"/>
      <w:start w:val="2"/>
    </w:lvl>
  </w:abstractNum>
  <w:abstractNum w:abstractNumId="291">
    <w:nsid w:val="43773132"/>
    <w:multiLevelType w:val="hybridMultilevel"/>
    <w:lvl w:ilvl="0">
      <w:lvlJc w:val="left"/>
      <w:lvlText w:val="(%1)"/>
      <w:numFmt w:val="lowerLetter"/>
      <w:start w:val="2"/>
    </w:lvl>
  </w:abstractNum>
  <w:abstractNum w:abstractNumId="292">
    <w:nsid w:val="16AC4B23"/>
    <w:multiLevelType w:val="hybridMultilevel"/>
    <w:lvl w:ilvl="0">
      <w:lvlJc w:val="left"/>
      <w:lvlText w:val="(%1)"/>
      <w:numFmt w:val="lowerLetter"/>
      <w:start w:val="1"/>
    </w:lvl>
  </w:abstractNum>
  <w:abstractNum w:abstractNumId="293">
    <w:nsid w:val="76C44E4E"/>
    <w:multiLevelType w:val="hybridMultilevel"/>
    <w:lvl w:ilvl="0">
      <w:lvlJc w:val="left"/>
      <w:lvlText w:val="(%1)"/>
      <w:numFmt w:val="lowerLetter"/>
      <w:start w:val="2"/>
    </w:lvl>
  </w:abstractNum>
  <w:abstractNum w:abstractNumId="294">
    <w:nsid w:val="E04E6CE"/>
    <w:multiLevelType w:val="hybridMultilevel"/>
    <w:lvl w:ilvl="0">
      <w:lvlJc w:val="left"/>
      <w:lvlText w:val="%1"/>
      <w:numFmt w:val="lowerLetter"/>
      <w:start w:val="1"/>
    </w:lvl>
    <w:lvl w:ilvl="1">
      <w:lvlJc w:val="left"/>
      <w:lvlText w:val="(%2)"/>
      <w:numFmt w:val="lowerLetter"/>
      <w:start w:val="1"/>
    </w:lvl>
  </w:abstractNum>
  <w:abstractNum w:abstractNumId="295">
    <w:nsid w:val="31A9DB76"/>
    <w:multiLevelType w:val="hybridMultilevel"/>
    <w:lvl w:ilvl="0">
      <w:lvlJc w:val="left"/>
      <w:lvlText w:val="(%1)"/>
      <w:numFmt w:val="lowerLetter"/>
      <w:start w:val="9"/>
    </w:lvl>
    <w:lvl w:ilvl="1">
      <w:lvlJc w:val="left"/>
      <w:lvlText w:val="(%2)"/>
      <w:numFmt w:val="lowerLetter"/>
      <w:start w:val="2"/>
    </w:lvl>
  </w:abstractNum>
  <w:abstractNum w:abstractNumId="296">
    <w:nsid w:val="4C4FFF5B"/>
    <w:multiLevelType w:val="hybridMultilevel"/>
    <w:lvl w:ilvl="0">
      <w:lvlJc w:val="left"/>
      <w:lvlText w:val="(%1)"/>
      <w:numFmt w:val="lowerLetter"/>
      <w:start w:val="3"/>
    </w:lvl>
  </w:abstractNum>
  <w:abstractNum w:abstractNumId="297">
    <w:nsid w:val="51B76675"/>
    <w:multiLevelType w:val="hybridMultilevel"/>
    <w:lvl w:ilvl="0">
      <w:lvlJc w:val="left"/>
      <w:lvlText w:val="(%1)"/>
      <w:numFmt w:val="lowerLetter"/>
      <w:start w:val="6"/>
    </w:lvl>
  </w:abstractNum>
  <w:abstractNum w:abstractNumId="298">
    <w:nsid w:val="59A4BA71"/>
    <w:multiLevelType w:val="hybridMultilevel"/>
    <w:lvl w:ilvl="0">
      <w:lvlJc w:val="left"/>
      <w:lvlText w:val="(%1)"/>
      <w:numFmt w:val="lowerLetter"/>
      <w:start w:val="1"/>
    </w:lvl>
  </w:abstractNum>
  <w:abstractNum w:abstractNumId="299">
    <w:nsid w:val="450B7FB6"/>
    <w:multiLevelType w:val="hybridMultilevel"/>
    <w:lvl w:ilvl="0">
      <w:lvlJc w:val="left"/>
      <w:lvlText w:val="(%1)"/>
      <w:numFmt w:val="lowerLetter"/>
      <w:start w:val="4"/>
    </w:lvl>
  </w:abstractNum>
  <w:abstractNum w:abstractNumId="300">
    <w:nsid w:val="340BF64D"/>
    <w:multiLevelType w:val="hybridMultilevel"/>
    <w:lvl w:ilvl="0">
      <w:lvlJc w:val="left"/>
      <w:lvlText w:val="(%1)"/>
      <w:numFmt w:val="lowerLetter"/>
      <w:start w:val="1"/>
    </w:lvl>
  </w:abstractNum>
  <w:abstractNum w:abstractNumId="301">
    <w:nsid w:val="69454021"/>
    <w:multiLevelType w:val="hybridMultilevel"/>
    <w:lvl w:ilvl="0">
      <w:lvlJc w:val="left"/>
      <w:lvlText w:val="(%1)"/>
      <w:numFmt w:val="lowerLetter"/>
      <w:start w:val="3"/>
    </w:lvl>
  </w:abstractNum>
  <w:abstractNum w:abstractNumId="302">
    <w:nsid w:val="49F15C6B"/>
    <w:multiLevelType w:val="hybridMultilevel"/>
    <w:lvl w:ilvl="0">
      <w:lvlJc w:val="left"/>
      <w:lvlText w:val="(%1)"/>
      <w:numFmt w:val="lowerLetter"/>
      <w:start w:val="1"/>
    </w:lvl>
    <w:lvl w:ilvl="1">
      <w:lvlJc w:val="left"/>
      <w:lvlText w:val="(%2)"/>
      <w:numFmt w:val="lowerLetter"/>
      <w:start w:val="9"/>
    </w:lvl>
  </w:abstractNum>
  <w:abstractNum w:abstractNumId="303">
    <w:nsid w:val="75F56228"/>
    <w:multiLevelType w:val="hybridMultilevel"/>
    <w:lvl w:ilvl="0">
      <w:lvlJc w:val="left"/>
      <w:lvlText w:val="(%1)"/>
      <w:numFmt w:val="lowerRoman"/>
      <w:start w:val="2"/>
    </w:lvl>
  </w:abstractNum>
  <w:abstractNum w:abstractNumId="304">
    <w:nsid w:val="1C618271"/>
    <w:multiLevelType w:val="hybridMultilevel"/>
    <w:lvl w:ilvl="0">
      <w:lvlJc w:val="left"/>
      <w:lvlText w:val="%1"/>
      <w:numFmt w:val="lowerLetter"/>
      <w:start w:val="1"/>
    </w:lvl>
    <w:lvl w:ilvl="1">
      <w:lvlJc w:val="left"/>
      <w:lvlText w:val="(%2)"/>
      <w:numFmt w:val="lowerRoman"/>
      <w:start w:val="6"/>
    </w:lvl>
  </w:abstractNum>
  <w:abstractNum w:abstractNumId="305">
    <w:nsid w:val="6505F02E"/>
    <w:multiLevelType w:val="hybridMultilevel"/>
    <w:lvl w:ilvl="0">
      <w:lvlJc w:val="left"/>
      <w:lvlText w:val="(%1)"/>
      <w:numFmt w:val="lowerLetter"/>
      <w:start w:val="2"/>
    </w:lvl>
    <w:lvl w:ilvl="1">
      <w:lvlJc w:val="left"/>
      <w:lvlText w:val="(%2)"/>
      <w:numFmt w:val="lowerRoman"/>
      <w:start w:val="1"/>
    </w:lvl>
  </w:abstractNum>
  <w:abstractNum w:abstractNumId="306">
    <w:nsid w:val="2FE5D02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7">
    <w:nsid w:val="30E1B1C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08">
    <w:nsid w:val="C7A9237"/>
    <w:multiLevelType w:val="hybridMultilevel"/>
    <w:lvl w:ilvl="0">
      <w:lvlJc w:val="left"/>
      <w:lvlText w:val="(%1)"/>
      <w:numFmt w:val="upperLetter"/>
      <w:start w:val="3"/>
    </w:lvl>
  </w:abstractNum>
  <w:abstractNum w:abstractNumId="309">
    <w:nsid w:val="676B3580"/>
    <w:multiLevelType w:val="hybridMultilevel"/>
    <w:lvl w:ilvl="0">
      <w:lvlJc w:val="left"/>
      <w:lvlText w:val="(%1)"/>
      <w:numFmt w:val="lowerLetter"/>
      <w:start w:val="1"/>
    </w:lvl>
    <w:lvl w:ilvl="1">
      <w:lvlJc w:val="left"/>
      <w:lvlText w:val="(%2)"/>
      <w:numFmt w:val="lowerLetter"/>
      <w:start w:val="9"/>
    </w:lvl>
  </w:abstractNum>
  <w:abstractNum w:abstractNumId="310">
    <w:nsid w:val="3193C8F9"/>
    <w:multiLevelType w:val="hybridMultilevel"/>
    <w:lvl w:ilvl="0">
      <w:lvlJc w:val="left"/>
      <w:lvlText w:val="(%1)"/>
      <w:numFmt w:val="lowerRoman"/>
      <w:start w:val="2"/>
    </w:lvl>
  </w:abstractNum>
  <w:abstractNum w:abstractNumId="311">
    <w:nsid w:val="5FA6C6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312">
    <w:nsid w:val="77933F6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13">
    <w:nsid w:val="6CB4EE9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14">
    <w:nsid w:val="6A6D56D7"/>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315">
    <w:nsid w:val="5B727F19"/>
    <w:multiLevelType w:val="hybridMultilevel"/>
    <w:lvl w:ilvl="0">
      <w:lvlJc w:val="left"/>
      <w:lvlText w:val="(%1)"/>
      <w:numFmt w:val="upperLetter"/>
      <w:start w:val="2"/>
    </w:lvl>
    <w:lvl w:ilvl="1">
      <w:lvlJc w:val="left"/>
      <w:lvlText w:val="(%2)"/>
      <w:numFmt w:val="lowerLetter"/>
      <w:start w:val="4"/>
    </w:lvl>
  </w:abstractNum>
  <w:abstractNum w:abstractNumId="316">
    <w:nsid w:val="514E5CB0"/>
    <w:multiLevelType w:val="hybridMultilevel"/>
    <w:lvl w:ilvl="0">
      <w:lvlJc w:val="left"/>
      <w:lvlText w:val="(%1)"/>
      <w:numFmt w:val="lowerLetter"/>
      <w:start w:val="2"/>
    </w:lvl>
  </w:abstractNum>
  <w:abstractNum w:abstractNumId="317">
    <w:nsid w:val="4210D41E"/>
    <w:multiLevelType w:val="hybridMultilevel"/>
    <w:lvl w:ilvl="0">
      <w:lvlJc w:val="left"/>
      <w:lvlText w:val="%1"/>
      <w:numFmt w:val="lowerLetter"/>
      <w:start w:val="1"/>
    </w:lvl>
    <w:lvl w:ilvl="1">
      <w:lvlJc w:val="left"/>
      <w:lvlText w:val="(%2)"/>
      <w:numFmt w:val="lowerLetter"/>
      <w:start w:val="3"/>
    </w:lvl>
  </w:abstractNum>
  <w:abstractNum w:abstractNumId="318">
    <w:nsid w:val="4FF4CC6D"/>
    <w:multiLevelType w:val="hybridMultilevel"/>
    <w:lvl w:ilvl="0">
      <w:lvlJc w:val="left"/>
      <w:lvlText w:val="(%1)"/>
      <w:numFmt w:val="lowerLetter"/>
      <w:start w:val="9"/>
    </w:lvl>
    <w:lvl w:ilvl="1">
      <w:lvlJc w:val="left"/>
      <w:lvlText w:val="(%2)"/>
      <w:numFmt w:val="lowerLetter"/>
      <w:start w:val="6"/>
    </w:lvl>
  </w:abstractNum>
  <w:abstractNum w:abstractNumId="319">
    <w:nsid w:val="404EAF4A"/>
    <w:multiLevelType w:val="hybridMultilevel"/>
    <w:lvl w:ilvl="0">
      <w:lvlJc w:val="left"/>
      <w:lvlText w:val="(%1)"/>
      <w:numFmt w:val="lowerLetter"/>
      <w:start w:val="2"/>
    </w:lvl>
  </w:abstractNum>
  <w:abstractNum w:abstractNumId="320">
    <w:nsid w:val="4A16874F"/>
    <w:multiLevelType w:val="hybridMultilevel"/>
    <w:lvl w:ilvl="0">
      <w:lvlJc w:val="left"/>
      <w:lvlText w:val="%1"/>
      <w:numFmt w:val="lowerLetter"/>
      <w:start w:val="1"/>
    </w:lvl>
    <w:lvl w:ilvl="1">
      <w:lvlJc w:val="left"/>
      <w:lvlText w:val="(%2)"/>
      <w:numFmt w:val="lowerLetter"/>
      <w:start w:val="11"/>
    </w:lvl>
  </w:abstractNum>
  <w:abstractNum w:abstractNumId="321">
    <w:nsid w:val="55FEE0D1"/>
    <w:multiLevelType w:val="hybridMultilevel"/>
    <w:lvl w:ilvl="0">
      <w:lvlJc w:val="left"/>
      <w:lvlText w:val="(%1)"/>
      <w:numFmt w:val="lowerLetter"/>
      <w:start w:val="19"/>
    </w:lvl>
    <w:lvl w:ilvl="1">
      <w:lvlJc w:val="left"/>
      <w:lvlText w:val="(%2)"/>
      <w:numFmt w:val="lowerLetter"/>
      <w:start w:val="20"/>
    </w:lvl>
  </w:abstractNum>
  <w:abstractNum w:abstractNumId="322">
    <w:nsid w:val="3C5E07C"/>
    <w:multiLevelType w:val="hybridMultilevel"/>
    <w:lvl w:ilvl="0">
      <w:lvlJc w:val="left"/>
      <w:lvlText w:val="(%1)"/>
      <w:numFmt w:val="lowerLetter"/>
      <w:start w:val="1"/>
    </w:lvl>
  </w:abstractNum>
  <w:abstractNum w:abstractNumId="323">
    <w:nsid w:val="60C2D273"/>
    <w:multiLevelType w:val="hybridMultilevel"/>
    <w:lvl w:ilvl="0">
      <w:lvlJc w:val="left"/>
      <w:lvlText w:val="(%1)"/>
      <w:numFmt w:val="lowerLetter"/>
      <w:start w:val="1"/>
    </w:lvl>
  </w:abstractNum>
  <w:abstractNum w:abstractNumId="324">
    <w:nsid w:val="4CC32F1F"/>
    <w:multiLevelType w:val="hybridMultilevel"/>
    <w:lvl w:ilvl="0">
      <w:lvlJc w:val="left"/>
      <w:lvlText w:val="(%1)"/>
      <w:numFmt w:val="lowerLetter"/>
      <w:start w:val="2"/>
    </w:lvl>
  </w:abstractNum>
  <w:abstractNum w:abstractNumId="325">
    <w:nsid w:val="11CAC74A"/>
    <w:multiLevelType w:val="hybridMultilevel"/>
    <w:lvl w:ilvl="0">
      <w:lvlJc w:val="left"/>
      <w:lvlText w:val="%1"/>
      <w:numFmt w:val="lowerRoman"/>
      <w:start w:val="1"/>
    </w:lvl>
    <w:lvl w:ilvl="1">
      <w:lvlJc w:val="left"/>
      <w:lvlText w:val="(%2)"/>
      <w:numFmt w:val="lowerLetter"/>
      <w:start w:val="1"/>
    </w:lvl>
  </w:abstractNum>
  <w:abstractNum w:abstractNumId="326">
    <w:nsid w:val="126CADE9"/>
    <w:multiLevelType w:val="hybridMultilevel"/>
    <w:lvl w:ilvl="0">
      <w:lvlJc w:val="left"/>
      <w:lvlText w:val="(%1)"/>
      <w:numFmt w:val="lowerRoman"/>
      <w:start w:val="2"/>
    </w:lvl>
    <w:lvl w:ilvl="1">
      <w:lvlJc w:val="left"/>
      <w:lvlText w:val="%2"/>
      <w:numFmt w:val="lowerLetter"/>
      <w:start w:val="1"/>
    </w:lvl>
  </w:abstractNum>
  <w:abstractNum w:abstractNumId="327">
    <w:nsid w:val="19132E7B"/>
    <w:multiLevelType w:val="hybridMultilevel"/>
    <w:lvl w:ilvl="0">
      <w:lvlJc w:val="left"/>
      <w:lvlText w:val="(%1)"/>
      <w:numFmt w:val="lowerLetter"/>
      <w:start w:val="1"/>
    </w:lvl>
  </w:abstractNum>
  <w:abstractNum w:abstractNumId="328">
    <w:nsid w:val="63822DC0"/>
    <w:multiLevelType w:val="hybridMultilevel"/>
    <w:lvl w:ilvl="0">
      <w:lvlJc w:val="left"/>
      <w:lvlText w:val="(%1)"/>
      <w:numFmt w:val="lowerLetter"/>
      <w:start w:val="1"/>
    </w:lvl>
  </w:abstractNum>
  <w:abstractNum w:abstractNumId="329">
    <w:nsid w:val="6C11685A"/>
    <w:multiLevelType w:val="hybridMultilevel"/>
    <w:lvl w:ilvl="0">
      <w:lvlJc w:val="left"/>
      <w:lvlText w:val="(%1)"/>
      <w:numFmt w:val="lowerLetter"/>
      <w:start w:val="3"/>
    </w:lvl>
  </w:abstractNum>
  <w:abstractNum w:abstractNumId="330">
    <w:nsid w:val="5E1EAE31"/>
    <w:multiLevelType w:val="hybridMultilevel"/>
    <w:lvl w:ilvl="0">
      <w:lvlJc w:val="left"/>
      <w:lvlText w:val="(%1)"/>
      <w:numFmt w:val="lowerLetter"/>
      <w:start w:val="1"/>
    </w:lvl>
  </w:abstractNum>
  <w:abstractNum w:abstractNumId="331">
    <w:nsid w:val="178E240D"/>
    <w:multiLevelType w:val="hybridMultilevel"/>
    <w:lvl w:ilvl="0">
      <w:lvlJc w:val="left"/>
      <w:lvlText w:val="(%1)"/>
      <w:numFmt w:val="lowerLetter"/>
      <w:start w:val="1"/>
    </w:lvl>
  </w:abstractNum>
  <w:abstractNum w:abstractNumId="332">
    <w:nsid w:val="5556A87B"/>
    <w:multiLevelType w:val="hybridMultilevel"/>
    <w:lvl w:ilvl="0">
      <w:lvlJc w:val="left"/>
      <w:lvlText w:val="(%1)"/>
      <w:numFmt w:val="lowerLetter"/>
      <w:start w:val="2"/>
    </w:lvl>
  </w:abstractNum>
  <w:abstractNum w:abstractNumId="333">
    <w:nsid w:val="28100A9C"/>
    <w:multiLevelType w:val="hybridMultilevel"/>
    <w:lvl w:ilvl="0">
      <w:lvlJc w:val="left"/>
      <w:lvlText w:val="(%1)"/>
      <w:numFmt w:val="lowerLetter"/>
      <w:start w:val="25"/>
    </w:lvl>
    <w:lvl w:ilvl="1">
      <w:lvlJc w:val="left"/>
      <w:lvlText w:val="(%2)"/>
      <w:numFmt w:val="lowerLetter"/>
      <w:start w:val="3"/>
    </w:lvl>
  </w:abstractNum>
  <w:abstractNum w:abstractNumId="334">
    <w:nsid w:val="D838636"/>
    <w:multiLevelType w:val="hybridMultilevel"/>
    <w:lvl w:ilvl="0">
      <w:lvlJc w:val="left"/>
      <w:lvlText w:val="(%1)"/>
      <w:numFmt w:val="lowerLetter"/>
      <w:start w:val="1"/>
    </w:lvl>
    <w:lvl w:ilvl="1">
      <w:lvlJc w:val="left"/>
      <w:lvlText w:val="(%2)"/>
      <w:numFmt w:val="lowerRoman"/>
      <w:start w:val="1"/>
    </w:lvl>
  </w:abstractNum>
  <w:abstractNum w:abstractNumId="335">
    <w:nsid w:val="71B82AED"/>
    <w:multiLevelType w:val="hybridMultilevel"/>
    <w:lvl w:ilvl="0">
      <w:lvlJc w:val="left"/>
      <w:lvlText w:val="(%1)"/>
      <w:numFmt w:val="lowerLetter"/>
      <w:start w:val="1"/>
    </w:lvl>
  </w:abstractNum>
  <w:abstractNum w:abstractNumId="336">
    <w:nsid w:val="D15FACA"/>
    <w:multiLevelType w:val="hybridMultilevel"/>
    <w:lvl w:ilvl="0">
      <w:lvlJc w:val="left"/>
      <w:lvlText w:val="(%1)"/>
      <w:numFmt w:val="lowerLetter"/>
      <w:start w:val="2"/>
    </w:lvl>
  </w:abstractNum>
  <w:abstractNum w:abstractNumId="337">
    <w:nsid w:val="3D69565B"/>
    <w:multiLevelType w:val="hybridMultilevel"/>
    <w:lvl w:ilvl="0">
      <w:lvlJc w:val="left"/>
      <w:lvlText w:val="(%1)"/>
      <w:numFmt w:val="lowerLetter"/>
      <w:start w:val="5"/>
    </w:lvl>
  </w:abstractNum>
  <w:abstractNum w:abstractNumId="338">
    <w:nsid w:val="2299DCBC"/>
    <w:multiLevelType w:val="hybridMultilevel"/>
    <w:lvl w:ilvl="0">
      <w:lvlJc w:val="left"/>
      <w:lvlText w:val="(%1)"/>
      <w:numFmt w:val="lowerLetter"/>
      <w:start w:val="1"/>
    </w:lvl>
  </w:abstractNum>
  <w:abstractNum w:abstractNumId="339">
    <w:nsid w:val="19908D02"/>
    <w:multiLevelType w:val="hybridMultilevel"/>
    <w:lvl w:ilvl="0">
      <w:lvlJc w:val="left"/>
      <w:lvlText w:val="(%1)"/>
      <w:numFmt w:val="lowerLetter"/>
      <w:start w:val="6"/>
    </w:lvl>
  </w:abstractNum>
  <w:abstractNum w:abstractNumId="340">
    <w:nsid w:val="24D48BDB"/>
    <w:multiLevelType w:val="hybridMultilevel"/>
    <w:lvl w:ilvl="0">
      <w:lvlJc w:val="left"/>
      <w:lvlText w:val="(%1)"/>
      <w:numFmt w:val="lowerLetter"/>
      <w:start w:val="8"/>
    </w:lvl>
  </w:abstractNum>
  <w:abstractNum w:abstractNumId="341">
    <w:nsid w:val="542DA5B5"/>
    <w:multiLevelType w:val="hybridMultilevel"/>
    <w:lvl w:ilvl="0">
      <w:lvlJc w:val="left"/>
      <w:lvlText w:val="1"/>
      <w:numFmt w:val="bullet"/>
      <w:start w:val="1"/>
    </w:lvl>
  </w:abstractNum>
  <w:abstractNum w:abstractNumId="342">
    <w:nsid w:val="793753DE"/>
    <w:multiLevelType w:val="hybridMultilevel"/>
    <w:lvl w:ilvl="0">
      <w:lvlJc w:val="left"/>
      <w:lvlText w:val="(%1)"/>
      <w:numFmt w:val="lowerLetter"/>
      <w:start w:val="19"/>
    </w:lvl>
  </w:abstractNum>
  <w:abstractNum w:abstractNumId="343">
    <w:nsid w:val="1C67CB3D"/>
    <w:multiLevelType w:val="hybridMultilevel"/>
    <w:lvl w:ilvl="0">
      <w:lvlJc w:val="left"/>
      <w:lvlText w:val="2"/>
      <w:numFmt w:val="bullet"/>
      <w:start w:val="1"/>
    </w:lvl>
  </w:abstractNum>
  <w:abstractNum w:abstractNumId="344">
    <w:nsid w:val="40E29452"/>
    <w:multiLevelType w:val="hybridMultilevel"/>
    <w:lvl w:ilvl="0">
      <w:lvlJc w:val="left"/>
      <w:lvlText w:val="3"/>
      <w:numFmt w:val="bullet"/>
      <w:start w:val="1"/>
    </w:lvl>
  </w:abstractNum>
  <w:abstractNum w:abstractNumId="345">
    <w:nsid w:val="63A4AAB6"/>
    <w:multiLevelType w:val="hybridMultilevel"/>
    <w:lvl w:ilvl="0">
      <w:lvlJc w:val="left"/>
      <w:lvlText w:val="(%1)"/>
      <w:numFmt w:val="lowerRoman"/>
      <w:start w:val="4"/>
    </w:lvl>
  </w:abstractNum>
  <w:abstractNum w:abstractNumId="346">
    <w:nsid w:val="77DA4A57"/>
    <w:multiLevelType w:val="hybridMultilevel"/>
    <w:lvl w:ilvl="0">
      <w:lvlJc w:val="left"/>
      <w:lvlText w:val="(%1)"/>
      <w:numFmt w:val="upperLetter"/>
      <w:start w:val="1"/>
    </w:lvl>
  </w:abstractNum>
  <w:abstractNum w:abstractNumId="347">
    <w:nsid w:val="1230F102"/>
    <w:multiLevelType w:val="hybridMultilevel"/>
    <w:lvl w:ilvl="0">
      <w:lvlJc w:val="left"/>
      <w:lvlText w:val=" "/>
      <w:numFmt w:val="bullet"/>
      <w:start w:val="1"/>
    </w:lvl>
  </w:abstractNum>
  <w:abstractNum w:abstractNumId="348">
    <w:nsid w:val="25B57ED4"/>
    <w:multiLevelType w:val="hybridMultilevel"/>
    <w:lvl w:ilvl="0">
      <w:lvlJc w:val="left"/>
      <w:lvlText w:val="%1."/>
      <w:numFmt w:val="decimal"/>
      <w:start w:val="1"/>
    </w:lvl>
  </w:abstractNum>
  <w:abstractNum w:abstractNumId="349">
    <w:nsid w:val="47CF16C4"/>
    <w:multiLevelType w:val="hybridMultilevel"/>
    <w:lvl w:ilvl="0">
      <w:lvlJc w:val="left"/>
      <w:lvlText w:val="%1."/>
      <w:numFmt w:val="decimal"/>
      <w:start w:val="4"/>
    </w:lvl>
  </w:abstractNum>
  <w:abstractNum w:abstractNumId="350">
    <w:nsid w:val="527FA04C"/>
    <w:multiLevelType w:val="hybridMultilevel"/>
    <w:lvl w:ilvl="0">
      <w:lvlJc w:val="left"/>
      <w:lvlText w:val="%1"/>
      <w:numFmt w:val="lowerRoman"/>
      <w:start w:val="1"/>
    </w:lvl>
    <w:lvl w:ilvl="1">
      <w:lvlJc w:val="left"/>
      <w:lvlText w:val="%2."/>
      <w:numFmt w:val="decimal"/>
      <w:start w:val="12"/>
    </w:lvl>
  </w:abstractNum>
  <w:abstractNum w:abstractNumId="351">
    <w:nsid w:val="6FCC0624"/>
    <w:multiLevelType w:val="hybridMultilevel"/>
    <w:lvl w:ilvl="0">
      <w:lvlJc w:val="left"/>
      <w:lvlText w:val="(%1)"/>
      <w:numFmt w:val="lowerRoman"/>
      <w:start w:val="1"/>
    </w:lvl>
    <w:lvl w:ilvl="1">
      <w:lvlJc w:val="left"/>
      <w:lvlText w:val="%2"/>
      <w:numFmt w:val="decimal"/>
      <w:start w:val="1"/>
    </w:lvl>
  </w:abstractNum>
  <w:abstractNum w:abstractNumId="352">
    <w:nsid w:val="1DCDF795"/>
    <w:multiLevelType w:val="hybridMultilevel"/>
    <w:lvl w:ilvl="0">
      <w:lvlJc w:val="left"/>
      <w:lvlText w:val="(%1)"/>
      <w:numFmt w:val="lowerLetter"/>
      <w:start w:val="1"/>
    </w:lvl>
  </w:abstractNum>
  <w:abstractNum w:abstractNumId="353">
    <w:nsid w:val="564580C8"/>
    <w:multiLevelType w:val="hybridMultilevel"/>
    <w:lvl w:ilvl="0">
      <w:lvlJc w:val="left"/>
      <w:lvlText w:val="(%1)"/>
      <w:numFmt w:val="lowerRoman"/>
      <w:start w:val="1"/>
    </w:lvl>
    <w:lvl w:ilvl="1">
      <w:lvlJc w:val="left"/>
      <w:lvlText w:val="(%2)"/>
      <w:numFmt w:val="upperLetter"/>
      <w:start w:val="1"/>
    </w:lvl>
  </w:abstractNum>
  <w:abstractNum w:abstractNumId="354">
    <w:nsid w:val="508ED897"/>
    <w:multiLevelType w:val="hybridMultilevel"/>
    <w:lvl w:ilvl="0">
      <w:lvlJc w:val="left"/>
      <w:lvlText w:val="(%1)"/>
      <w:numFmt w:val="lowerLetter"/>
      <w:start w:val="3"/>
    </w:lvl>
  </w:abstractNum>
  <w:abstractNum w:abstractNumId="355">
    <w:nsid w:val="6A9126B5"/>
    <w:multiLevelType w:val="hybridMultilevel"/>
    <w:lvl w:ilvl="0">
      <w:lvlJc w:val="left"/>
      <w:lvlText w:val="(%1)"/>
      <w:numFmt w:val="lowerRoman"/>
      <w:start w:val="1"/>
    </w:lvl>
  </w:abstractNum>
  <w:abstractNum w:abstractNumId="356">
    <w:nsid w:val="68104812"/>
    <w:multiLevelType w:val="hybridMultilevel"/>
    <w:lvl w:ilvl="0">
      <w:lvlJc w:val="left"/>
      <w:lvlText w:val="%1"/>
      <w:numFmt w:val="decimal"/>
      <w:start w:val="1"/>
    </w:lvl>
    <w:lvl w:ilvl="1">
      <w:lvlJc w:val="left"/>
      <w:lvlText w:val="(%2)"/>
      <w:numFmt w:val="lowerRoman"/>
      <w:start w:val="2"/>
    </w:lvl>
  </w:abstractNum>
  <w:abstractNum w:abstractNumId="357">
    <w:nsid w:val="62FB8680"/>
    <w:multiLevelType w:val="hybridMultilevel"/>
    <w:lvl w:ilvl="0">
      <w:lvlJc w:val="left"/>
      <w:lvlText w:val="%1."/>
      <w:numFmt w:val="decimal"/>
      <w:start w:val="2"/>
    </w:lvl>
    <w:lvl w:ilvl="1">
      <w:lvlJc w:val="left"/>
      <w:lvlText w:val="%2"/>
      <w:numFmt w:val="lowerRoman"/>
      <w:start w:val="1"/>
    </w:lvl>
  </w:abstractNum>
  <w:abstractNum w:abstractNumId="358">
    <w:nsid w:val="3A45530"/>
    <w:multiLevelType w:val="hybridMultilevel"/>
    <w:lvl w:ilvl="0">
      <w:lvlJc w:val="left"/>
      <w:lvlText w:val="(%1)"/>
      <w:numFmt w:val="lowerLetter"/>
      <w:start w:val="2"/>
    </w:lvl>
  </w:abstractNum>
  <w:abstractNum w:abstractNumId="359">
    <w:nsid w:val="4B9275D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60">
    <w:nsid w:val="4F0CEEDB"/>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361">
    <w:nsid w:val="61C303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upperLetter"/>
      <w:start w:val="1"/>
    </w:lvl>
  </w:abstractNum>
  <w:abstractNum w:abstractNumId="362">
    <w:nsid w:val="632099E0"/>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9"/>
    </w:lvl>
    <w:lvl w:ilvl="3">
      <w:lvlJc w:val="left"/>
      <w:lvlText w:val="(%4)"/>
      <w:numFmt w:val="upperLetter"/>
      <w:start w:val="1"/>
    </w:lvl>
  </w:abstractNum>
  <w:abstractNum w:abstractNumId="363">
    <w:nsid w:val="24639756"/>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4"/>
    </w:lvl>
    <w:lvl w:ilvl="3">
      <w:lvlJc w:val="left"/>
      <w:lvlText w:val="%4"/>
      <w:numFmt w:val="upperLetter"/>
      <w:start w:val="1"/>
    </w:lvl>
  </w:abstractNum>
  <w:abstractNum w:abstractNumId="364">
    <w:nsid w:val="9D30DFD"/>
    <w:multiLevelType w:val="hybridMultilevel"/>
    <w:lvl w:ilvl="0">
      <w:lvlJc w:val="left"/>
      <w:lvlText w:val="%1."/>
      <w:numFmt w:val="decimal"/>
      <w:start w:val="4"/>
    </w:lvl>
    <w:lvl w:ilvl="1">
      <w:lvlJc w:val="left"/>
      <w:lvlText w:val="(%2)"/>
      <w:numFmt w:val="lowerLetter"/>
      <w:start w:val="1"/>
    </w:lvl>
  </w:abstractNum>
  <w:abstractNum w:abstractNumId="365">
    <w:nsid w:val="70A42016"/>
    <w:multiLevelType w:val="hybridMultilevel"/>
    <w:lvl w:ilvl="0">
      <w:lvlJc w:val="left"/>
      <w:lvlText w:val="*"/>
      <w:numFmt w:val="bullet"/>
      <w:start w:val="1"/>
    </w:lvl>
    <w:lvl w:ilvl="1">
      <w:lvlJc w:val="left"/>
      <w:lvlText w:val="(%2)"/>
      <w:numFmt w:val="lowerLetter"/>
      <w:start w:val="2"/>
    </w:lvl>
  </w:abstractNum>
  <w:abstractNum w:abstractNumId="366">
    <w:nsid w:val="161BC243"/>
    <w:multiLevelType w:val="hybridMultilevel"/>
    <w:lvl w:ilvl="0">
      <w:lvlJc w:val="left"/>
      <w:lvlText w:val="%1"/>
      <w:numFmt w:val="decimal"/>
      <w:start w:val="1"/>
    </w:lvl>
    <w:lvl w:ilvl="1">
      <w:lvlJc w:val="left"/>
      <w:lvlText w:val="(%2)"/>
      <w:numFmt w:val="lowerLetter"/>
      <w:start w:val="3"/>
    </w:lvl>
  </w:abstractNum>
  <w:abstractNum w:abstractNumId="367">
    <w:nsid w:val="16E908C8"/>
    <w:multiLevelType w:val="hybridMultilevel"/>
    <w:lvl w:ilvl="0">
      <w:lvlJc w:val="left"/>
      <w:lvlText w:val="%1."/>
      <w:numFmt w:val="decimal"/>
      <w:start w:val="5"/>
    </w:lvl>
    <w:lvl w:ilvl="1">
      <w:lvlJc w:val="left"/>
      <w:lvlText w:val="(%2)"/>
      <w:numFmt w:val="lowerLetter"/>
      <w:start w:val="1"/>
    </w:lvl>
  </w:abstractNum>
  <w:abstractNum w:abstractNumId="368">
    <w:nsid w:val="2E0D7671"/>
    <w:multiLevelType w:val="hybridMultilevel"/>
    <w:lvl w:ilvl="0">
      <w:lvlJc w:val="left"/>
      <w:lvlText w:val="%1"/>
      <w:numFmt w:val="decimal"/>
      <w:start w:val="1"/>
    </w:lvl>
    <w:lvl w:ilvl="1">
      <w:lvlJc w:val="left"/>
      <w:lvlText w:val="(%2)"/>
      <w:numFmt w:val="lowerLetter"/>
      <w:start w:val="3"/>
    </w:lvl>
  </w:abstractNum>
  <w:abstractNum w:abstractNumId="369">
    <w:nsid w:val="38B59EFF"/>
    <w:multiLevelType w:val="hybridMultilevel"/>
    <w:lvl w:ilvl="0">
      <w:lvlJc w:val="left"/>
      <w:lvlText w:val="(%1)"/>
      <w:numFmt w:val="decimal"/>
      <w:start w:val="30"/>
    </w:lvl>
    <w:lvl w:ilvl="1">
      <w:lvlJc w:val="left"/>
      <w:lvlText w:val="(%2)"/>
      <w:numFmt w:val="lowerLetter"/>
      <w:start w:val="5"/>
    </w:lvl>
  </w:abstractNum>
  <w:abstractNum w:abstractNumId="370">
    <w:nsid w:val="307995CA"/>
    <w:multiLevelType w:val="hybridMultilevel"/>
    <w:lvl w:ilvl="0">
      <w:lvlJc w:val="left"/>
      <w:lvlText w:val="(%1)"/>
      <w:numFmt w:val="lowerRoman"/>
      <w:start w:val="1"/>
    </w:lvl>
  </w:abstractNum>
  <w:abstractNum w:abstractNumId="371">
    <w:nsid w:val="52E2024D"/>
    <w:multiLevelType w:val="hybridMultilevel"/>
    <w:lvl w:ilvl="0">
      <w:lvlJc w:val="left"/>
      <w:lvlText w:val="%1"/>
      <w:numFmt w:val="lowerRoman"/>
      <w:start w:val="1"/>
    </w:lvl>
    <w:lvl w:ilvl="1">
      <w:lvlJc w:val="left"/>
      <w:lvlText w:val="(%2)"/>
      <w:numFmt w:val="lowerRoman"/>
      <w:start w:val="3"/>
    </w:lvl>
  </w:abstractNum>
  <w:abstractNum w:abstractNumId="372">
    <w:nsid w:val="CE344B5"/>
    <w:multiLevelType w:val="hybridMultilevel"/>
    <w:lvl w:ilvl="0">
      <w:lvlJc w:val="left"/>
      <w:lvlText w:val="(%1)"/>
      <w:numFmt w:val="lowerRoman"/>
      <w:start w:val="7"/>
    </w:lvl>
    <w:lvl w:ilvl="1">
      <w:lvlJc w:val="left"/>
      <w:lvlText w:val="%2"/>
      <w:numFmt w:val="lowerRoman"/>
      <w:start w:val="1"/>
    </w:lvl>
  </w:abstractNum>
  <w:abstractNum w:abstractNumId="373">
    <w:nsid w:val="29B0E9A8"/>
    <w:multiLevelType w:val="hybridMultilevel"/>
    <w:lvl w:ilvl="0">
      <w:lvlJc w:val="left"/>
      <w:lvlText w:val="(%1)"/>
      <w:numFmt w:val="lowerRoman"/>
      <w:start w:val="9"/>
    </w:lvl>
    <w:lvl w:ilvl="1">
      <w:lvlJc w:val="left"/>
      <w:lvlText w:val="%2"/>
      <w:numFmt w:val="lowerRoman"/>
      <w:start w:val="1"/>
    </w:lvl>
  </w:abstractNum>
  <w:abstractNum w:abstractNumId="374">
    <w:nsid w:val="6F49CD8A"/>
    <w:multiLevelType w:val="hybridMultilevel"/>
    <w:lvl w:ilvl="0">
      <w:lvlJc w:val="left"/>
      <w:lvlText w:val="(%1)"/>
      <w:numFmt w:val="lowerRoman"/>
      <w:start w:val="5"/>
    </w:lvl>
  </w:abstractNum>
  <w:abstractNum w:abstractNumId="375">
    <w:nsid w:val="4DC5D907"/>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376">
    <w:nsid w:val="D55945E"/>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377">
    <w:nsid w:val="672417E1"/>
    <w:multiLevelType w:val="hybridMultilevel"/>
    <w:lvl w:ilvl="0">
      <w:lvlJc w:val="left"/>
      <w:lvlText w:val="(%1)"/>
      <w:numFmt w:val="lowerRoman"/>
      <w:start w:val="9"/>
    </w:lvl>
    <w:lvl w:ilvl="1">
      <w:lvlJc w:val="left"/>
      <w:lvlText w:val="%2."/>
      <w:numFmt w:val="decimal"/>
      <w:start w:val="7"/>
    </w:lvl>
    <w:lvl w:ilvl="2">
      <w:lvlJc w:val="left"/>
      <w:lvlText w:val="(%3)"/>
      <w:numFmt w:val="lowerLetter"/>
      <w:start w:val="1"/>
    </w:lvl>
  </w:abstractNum>
  <w:abstractNum w:abstractNumId="378">
    <w:nsid w:val="5FF6CA09"/>
    <w:multiLevelType w:val="hybridMultilevel"/>
    <w:lvl w:ilvl="0">
      <w:lvlJc w:val="left"/>
      <w:lvlText w:val="%1"/>
      <w:numFmt w:val="decimal"/>
      <w:start w:val="1"/>
    </w:lvl>
    <w:lvl w:ilvl="1">
      <w:lvlJc w:val="left"/>
      <w:lvlText w:val="(%2)"/>
      <w:numFmt w:val="lowerLetter"/>
      <w:start w:val="3"/>
    </w:lvl>
  </w:abstractNum>
  <w:abstractNum w:abstractNumId="379">
    <w:nsid w:val="330B1333"/>
    <w:multiLevelType w:val="hybridMultilevel"/>
    <w:lvl w:ilvl="0">
      <w:lvlJc w:val="left"/>
      <w:lvlText w:val="%1."/>
      <w:numFmt w:val="decimal"/>
      <w:start w:val="8"/>
    </w:lvl>
    <w:lvl w:ilvl="1">
      <w:lvlJc w:val="left"/>
      <w:lvlText w:val="(%2)"/>
      <w:numFmt w:val="lowerLetter"/>
      <w:start w:val="1"/>
    </w:lvl>
  </w:abstractNum>
  <w:abstractNum w:abstractNumId="380">
    <w:nsid w:val="2EF32EA6"/>
    <w:multiLevelType w:val="hybridMultilevel"/>
    <w:lvl w:ilvl="0">
      <w:lvlJc w:val="left"/>
      <w:lvlText w:val="%1"/>
      <w:numFmt w:val="decimal"/>
      <w:start w:val="1"/>
    </w:lvl>
    <w:lvl w:ilvl="1">
      <w:lvlJc w:val="left"/>
      <w:lvlText w:val="(%2)"/>
      <w:numFmt w:val="lowerLetter"/>
      <w:start w:val="2"/>
    </w:lvl>
  </w:abstractNum>
  <w:abstractNum w:abstractNumId="381">
    <w:nsid w:val="32766A55"/>
    <w:multiLevelType w:val="hybridMultilevel"/>
    <w:lvl w:ilvl="0">
      <w:lvlJc w:val="left"/>
      <w:lvlText w:val="%1."/>
      <w:numFmt w:val="decimal"/>
      <w:start w:val="9"/>
    </w:lvl>
    <w:lvl w:ilvl="1">
      <w:lvlJc w:val="left"/>
      <w:lvlText w:val="(%2)"/>
      <w:numFmt w:val="lowerLetter"/>
      <w:start w:val="1"/>
    </w:lvl>
  </w:abstractNum>
  <w:abstractNum w:abstractNumId="382">
    <w:nsid w:val="22D71957"/>
    <w:multiLevelType w:val="hybridMultilevel"/>
    <w:lvl w:ilvl="0">
      <w:lvlJc w:val="left"/>
      <w:lvlText w:val="%1."/>
      <w:numFmt w:val="decimal"/>
      <w:start w:val="10"/>
    </w:lvl>
    <w:lvl w:ilvl="1">
      <w:lvlJc w:val="left"/>
      <w:lvlText w:val="(%2)"/>
      <w:numFmt w:val="lowerLetter"/>
      <w:start w:val="1"/>
    </w:lvl>
  </w:abstractNum>
  <w:abstractNum w:abstractNumId="383">
    <w:nsid w:val="4CC1263B"/>
    <w:multiLevelType w:val="hybridMultilevel"/>
    <w:lvl w:ilvl="0">
      <w:lvlJc w:val="left"/>
      <w:lvlText w:val="%1"/>
      <w:numFmt w:val="decimal"/>
      <w:start w:val="1"/>
    </w:lvl>
    <w:lvl w:ilvl="1">
      <w:lvlJc w:val="left"/>
      <w:lvlText w:val="(%2)"/>
      <w:numFmt w:val="lowerLetter"/>
      <w:start w:val="3"/>
    </w:lvl>
  </w:abstractNum>
  <w:abstractNum w:abstractNumId="384">
    <w:nsid w:val="8BBEB1D"/>
    <w:multiLevelType w:val="hybridMultilevel"/>
    <w:lvl w:ilvl="0">
      <w:lvlJc w:val="left"/>
      <w:lvlText w:val="%1."/>
      <w:numFmt w:val="decimal"/>
      <w:start w:val="11"/>
    </w:lvl>
    <w:lvl w:ilvl="1">
      <w:lvlJc w:val="left"/>
      <w:lvlText w:val="%2"/>
      <w:numFmt w:val="lowerLetter"/>
      <w:start w:val="1"/>
    </w:lvl>
  </w:abstractNum>
  <w:abstractNum w:abstractNumId="385">
    <w:nsid w:val="7365F1EE"/>
    <w:multiLevelType w:val="hybridMultilevel"/>
    <w:lvl w:ilvl="0">
      <w:lvlJc w:val="left"/>
      <w:lvlText w:val="%1."/>
      <w:numFmt w:val="decimal"/>
      <w:start w:val="12"/>
    </w:lvl>
  </w:abstractNum>
  <w:abstractNum w:abstractNumId="386">
    <w:nsid w:val="37524CF0"/>
    <w:multiLevelType w:val="hybridMultilevel"/>
    <w:lvl w:ilvl="0">
      <w:lvlJc w:val="left"/>
      <w:lvlText w:val="%1."/>
      <w:numFmt w:val="decimal"/>
      <w:start w:val="14"/>
    </w:lvl>
    <w:lvl w:ilvl="1">
      <w:lvlJc w:val="left"/>
      <w:lvlText w:val="(%2)"/>
      <w:numFmt w:val="lowerLetter"/>
      <w:start w:val="1"/>
    </w:lvl>
  </w:abstractNum>
  <w:abstractNum w:abstractNumId="387">
    <w:nsid w:val="70CC332F"/>
    <w:multiLevelType w:val="hybridMultilevel"/>
    <w:lvl w:ilvl="0">
      <w:lvlJc w:val="left"/>
      <w:lvlText w:val="%1"/>
      <w:numFmt w:val="upperLetter"/>
      <w:start w:val="1"/>
    </w:lvl>
    <w:lvl w:ilvl="1">
      <w:lvlJc w:val="left"/>
      <w:lvlText w:val="(%2)"/>
      <w:numFmt w:val="lowerRoman"/>
      <w:start w:val="1"/>
    </w:lvl>
  </w:abstractNum>
  <w:abstractNum w:abstractNumId="388">
    <w:nsid w:val="5661786E"/>
    <w:multiLevelType w:val="hybridMultilevel"/>
    <w:lvl w:ilvl="0">
      <w:lvlJc w:val="left"/>
      <w:lvlText w:val="(%1)"/>
      <w:numFmt w:val="upperLetter"/>
      <w:start w:val="3"/>
    </w:lvl>
    <w:lvl w:ilvl="1">
      <w:lvlJc w:val="left"/>
      <w:lvlText w:val="%2"/>
      <w:numFmt w:val="lowerRoman"/>
      <w:start w:val="1"/>
    </w:lvl>
  </w:abstractNum>
  <w:abstractNum w:abstractNumId="389">
    <w:nsid w:val="3AF6A220"/>
    <w:multiLevelType w:val="hybridMultilevel"/>
    <w:lvl w:ilvl="0">
      <w:lvlJc w:val="left"/>
      <w:lvlText w:val="(%1)"/>
      <w:numFmt w:val="lowerRoman"/>
      <w:start w:val="1"/>
    </w:lvl>
  </w:abstractNum>
  <w:abstractNum w:abstractNumId="390">
    <w:nsid w:val="3C5EA902"/>
    <w:multiLevelType w:val="hybridMultilevel"/>
    <w:lvl w:ilvl="0">
      <w:lvlJc w:val="left"/>
      <w:lvlText w:val="(%1)"/>
      <w:numFmt w:val="lowerLetter"/>
      <w:start w:val="4"/>
    </w:lvl>
  </w:abstractNum>
  <w:abstractNum w:abstractNumId="391">
    <w:nsid w:val="256E6749"/>
    <w:multiLevelType w:val="hybridMultilevel"/>
    <w:lvl w:ilvl="0">
      <w:lvlJc w:val="left"/>
      <w:lvlText w:val="%1"/>
      <w:numFmt w:val="decimal"/>
      <w:start w:val="1"/>
    </w:lvl>
    <w:lvl w:ilvl="1">
      <w:lvlJc w:val="left"/>
      <w:lvlText w:val="(%2)"/>
      <w:numFmt w:val="lowerLetter"/>
      <w:start w:val="5"/>
    </w:lvl>
  </w:abstractNum>
  <w:abstractNum w:abstractNumId="392">
    <w:nsid w:val="1CB9A581"/>
    <w:multiLevelType w:val="hybridMultilevel"/>
    <w:lvl w:ilvl="0">
      <w:lvlJc w:val="left"/>
      <w:lvlText w:val="(%1)"/>
      <w:numFmt w:val="decimal"/>
      <w:start w:val="30"/>
    </w:lvl>
    <w:lvl w:ilvl="1">
      <w:lvlJc w:val="left"/>
      <w:lvlText w:val="(%2)"/>
      <w:numFmt w:val="lowerLetter"/>
      <w:start w:val="6"/>
    </w:lvl>
  </w:abstractNum>
  <w:abstractNum w:abstractNumId="393">
    <w:nsid w:val="1F7F42E2"/>
    <w:multiLevelType w:val="hybridMultilevel"/>
    <w:lvl w:ilvl="0">
      <w:lvlJc w:val="left"/>
      <w:lvlText w:val="(%1)"/>
      <w:numFmt w:val="lowerRoman"/>
      <w:start w:val="1"/>
    </w:lvl>
  </w:abstractNum>
  <w:abstractNum w:abstractNumId="394">
    <w:nsid w:val="49D1FEA0"/>
    <w:multiLevelType w:val="hybridMultilevel"/>
    <w:lvl w:ilvl="0">
      <w:lvlJc w:val="left"/>
      <w:lvlText w:val="%1"/>
      <w:numFmt w:val="decimal"/>
      <w:start w:val="1"/>
    </w:lvl>
    <w:lvl w:ilvl="1">
      <w:lvlJc w:val="left"/>
      <w:lvlText w:val="(%2)"/>
      <w:numFmt w:val="lowerRoman"/>
      <w:start w:val="1"/>
    </w:lvl>
  </w:abstractNum>
  <w:abstractNum w:abstractNumId="395">
    <w:nsid w:val="268CB37F"/>
    <w:multiLevelType w:val="hybridMultilevel"/>
    <w:lvl w:ilvl="0">
      <w:lvlJc w:val="left"/>
      <w:lvlText w:val="%1."/>
      <w:numFmt w:val="decimal"/>
      <w:start w:val="15"/>
    </w:lvl>
    <w:lvl w:ilvl="1">
      <w:lvlJc w:val="left"/>
      <w:lvlText w:val="%2"/>
      <w:numFmt w:val="lowerRoman"/>
      <w:start w:val="1"/>
    </w:lvl>
  </w:abstractNum>
  <w:abstractNum w:abstractNumId="396">
    <w:nsid w:val="102362F8"/>
    <w:multiLevelType w:val="hybridMultilevel"/>
    <w:lvl w:ilvl="0">
      <w:lvlJc w:val="left"/>
      <w:lvlText w:val="(%1)"/>
      <w:numFmt w:val="lowerLetter"/>
      <w:start w:val="1"/>
    </w:lvl>
  </w:abstractNum>
  <w:abstractNum w:abstractNumId="397">
    <w:nsid w:val="5FEDC0E3"/>
    <w:multiLevelType w:val="hybridMultilevel"/>
    <w:lvl w:ilvl="0">
      <w:lvlJc w:val="left"/>
      <w:lvlText w:val="%1"/>
      <w:numFmt w:val="decimal"/>
      <w:start w:val="1"/>
    </w:lvl>
    <w:lvl w:ilvl="1">
      <w:lvlJc w:val="left"/>
      <w:lvlText w:val="(%2)"/>
      <w:numFmt w:val="lowerLetter"/>
      <w:start w:val="2"/>
    </w:lvl>
  </w:abstractNum>
  <w:abstractNum w:abstractNumId="398">
    <w:nsid w:val="3D75BC47"/>
    <w:multiLevelType w:val="hybridMultilevel"/>
    <w:lvl w:ilvl="0">
      <w:lvlJc w:val="left"/>
      <w:lvlText w:val="%1."/>
      <w:numFmt w:val="decimal"/>
      <w:start w:val="16"/>
    </w:lvl>
    <w:lvl w:ilvl="1">
      <w:lvlJc w:val="left"/>
      <w:lvlText w:val="%2"/>
      <w:numFmt w:val="lowerLetter"/>
      <w:start w:val="1"/>
    </w:lvl>
  </w:abstractNum>
  <w:abstractNum w:abstractNumId="399">
    <w:nsid w:val="3E30D969"/>
    <w:multiLevelType w:val="hybridMultilevel"/>
    <w:lvl w:ilvl="0">
      <w:lvlJc w:val="left"/>
      <w:lvlText w:val="%1."/>
      <w:numFmt w:val="decimal"/>
      <w:start w:val="17"/>
    </w:lvl>
    <w:lvl w:ilvl="1">
      <w:lvlJc w:val="left"/>
      <w:lvlText w:val="(%2)"/>
      <w:numFmt w:val="lowerLetter"/>
      <w:start w:val="1"/>
    </w:lvl>
  </w:abstractNum>
  <w:abstractNum w:abstractNumId="400">
    <w:nsid w:val="18A35FE3"/>
    <w:multiLevelType w:val="hybridMultilevel"/>
    <w:lvl w:ilvl="0">
      <w:lvlJc w:val="left"/>
      <w:lvlText w:val="\endash "/>
      <w:numFmt w:val="bullet"/>
      <w:start w:val="1"/>
    </w:lvl>
    <w:lvl w:ilvl="1">
      <w:lvlJc w:val="left"/>
      <w:lvlText w:val="(%2)"/>
      <w:numFmt w:val="lowerRoman"/>
      <w:start w:val="1"/>
    </w:lvl>
  </w:abstractNum>
  <w:abstractNum w:abstractNumId="401">
    <w:nsid w:val="6DEF5211"/>
    <w:multiLevelType w:val="hybridMultilevel"/>
    <w:lvl w:ilvl="0">
      <w:lvlJc w:val="left"/>
      <w:lvlText w:val="(%1)"/>
      <w:numFmt w:val="lowerRoman"/>
      <w:start w:val="6"/>
    </w:lvl>
  </w:abstractNum>
  <w:abstractNum w:abstractNumId="402">
    <w:nsid w:val="1112DBB6"/>
    <w:multiLevelType w:val="hybridMultilevel"/>
    <w:lvl w:ilvl="0">
      <w:lvlJc w:val="left"/>
      <w:lvlText w:val="(%1)"/>
      <w:numFmt w:val="lowerLetter"/>
      <w:start w:val="2"/>
    </w:lvl>
  </w:abstractNum>
  <w:abstractNum w:abstractNumId="403">
    <w:nsid w:val="2586A498"/>
    <w:multiLevelType w:val="hybridMultilevel"/>
    <w:lvl w:ilvl="0">
      <w:lvlJc w:val="left"/>
      <w:lvlText w:val="(%1)"/>
      <w:numFmt w:val="lowerRoman"/>
      <w:start w:val="1"/>
    </w:lvl>
  </w:abstractNum>
  <w:abstractNum w:abstractNumId="404">
    <w:nsid w:val="17A03BB9"/>
    <w:multiLevelType w:val="hybridMultilevel"/>
    <w:lvl w:ilvl="0">
      <w:lvlJc w:val="left"/>
      <w:lvlText w:val="%1"/>
      <w:numFmt w:val="decimal"/>
      <w:start w:val="1"/>
    </w:lvl>
    <w:lvl w:ilvl="1">
      <w:lvlJc w:val="left"/>
      <w:lvlText w:val="(%2)"/>
      <w:numFmt w:val="lowerLetter"/>
      <w:start w:val="4"/>
    </w:lvl>
  </w:abstractNum>
  <w:abstractNum w:abstractNumId="405">
    <w:nsid w:val="5CA941"/>
    <w:multiLevelType w:val="hybridMultilevel"/>
    <w:lvl w:ilvl="0">
      <w:lvlJc w:val="left"/>
      <w:lvlText w:val="%1."/>
      <w:numFmt w:val="decimal"/>
      <w:start w:val="18"/>
    </w:lvl>
    <w:lvl w:ilvl="1">
      <w:lvlJc w:val="left"/>
      <w:lvlText w:val="(%2)"/>
      <w:numFmt w:val="lowerLetter"/>
      <w:start w:val="1"/>
    </w:lvl>
  </w:abstractNum>
  <w:abstractNum w:abstractNumId="406">
    <w:nsid w:val="734C7D9F"/>
    <w:multiLevelType w:val="hybridMultilevel"/>
    <w:lvl w:ilvl="0">
      <w:lvlJc w:val="left"/>
      <w:lvlText w:val="(%1)"/>
      <w:numFmt w:val="lowerRoman"/>
      <w:start w:val="1"/>
    </w:lvl>
  </w:abstractNum>
  <w:abstractNum w:abstractNumId="407">
    <w:nsid w:val="24F5D018"/>
    <w:multiLevelType w:val="hybridMultilevel"/>
    <w:lvl w:ilvl="0">
      <w:lvlJc w:val="left"/>
      <w:lvlText w:val="(%1)"/>
      <w:numFmt w:val="decimal"/>
      <w:start w:val="60"/>
    </w:lvl>
    <w:lvl w:ilvl="1">
      <w:lvlJc w:val="left"/>
      <w:lvlText w:val="(%2)"/>
      <w:numFmt w:val="lowerRoman"/>
      <w:start w:val="2"/>
    </w:lvl>
  </w:abstractNum>
  <w:abstractNum w:abstractNumId="408">
    <w:nsid w:val="6780C122"/>
    <w:multiLevelType w:val="hybridMultilevel"/>
    <w:lvl w:ilvl="0">
      <w:lvlJc w:val="left"/>
      <w:lvlText w:val="%1"/>
      <w:numFmt w:val="decimal"/>
      <w:start w:val="1"/>
    </w:lvl>
    <w:lvl w:ilvl="1">
      <w:lvlJc w:val="left"/>
      <w:lvlText w:val="(%2)"/>
      <w:numFmt w:val="lowerLetter"/>
      <w:start w:val="2"/>
    </w:lvl>
  </w:abstractNum>
  <w:abstractNum w:abstractNumId="409">
    <w:nsid w:val="534347A8"/>
    <w:multiLevelType w:val="hybridMultilevel"/>
    <w:lvl w:ilvl="0">
      <w:lvlJc w:val="left"/>
      <w:lvlText w:val="(%1)"/>
      <w:numFmt w:val="decimal"/>
      <w:start w:val="12"/>
    </w:lvl>
    <w:lvl w:ilvl="1">
      <w:lvlJc w:val="left"/>
      <w:lvlText w:val="(%2)"/>
      <w:numFmt w:val="lowerLetter"/>
      <w:start w:val="3"/>
    </w:lvl>
  </w:abstractNum>
  <w:abstractNum w:abstractNumId="410">
    <w:nsid w:val="5800E34B"/>
    <w:multiLevelType w:val="hybridMultilevel"/>
    <w:lvl w:ilvl="0">
      <w:lvlJc w:val="left"/>
      <w:lvlText w:val="%1"/>
      <w:numFmt w:val="decimal"/>
      <w:start w:val="1"/>
    </w:lvl>
    <w:lvl w:ilvl="1">
      <w:lvlJc w:val="left"/>
      <w:lvlText w:val="(%2)"/>
      <w:numFmt w:val="lowerLetter"/>
      <w:start w:val="5"/>
    </w:lvl>
  </w:abstractNum>
  <w:abstractNum w:abstractNumId="411">
    <w:nsid w:val="1673EFC8"/>
    <w:multiLevelType w:val="hybridMultilevel"/>
    <w:lvl w:ilvl="0">
      <w:lvlJc w:val="left"/>
      <w:lvlText w:val="%1."/>
      <w:numFmt w:val="decimal"/>
      <w:start w:val="20"/>
    </w:lvl>
    <w:lvl w:ilvl="1">
      <w:lvlJc w:val="left"/>
      <w:lvlText w:val="(%2)"/>
      <w:numFmt w:val="lowerLetter"/>
      <w:start w:val="1"/>
    </w:lvl>
  </w:abstractNum>
  <w:abstractNum w:abstractNumId="412">
    <w:nsid w:val="5B9B1FD"/>
    <w:multiLevelType w:val="hybridMultilevel"/>
    <w:lvl w:ilvl="0">
      <w:lvlJc w:val="left"/>
      <w:lvlText w:val="%1"/>
      <w:numFmt w:val="decimal"/>
      <w:start w:val="1"/>
    </w:lvl>
    <w:lvl w:ilvl="1">
      <w:lvlJc w:val="left"/>
      <w:lvlText w:val="(%2)"/>
      <w:numFmt w:val="lowerLetter"/>
      <w:start w:val="3"/>
    </w:lvl>
  </w:abstractNum>
  <w:abstractNum w:abstractNumId="413">
    <w:nsid w:val="7AD7FCA2"/>
    <w:multiLevelType w:val="hybridMultilevel"/>
    <w:lvl w:ilvl="0">
      <w:lvlJc w:val="left"/>
      <w:lvlText w:val="%1."/>
      <w:numFmt w:val="decimal"/>
      <w:start w:val="21"/>
    </w:lvl>
    <w:lvl w:ilvl="1">
      <w:lvlJc w:val="left"/>
      <w:lvlText w:val="(%2)"/>
      <w:numFmt w:val="lowerLetter"/>
      <w:start w:val="1"/>
    </w:lvl>
  </w:abstractNum>
  <w:abstractNum w:abstractNumId="414">
    <w:nsid w:val="63351604"/>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415">
    <w:nsid w:val="E759D1A"/>
    <w:multiLevelType w:val="hybridMultilevel"/>
    <w:lvl w:ilvl="0">
      <w:lvlJc w:val="left"/>
      <w:lvlText w:val="(%1)"/>
      <w:numFmt w:val="lowerLetter"/>
      <w:start w:val="35"/>
    </w:lvl>
    <w:lvl w:ilvl="1">
      <w:lvlJc w:val="left"/>
      <w:lvlText w:val="%2."/>
      <w:numFmt w:val="decimal"/>
      <w:start w:val="23"/>
    </w:lvl>
    <w:lvl w:ilvl="2">
      <w:lvlJc w:val="left"/>
      <w:lvlText w:val="(%3)"/>
      <w:numFmt w:val="lowerLetter"/>
      <w:start w:val="1"/>
    </w:lvl>
  </w:abstractNum>
  <w:abstractNum w:abstractNumId="416">
    <w:nsid w:val="6E3DEE90"/>
    <w:multiLevelType w:val="hybridMultilevel"/>
    <w:lvl w:ilvl="0">
      <w:lvlJc w:val="left"/>
      <w:lvlText w:val="(%1)"/>
      <w:numFmt w:val="lowerLetter"/>
      <w:start w:val="2"/>
    </w:lvl>
  </w:abstractNum>
  <w:abstractNum w:abstractNumId="417">
    <w:nsid w:val="1A8762F4"/>
    <w:multiLevelType w:val="hybridMultilevel"/>
    <w:lvl w:ilvl="0">
      <w:lvlJc w:val="left"/>
      <w:lvlText w:val="%1"/>
      <w:numFmt w:val="lowerRoman"/>
      <w:start w:val="1"/>
    </w:lvl>
    <w:lvl w:ilvl="1">
      <w:lvlJc w:val="left"/>
      <w:lvlText w:val="%2."/>
      <w:numFmt w:val="decimal"/>
      <w:start w:val="24"/>
    </w:lvl>
  </w:abstractNum>
  <w:abstractNum w:abstractNumId="418">
    <w:nsid w:val="7F41D049"/>
    <w:multiLevelType w:val="hybridMultilevel"/>
    <w:lvl w:ilvl="0">
      <w:lvlJc w:val="left"/>
      <w:lvlText w:val="(%1)"/>
      <w:numFmt w:val="lowerRoman"/>
      <w:start w:val="2"/>
    </w:lvl>
    <w:lvl w:ilvl="1">
      <w:lvlJc w:val="left"/>
      <w:lvlText w:val="%2."/>
      <w:numFmt w:val="decimal"/>
      <w:start w:val="25"/>
    </w:lvl>
  </w:abstractNum>
  <w:abstractNum w:abstractNumId="419">
    <w:nsid w:val="449F66FE"/>
    <w:multiLevelType w:val="hybridMultilevel"/>
    <w:lvl w:ilvl="0">
      <w:lvlJc w:val="left"/>
      <w:lvlText w:val="%1."/>
      <w:numFmt w:val="decimal"/>
      <w:start w:val="26"/>
    </w:lvl>
  </w:abstractNum>
  <w:abstractNum w:abstractNumId="420">
    <w:nsid w:val="557E0515"/>
    <w:multiLevelType w:val="hybridMultilevel"/>
    <w:lvl w:ilvl="0">
      <w:lvlJc w:val="left"/>
      <w:lvlText w:val="%1."/>
      <w:numFmt w:val="decimal"/>
      <w:start w:val="28"/>
    </w:lvl>
    <w:lvl w:ilvl="1">
      <w:lvlJc w:val="left"/>
      <w:lvlText w:val="(%2)"/>
      <w:numFmt w:val="lowerLetter"/>
      <w:start w:val="1"/>
    </w:lvl>
  </w:abstractNum>
  <w:abstractNum w:abstractNumId="421">
    <w:nsid w:val="3BA0794B"/>
    <w:multiLevelType w:val="hybridMultilevel"/>
    <w:lvl w:ilvl="0">
      <w:lvlJc w:val="left"/>
      <w:lvlText w:val="%1"/>
      <w:numFmt w:val="decimal"/>
      <w:start w:val="1"/>
    </w:lvl>
    <w:lvl w:ilvl="1">
      <w:lvlJc w:val="left"/>
      <w:lvlText w:val="(%2)"/>
      <w:numFmt w:val="lowerRoman"/>
      <w:start w:val="1"/>
    </w:lvl>
  </w:abstractNum>
  <w:abstractNum w:abstractNumId="422">
    <w:nsid w:val="6A0DCE48"/>
    <w:multiLevelType w:val="hybridMultilevel"/>
    <w:lvl w:ilvl="0">
      <w:lvlJc w:val="left"/>
      <w:lvlText w:val="(%1)"/>
      <w:numFmt w:val="decimal"/>
      <w:start w:val="60"/>
    </w:lvl>
    <w:lvl w:ilvl="1">
      <w:lvlJc w:val="left"/>
      <w:lvlText w:val="%2"/>
      <w:numFmt w:val="lowerRoman"/>
      <w:start w:val="1"/>
    </w:lvl>
  </w:abstractNum>
  <w:abstractNum w:abstractNumId="423">
    <w:nsid w:val="7237AA96"/>
    <w:multiLevelType w:val="hybridMultilevel"/>
    <w:lvl w:ilvl="0">
      <w:lvlJc w:val="left"/>
      <w:lvlText w:val="(%1)"/>
      <w:numFmt w:val="lowerRoman"/>
      <w:start w:val="3"/>
    </w:lvl>
  </w:abstractNum>
  <w:abstractNum w:abstractNumId="424">
    <w:nsid w:val="5B1FBC2D"/>
    <w:multiLevelType w:val="hybridMultilevel"/>
    <w:lvl w:ilvl="0">
      <w:lvlJc w:val="left"/>
      <w:lvlText w:val="(%1)"/>
      <w:numFmt w:val="lowerLetter"/>
      <w:start w:val="2"/>
    </w:lvl>
  </w:abstractNum>
  <w:abstractNum w:abstractNumId="425">
    <w:nsid w:val="33DFCCE8"/>
    <w:multiLevelType w:val="hybridMultilevel"/>
    <w:lvl w:ilvl="0">
      <w:lvlJc w:val="left"/>
      <w:lvlText w:val="(%1)"/>
      <w:numFmt w:val="lowerRoman"/>
      <w:start w:val="1"/>
    </w:lvl>
    <w:lvl w:ilvl="1">
      <w:lvlJc w:val="left"/>
      <w:lvlText w:val="(%2)"/>
      <w:numFmt w:val="upperLetter"/>
      <w:start w:val="1"/>
    </w:lvl>
  </w:abstractNum>
  <w:abstractNum w:abstractNumId="426">
    <w:nsid w:val="18C45E15"/>
    <w:multiLevelType w:val="hybridMultilevel"/>
    <w:lvl w:ilvl="0">
      <w:lvlJc w:val="left"/>
      <w:lvlText w:val="(%1)"/>
      <w:numFmt w:val="lowerRoman"/>
      <w:start w:val="3"/>
    </w:lvl>
  </w:abstractNum>
  <w:abstractNum w:abstractNumId="427">
    <w:nsid w:val="6B431F25"/>
    <w:multiLevelType w:val="hybridMultilevel"/>
    <w:lvl w:ilvl="0">
      <w:lvlJc w:val="left"/>
      <w:lvlText w:val="%1"/>
      <w:numFmt w:val="decimal"/>
      <w:start w:val="1"/>
    </w:lvl>
    <w:lvl w:ilvl="1">
      <w:lvlJc w:val="left"/>
      <w:lvlText w:val="(%2)"/>
      <w:numFmt w:val="lowerLetter"/>
      <w:start w:val="3"/>
    </w:lvl>
  </w:abstractNum>
  <w:abstractNum w:abstractNumId="428">
    <w:nsid w:val="13CD8DCB"/>
    <w:multiLevelType w:val="hybridMultilevel"/>
    <w:lvl w:ilvl="0">
      <w:lvlJc w:val="left"/>
      <w:lvlText w:val="%1."/>
      <w:numFmt w:val="decimal"/>
      <w:start w:val="29"/>
    </w:lvl>
    <w:lvl w:ilvl="1">
      <w:lvlJc w:val="left"/>
      <w:lvlText w:val="%2"/>
      <w:numFmt w:val="lowerLetter"/>
      <w:start w:val="1"/>
    </w:lvl>
  </w:abstractNum>
  <w:abstractNum w:abstractNumId="429">
    <w:nsid w:val="563A1A5C"/>
    <w:multiLevelType w:val="hybridMultilevel"/>
    <w:lvl w:ilvl="0">
      <w:lvlJc w:val="left"/>
      <w:lvlText w:val="%1."/>
      <w:numFmt w:val="decimal"/>
      <w:start w:val="30"/>
    </w:lvl>
  </w:abstractNum>
  <w:abstractNum w:abstractNumId="430">
    <w:nsid w:val="2973F88F"/>
    <w:multiLevelType w:val="hybridMultilevel"/>
    <w:lvl w:ilvl="0">
      <w:lvlJc w:val="left"/>
      <w:lvlText w:val="(%1)"/>
      <w:numFmt w:val="decimal"/>
      <w:start w:val="3"/>
    </w:lvl>
    <w:lvl w:ilvl="1">
      <w:lvlJc w:val="left"/>
      <w:lvlText w:val="%2."/>
      <w:numFmt w:val="decimal"/>
      <w:start w:val="35"/>
    </w:lvl>
  </w:abstractNum>
  <w:abstractNum w:abstractNumId="431">
    <w:nsid w:val="2C70EDAE"/>
    <w:multiLevelType w:val="hybridMultilevel"/>
    <w:lvl w:ilvl="0">
      <w:lvlJc w:val="left"/>
      <w:lvlText w:val="%1."/>
      <w:numFmt w:val="decimal"/>
      <w:start w:val="37"/>
    </w:lvl>
  </w:abstractNum>
  <w:abstractNum w:abstractNumId="432">
    <w:nsid w:val="44296C6D"/>
    <w:multiLevelType w:val="hybridMultilevel"/>
    <w:lvl w:ilvl="0">
      <w:lvlJc w:val="left"/>
      <w:lvlText w:val="(%1)"/>
      <w:numFmt w:val="decimal"/>
      <w:start w:val="10"/>
    </w:lvl>
    <w:lvl w:ilvl="1">
      <w:lvlJc w:val="left"/>
      <w:lvlText w:val="%2."/>
      <w:numFmt w:val="decimal"/>
      <w:start w:val="38"/>
    </w:lvl>
  </w:abstractNum>
  <w:abstractNum w:abstractNumId="433">
    <w:nsid w:val="3A86D445"/>
    <w:multiLevelType w:val="hybridMultilevel"/>
    <w:lvl w:ilvl="0">
      <w:lvlJc w:val="left"/>
      <w:lvlText w:val="(%1)"/>
      <w:numFmt w:val="decimal"/>
      <w:start w:val="1"/>
    </w:lvl>
    <w:lvl w:ilvl="1">
      <w:lvlJc w:val="left"/>
      <w:lvlText w:val="%2"/>
      <w:numFmt w:val="decimal"/>
      <w:start w:val="1"/>
    </w:lvl>
  </w:abstractNum>
  <w:abstractNum w:abstractNumId="434">
    <w:nsid w:val="51F79246"/>
    <w:multiLevelType w:val="hybridMultilevel"/>
    <w:lvl w:ilvl="0">
      <w:lvlJc w:val="left"/>
      <w:lvlText w:val="%1."/>
      <w:numFmt w:val="decimal"/>
      <w:start w:val="42"/>
    </w:lvl>
    <w:lvl w:ilvl="1">
      <w:lvlJc w:val="left"/>
      <w:lvlText w:val="(%2)"/>
      <w:numFmt w:val="lowerLetter"/>
      <w:start w:val="1"/>
    </w:lvl>
  </w:abstractNum>
  <w:abstractNum w:abstractNumId="435">
    <w:nsid w:val="5BC9A827"/>
    <w:multiLevelType w:val="hybridMultilevel"/>
    <w:lvl w:ilvl="0">
      <w:lvlJc w:val="left"/>
      <w:lvlText w:val="(%1)"/>
      <w:numFmt w:val="lowerLetter"/>
      <w:start w:val="4"/>
    </w:lvl>
  </w:abstractNum>
  <w:abstractNum w:abstractNumId="436">
    <w:nsid w:val="3AE37D86"/>
    <w:multiLevelType w:val="hybridMultilevel"/>
    <w:lvl w:ilvl="0">
      <w:lvlJc w:val="left"/>
      <w:lvlText w:val="(%1)"/>
      <w:numFmt w:val="lowerRoman"/>
      <w:start w:val="1"/>
    </w:lvl>
  </w:abstractNum>
  <w:abstractNum w:abstractNumId="437">
    <w:nsid w:val="45440FE5"/>
    <w:multiLevelType w:val="hybridMultilevel"/>
    <w:lvl w:ilvl="0">
      <w:lvlJc w:val="left"/>
      <w:lvlText w:val="(%1)"/>
      <w:numFmt w:val="lowerLetter"/>
      <w:start w:val="5"/>
    </w:lvl>
  </w:abstractNum>
  <w:abstractNum w:abstractNumId="438">
    <w:nsid w:val="BF783F"/>
    <w:multiLevelType w:val="hybridMultilevel"/>
    <w:lvl w:ilvl="0">
      <w:lvlJc w:val="left"/>
      <w:lvlText w:val="(%1)"/>
      <w:numFmt w:val="lowerLetter"/>
      <w:start w:val="20"/>
    </w:lvl>
  </w:abstractNum>
  <w:abstractNum w:abstractNumId="439">
    <w:nsid w:val="22643EA9"/>
    <w:multiLevelType w:val="hybridMultilevel"/>
    <w:lvl w:ilvl="0">
      <w:lvlJc w:val="left"/>
      <w:lvlText w:val="(%1)"/>
      <w:numFmt w:val="lowerLetter"/>
      <w:start w:val="7"/>
    </w:lvl>
  </w:abstractNum>
  <w:abstractNum w:abstractNumId="440">
    <w:nsid w:val="1887578D"/>
    <w:multiLevelType w:val="hybridMultilevel"/>
    <w:lvl w:ilvl="0">
      <w:lvlJc w:val="left"/>
      <w:lvlText w:val="(%1)"/>
      <w:numFmt w:val="lowerLetter"/>
      <w:start w:val="14"/>
    </w:lvl>
  </w:abstractNum>
  <w:abstractNum w:abstractNumId="441">
    <w:nsid w:val="58C05B8A"/>
    <w:multiLevelType w:val="hybridMultilevel"/>
    <w:lvl w:ilvl="0">
      <w:lvlJc w:val="left"/>
      <w:lvlText w:val="%1."/>
      <w:numFmt w:val="decimal"/>
      <w:start w:val="1"/>
    </w:lvl>
  </w:abstractNum>
  <w:abstractNum w:abstractNumId="442">
    <w:nsid w:val="38D82E71"/>
    <w:multiLevelType w:val="hybridMultilevel"/>
    <w:lvl w:ilvl="0">
      <w:lvlJc w:val="left"/>
      <w:lvlText w:val="%1"/>
      <w:numFmt w:val="lowerRoman"/>
      <w:start w:val="1"/>
    </w:lvl>
    <w:lvl w:ilvl="1">
      <w:lvlJc w:val="left"/>
      <w:lvlText w:val="%2."/>
      <w:numFmt w:val="decimal"/>
      <w:start w:val="4"/>
    </w:lvl>
  </w:abstractNum>
  <w:abstractNum w:abstractNumId="443">
    <w:nsid w:val="1E41098A"/>
    <w:multiLevelType w:val="hybridMultilevel"/>
    <w:lvl w:ilvl="0">
      <w:lvlJc w:val="left"/>
      <w:lvlText w:val="(%1)"/>
      <w:numFmt w:val="lowerRoman"/>
      <w:start w:val="2"/>
    </w:lvl>
    <w:lvl w:ilvl="1">
      <w:lvlJc w:val="left"/>
      <w:lvlText w:val="%2"/>
      <w:numFmt w:val="decimal"/>
      <w:start w:val="1"/>
    </w:lvl>
  </w:abstractNum>
  <w:abstractNum w:abstractNumId="444">
    <w:nsid w:val="5398582C"/>
    <w:multiLevelType w:val="hybridMultilevel"/>
    <w:lvl w:ilvl="0">
      <w:lvlJc w:val="left"/>
      <w:lvlText w:val="%1."/>
      <w:numFmt w:val="decimal"/>
      <w:start w:val="3"/>
    </w:lvl>
  </w:abstractNum>
  <w:abstractNum w:abstractNumId="445">
    <w:nsid w:val="1C0D4475"/>
    <w:multiLevelType w:val="hybridMultilevel"/>
    <w:lvl w:ilvl="0">
      <w:lvlJc w:val="left"/>
      <w:lvlText w:val="%1."/>
      <w:numFmt w:val="decimal"/>
      <w:start w:val="6"/>
    </w:lvl>
  </w:abstractNum>
  <w:abstractNum w:abstractNumId="446">
    <w:nsid w:val="2CB6A6A4"/>
    <w:multiLevelType w:val="hybridMultilevel"/>
    <w:lvl w:ilvl="0">
      <w:lvlJc w:val="left"/>
      <w:lvlText w:val="%1."/>
      <w:numFmt w:val="decimal"/>
      <w:start w:val="9"/>
    </w:lvl>
  </w:abstractNum>
  <w:abstractNum w:abstractNumId="447">
    <w:nsid w:val="41D646BC"/>
    <w:multiLevelType w:val="hybridMultilevel"/>
    <w:lvl w:ilvl="0">
      <w:lvlJc w:val="left"/>
      <w:lvlText w:val="%1."/>
      <w:numFmt w:val="decimal"/>
      <w:start w:val="1"/>
    </w:lvl>
  </w:abstractNum>
  <w:abstractNum w:abstractNumId="448">
    <w:nsid w:val="3694A76A"/>
    <w:multiLevelType w:val="hybridMultilevel"/>
    <w:lvl w:ilvl="0">
      <w:lvlJc w:val="left"/>
      <w:lvlText w:val="%1."/>
      <w:numFmt w:val="decimal"/>
      <w:start w:val="5"/>
    </w:lvl>
  </w:abstractNum>
  <w:abstractNum w:abstractNumId="449">
    <w:nsid w:val="2BF876EE"/>
    <w:multiLevelType w:val="hybridMultilevel"/>
    <w:lvl w:ilvl="0">
      <w:lvlJc w:val="left"/>
      <w:lvlText w:val="%1."/>
      <w:numFmt w:val="decimal"/>
      <w:start w:val="10"/>
    </w:lvl>
  </w:abstractNum>
  <w:abstractNum w:abstractNumId="450">
    <w:nsid w:val="675ADBA"/>
    <w:multiLevelType w:val="hybridMultilevel"/>
    <w:lvl w:ilvl="0">
      <w:lvlJc w:val="left"/>
      <w:lvlText w:val="%1"/>
      <w:numFmt w:val="lowerRoman"/>
      <w:start w:val="1"/>
    </w:lvl>
    <w:lvl w:ilvl="1">
      <w:lvlJc w:val="left"/>
      <w:lvlText w:val="%2."/>
      <w:numFmt w:val="decimal"/>
      <w:start w:val="17"/>
    </w:lvl>
  </w:abstractNum>
  <w:abstractNum w:abstractNumId="451">
    <w:nsid w:val="C12AC7F"/>
    <w:multiLevelType w:val="hybridMultilevel"/>
    <w:lvl w:ilvl="0">
      <w:lvlJc w:val="left"/>
      <w:lvlText w:val="(%1)"/>
      <w:numFmt w:val="lowerRoman"/>
      <w:start w:val="6"/>
    </w:lvl>
    <w:lvl w:ilvl="1">
      <w:lvlJc w:val="left"/>
      <w:lvlText w:val="%2."/>
      <w:numFmt w:val="decimal"/>
      <w:start w:val="19"/>
    </w:lvl>
  </w:abstractNum>
  <w:abstractNum w:abstractNumId="452">
    <w:nsid w:val="6798F039"/>
    <w:multiLevelType w:val="hybridMultilevel"/>
    <w:lvl w:ilvl="0">
      <w:lvlJc w:val="left"/>
      <w:lvlText w:val="%1."/>
      <w:numFmt w:val="decimal"/>
      <w:start w:val="1"/>
    </w:lvl>
    <w:lvl w:ilvl="1">
      <w:lvlJc w:val="left"/>
      <w:lvlText w:val="(%2)"/>
      <w:numFmt w:val="lowerLetter"/>
      <w:start w:val="1"/>
    </w:lvl>
  </w:abstractNum>
  <w:abstractNum w:abstractNumId="453">
    <w:nsid w:val="70837C02"/>
    <w:multiLevelType w:val="hybridMultilevel"/>
    <w:lvl w:ilvl="0">
      <w:lvlJc w:val="left"/>
      <w:lvlText w:val="(%1)"/>
      <w:numFmt w:val="lowerLetter"/>
      <w:start w:val="2"/>
    </w:lvl>
  </w:abstractNum>
  <w:abstractNum w:abstractNumId="454">
    <w:nsid w:val="7E4A5715"/>
    <w:multiLevelType w:val="hybridMultilevel"/>
    <w:lvl w:ilvl="0">
      <w:lvlJc w:val="left"/>
      <w:lvlText w:val="(%1)"/>
      <w:numFmt w:val="lowerLetter"/>
      <w:start w:val="1"/>
    </w:lvl>
  </w:abstractNum>
  <w:abstractNum w:abstractNumId="455">
    <w:nsid w:val="42B8AC67"/>
    <w:multiLevelType w:val="hybridMultilevel"/>
    <w:lvl w:ilvl="0">
      <w:lvlJc w:val="left"/>
      <w:lvlText w:val="(%1)"/>
      <w:numFmt w:val="lowerLetter"/>
      <w:start w:val="3"/>
    </w:lvl>
  </w:abstractNum>
  <w:abstractNum w:abstractNumId="456">
    <w:nsid w:val="246348EA"/>
    <w:multiLevelType w:val="hybridMultilevel"/>
    <w:lvl w:ilvl="0">
      <w:lvlJc w:val="left"/>
      <w:lvlText w:val="%1."/>
      <w:numFmt w:val="decimal"/>
      <w:start w:val="4"/>
    </w:lvl>
    <w:lvl w:ilvl="1">
      <w:lvlJc w:val="left"/>
      <w:lvlText w:val="(%2)"/>
      <w:numFmt w:val="lowerLetter"/>
      <w:start w:val="1"/>
    </w:lvl>
  </w:abstractNum>
  <w:abstractNum w:abstractNumId="457">
    <w:nsid w:val="170EB52B"/>
    <w:multiLevelType w:val="hybridMultilevel"/>
    <w:lvl w:ilvl="0">
      <w:lvlJc w:val="left"/>
      <w:lvlText w:val="(%1)"/>
      <w:numFmt w:val="lowerLetter"/>
      <w:start w:val="2"/>
    </w:lvl>
  </w:abstractNum>
  <w:abstractNum w:abstractNumId="458">
    <w:nsid w:val="2DFBCB8C"/>
    <w:multiLevelType w:val="hybridMultilevel"/>
    <w:lvl w:ilvl="0">
      <w:lvlJc w:val="left"/>
      <w:lvlText w:val="%1."/>
      <w:numFmt w:val="decimal"/>
      <w:start w:val="7"/>
    </w:lvl>
  </w:abstractNum>
  <w:abstractNum w:abstractNumId="459">
    <w:nsid w:val="3830D6B6"/>
    <w:multiLevelType w:val="hybridMultilevel"/>
    <w:lvl w:ilvl="0">
      <w:lvlJc w:val="left"/>
      <w:lvlText w:val="%1."/>
      <w:numFmt w:val="decimal"/>
      <w:start w:val="12"/>
    </w:lvl>
  </w:abstractNum>
  <w:abstractNum w:abstractNumId="460">
    <w:nsid w:val="6D48CF87"/>
    <w:multiLevelType w:val="hybridMultilevel"/>
    <w:lvl w:ilvl="0">
      <w:lvlJc w:val="left"/>
      <w:lvlText w:val="%1."/>
      <w:numFmt w:val="decimal"/>
      <w:start w:val="17"/>
    </w:lvl>
  </w:abstractNum>
  <w:abstractNum w:abstractNumId="461">
    <w:nsid w:val="576FC41B"/>
    <w:multiLevelType w:val="hybridMultilevel"/>
    <w:lvl w:ilvl="0">
      <w:lvlJc w:val="left"/>
      <w:lvlText w:val="%1."/>
      <w:numFmt w:val="decimal"/>
      <w:start w:val="1"/>
    </w:lvl>
  </w:abstractNum>
  <w:abstractNum w:abstractNumId="462">
    <w:nsid w:val="64A1C46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63">
    <w:nsid w:val="31723BF5"/>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464">
    <w:nsid w:val="11F69861"/>
    <w:multiLevelType w:val="hybridMultilevel"/>
    <w:lvl w:ilvl="0">
      <w:lvlJc w:val="left"/>
      <w:lvlText w:val="%1"/>
      <w:numFmt w:val="decimal"/>
      <w:start w:val="1"/>
    </w:lvl>
    <w:lvl w:ilvl="1">
      <w:lvlJc w:val="left"/>
      <w:lvlText w:val="(%2)"/>
      <w:numFmt w:val="lowerLetter"/>
      <w:start w:val="4"/>
    </w:lvl>
  </w:abstractNum>
  <w:abstractNum w:abstractNumId="465">
    <w:nsid w:val="369956AB"/>
    <w:multiLevelType w:val="hybridMultilevel"/>
    <w:lvl w:ilvl="0">
      <w:lvlJc w:val="left"/>
      <w:lvlText w:val="%1."/>
      <w:numFmt w:val="decimal"/>
      <w:start w:val="4"/>
    </w:lvl>
    <w:lvl w:ilvl="1">
      <w:lvlJc w:val="left"/>
      <w:lvlText w:val="%2"/>
      <w:numFmt w:val="lowerLetter"/>
      <w:start w:val="1"/>
    </w:lvl>
  </w:abstractNum>
  <w:abstractNum w:abstractNumId="466">
    <w:nsid w:val="D3BE41C"/>
    <w:multiLevelType w:val="hybridMultilevel"/>
    <w:lvl w:ilvl="0">
      <w:lvlJc w:val="left"/>
      <w:lvlText w:val="%1."/>
      <w:numFmt w:val="decimal"/>
      <w:start w:val="6"/>
    </w:lvl>
    <w:lvl w:ilvl="1">
      <w:lvlJc w:val="left"/>
      <w:lvlText w:val="(%2)"/>
      <w:numFmt w:val="lowerLetter"/>
      <w:start w:val="1"/>
    </w:lvl>
  </w:abstractNum>
  <w:abstractNum w:abstractNumId="467">
    <w:nsid w:val="4CDA15E7"/>
    <w:multiLevelType w:val="hybridMultilevel"/>
    <w:lvl w:ilvl="0">
      <w:lvlJc w:val="left"/>
      <w:lvlText w:val="(%1)"/>
      <w:numFmt w:val="lowerLetter"/>
      <w:start w:val="2"/>
    </w:lvl>
  </w:abstractNum>
  <w:abstractNum w:abstractNumId="468">
    <w:nsid w:val="7BDD6690"/>
    <w:multiLevelType w:val="hybridMultilevel"/>
    <w:lvl w:ilvl="0">
      <w:lvlJc w:val="left"/>
      <w:lvlText w:val="%1"/>
      <w:numFmt w:val="lowerLetter"/>
      <w:start w:val="1"/>
    </w:lvl>
    <w:lvl w:ilvl="1">
      <w:lvlJc w:val="left"/>
      <w:lvlText w:val="%2."/>
      <w:numFmt w:val="decimal"/>
      <w:start w:val="7"/>
    </w:lvl>
  </w:abstractNum>
  <w:abstractNum w:abstractNumId="469">
    <w:nsid w:val="DFB5C5B"/>
    <w:multiLevelType w:val="hybridMultilevel"/>
    <w:lvl w:ilvl="0">
      <w:lvlJc w:val="left"/>
      <w:lvlText w:val="(%1)"/>
      <w:numFmt w:val="lowerLetter"/>
      <w:start w:val="4"/>
    </w:lvl>
    <w:lvl w:ilvl="1">
      <w:lvlJc w:val="left"/>
      <w:lvlText w:val="%2."/>
      <w:numFmt w:val="decimal"/>
      <w:start w:val="10"/>
    </w:lvl>
  </w:abstractNum>
  <w:abstractNum w:abstractNumId="470">
    <w:nsid w:val="6F3E5490"/>
    <w:multiLevelType w:val="hybridMultilevel"/>
    <w:lvl w:ilvl="0">
      <w:lvlJc w:val="left"/>
      <w:lvlText w:val="%1."/>
      <w:numFmt w:val="decimal"/>
      <w:start w:val="11"/>
    </w:lvl>
    <w:lvl w:ilvl="1">
      <w:lvlJc w:val="left"/>
      <w:lvlText w:val="(%2)"/>
      <w:numFmt w:val="lowerLetter"/>
      <w:start w:val="1"/>
    </w:lvl>
  </w:abstractNum>
  <w:abstractNum w:abstractNumId="471">
    <w:nsid w:val="1464BE1E"/>
    <w:multiLevelType w:val="hybridMultilevel"/>
    <w:lvl w:ilvl="0">
      <w:lvlJc w:val="left"/>
      <w:lvlText w:val="%1"/>
      <w:numFmt w:val="decimal"/>
      <w:start w:val="1"/>
    </w:lvl>
    <w:lvl w:ilvl="1">
      <w:lvlJc w:val="left"/>
      <w:lvlText w:val="(%2)"/>
      <w:numFmt w:val="lowerLetter"/>
      <w:start w:val="3"/>
    </w:lvl>
  </w:abstractNum>
  <w:abstractNum w:abstractNumId="472">
    <w:nsid w:val="66BBB7E5"/>
    <w:multiLevelType w:val="hybridMultilevel"/>
    <w:lvl w:ilvl="0">
      <w:lvlJc w:val="left"/>
      <w:lvlText w:val="%1."/>
      <w:numFmt w:val="decimal"/>
      <w:start w:val="14"/>
    </w:lvl>
    <w:lvl w:ilvl="1">
      <w:lvlJc w:val="left"/>
      <w:lvlText w:val="%2"/>
      <w:numFmt w:val="lowerLetter"/>
      <w:start w:val="1"/>
    </w:lvl>
  </w:abstractNum>
  <w:abstractNum w:abstractNumId="473">
    <w:nsid w:val="28168302"/>
    <w:multiLevelType w:val="hybridMultilevel"/>
    <w:lvl w:ilvl="0">
      <w:lvlJc w:val="left"/>
      <w:lvlText w:val="%1."/>
      <w:numFmt w:val="decimal"/>
      <w:start w:val="15"/>
    </w:lvl>
  </w:abstractNum>
  <w:abstractNum w:abstractNumId="474">
    <w:nsid w:val="32A5C7A8"/>
    <w:multiLevelType w:val="hybridMultilevel"/>
    <w:lvl w:ilvl="0">
      <w:lvlJc w:val="left"/>
      <w:lvlText w:val="%1."/>
      <w:numFmt w:val="decimal"/>
      <w:start w:val="17"/>
    </w:lvl>
  </w:abstractNum>
  <w:abstractNum w:abstractNumId="475">
    <w:nsid w:val="3A541011"/>
    <w:multiLevelType w:val="hybridMultilevel"/>
    <w:lvl w:ilvl="0">
      <w:lvlJc w:val="left"/>
      <w:lvlText w:val="%1."/>
      <w:numFmt w:val="decimal"/>
      <w:start w:val="27"/>
    </w:lvl>
  </w:abstractNum>
  <w:abstractNum w:abstractNumId="476">
    <w:nsid w:val="4423C777"/>
    <w:multiLevelType w:val="hybridMultilevel"/>
    <w:lvl w:ilvl="0">
      <w:lvlJc w:val="left"/>
      <w:lvlText w:val="%1."/>
      <w:numFmt w:val="decimal"/>
      <w:start w:val="1"/>
    </w:lvl>
  </w:abstractNum>
  <w:abstractNum w:abstractNumId="477">
    <w:nsid w:val="5F5C6E4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78">
    <w:nsid w:val="7C2A56CD"/>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479">
    <w:nsid w:val="7AB86EE1"/>
    <w:multiLevelType w:val="hybridMultilevel"/>
    <w:lvl w:ilvl="0">
      <w:lvlJc w:val="left"/>
      <w:lvlText w:val="%1"/>
      <w:numFmt w:val="decimal"/>
      <w:start w:val="1"/>
    </w:lvl>
    <w:lvl w:ilvl="1">
      <w:lvlJc w:val="left"/>
      <w:lvlText w:val="(%2)"/>
      <w:numFmt w:val="lowerLetter"/>
      <w:start w:val="4"/>
    </w:lvl>
  </w:abstractNum>
  <w:abstractNum w:abstractNumId="480">
    <w:nsid w:val="B54E53B"/>
    <w:multiLevelType w:val="hybridMultilevel"/>
    <w:lvl w:ilvl="0">
      <w:lvlJc w:val="left"/>
      <w:lvlText w:val="%1."/>
      <w:numFmt w:val="decimal"/>
      <w:start w:val="4"/>
    </w:lvl>
    <w:lvl w:ilvl="1">
      <w:lvlJc w:val="left"/>
      <w:lvlText w:val="(%2)"/>
      <w:numFmt w:val="lowerLetter"/>
      <w:start w:val="1"/>
    </w:lvl>
  </w:abstractNum>
  <w:abstractNum w:abstractNumId="481">
    <w:nsid w:val="2A00487"/>
    <w:multiLevelType w:val="hybridMultilevel"/>
    <w:lvl w:ilvl="0">
      <w:lvlJc w:val="left"/>
      <w:lvlText w:val="(%1)"/>
      <w:numFmt w:val="lowerLetter"/>
      <w:start w:val="2"/>
    </w:lvl>
  </w:abstractNum>
  <w:abstractNum w:abstractNumId="482">
    <w:nsid w:val="6CB1B60"/>
    <w:multiLevelType w:val="hybridMultilevel"/>
    <w:lvl w:ilvl="0">
      <w:lvlJc w:val="left"/>
      <w:lvlText w:val="(%1)"/>
      <w:numFmt w:val="lowerLetter"/>
      <w:start w:val="3"/>
    </w:lvl>
  </w:abstractNum>
  <w:abstractNum w:abstractNumId="483">
    <w:nsid w:val="72EDD574"/>
    <w:multiLevelType w:val="hybridMultilevel"/>
    <w:lvl w:ilvl="0">
      <w:lvlJc w:val="left"/>
      <w:lvlText w:val="%1"/>
      <w:numFmt w:val="lowerLetter"/>
      <w:start w:val="1"/>
    </w:lvl>
    <w:lvl w:ilvl="1">
      <w:lvlJc w:val="left"/>
      <w:lvlText w:val="%2."/>
      <w:numFmt w:val="decimal"/>
      <w:start w:val="6"/>
    </w:lvl>
  </w:abstractNum>
  <w:abstractNum w:abstractNumId="484">
    <w:nsid w:val="7323808A"/>
    <w:multiLevelType w:val="hybridMultilevel"/>
    <w:lvl w:ilvl="0">
      <w:lvlJc w:val="left"/>
      <w:lvlText w:val="(%1)"/>
      <w:numFmt w:val="lowerLetter"/>
      <w:start w:val="4"/>
    </w:lvl>
    <w:lvl w:ilvl="1">
      <w:lvlJc w:val="left"/>
      <w:lvlText w:val="%2."/>
      <w:numFmt w:val="decimal"/>
      <w:start w:val="9"/>
    </w:lvl>
  </w:abstractNum>
  <w:abstractNum w:abstractNumId="485">
    <w:nsid w:val="5157276"/>
    <w:multiLevelType w:val="hybridMultilevel"/>
    <w:lvl w:ilvl="0">
      <w:lvlJc w:val="left"/>
      <w:lvlText w:val="%1."/>
      <w:numFmt w:val="decimal"/>
      <w:start w:val="10"/>
    </w:lvl>
    <w:lvl w:ilvl="1">
      <w:lvlJc w:val="left"/>
      <w:lvlText w:val="(%2)"/>
      <w:numFmt w:val="lowerLetter"/>
      <w:start w:val="1"/>
    </w:lvl>
  </w:abstractNum>
  <w:abstractNum w:abstractNumId="486">
    <w:nsid w:val="35A681DB"/>
    <w:multiLevelType w:val="hybridMultilevel"/>
    <w:lvl w:ilvl="0">
      <w:lvlJc w:val="left"/>
      <w:lvlText w:val="%1"/>
      <w:numFmt w:val="decimal"/>
      <w:start w:val="1"/>
    </w:lvl>
    <w:lvl w:ilvl="1">
      <w:lvlJc w:val="left"/>
      <w:lvlText w:val="(%2)"/>
      <w:numFmt w:val="lowerLetter"/>
      <w:start w:val="3"/>
    </w:lvl>
  </w:abstractNum>
  <w:abstractNum w:abstractNumId="487">
    <w:nsid w:val="1786C974"/>
    <w:multiLevelType w:val="hybridMultilevel"/>
    <w:lvl w:ilvl="0">
      <w:lvlJc w:val="left"/>
      <w:lvlText w:val="%1."/>
      <w:numFmt w:val="decimal"/>
      <w:start w:val="13"/>
    </w:lvl>
    <w:lvl w:ilvl="1">
      <w:lvlJc w:val="left"/>
      <w:lvlText w:val="%2"/>
      <w:numFmt w:val="lowerLetter"/>
      <w:start w:val="1"/>
    </w:lvl>
  </w:abstractNum>
  <w:abstractNum w:abstractNumId="488">
    <w:nsid w:val="1C2427A1"/>
    <w:multiLevelType w:val="hybridMultilevel"/>
    <w:lvl w:ilvl="0">
      <w:lvlJc w:val="left"/>
      <w:lvlText w:val="%1"/>
      <w:numFmt w:val="lowerRoman"/>
      <w:start w:val="1"/>
    </w:lvl>
    <w:lvl w:ilvl="1">
      <w:lvlJc w:val="left"/>
      <w:lvlText w:val="%2."/>
      <w:numFmt w:val="decimal"/>
      <w:start w:val="14"/>
    </w:lvl>
  </w:abstractNum>
  <w:abstractNum w:abstractNumId="489">
    <w:nsid w:val="63A24D68"/>
    <w:multiLevelType w:val="hybridMultilevel"/>
    <w:lvl w:ilvl="0">
      <w:lvlJc w:val="left"/>
      <w:lvlText w:val="(%1)"/>
      <w:numFmt w:val="lowerRoman"/>
      <w:start w:val="3"/>
    </w:lvl>
    <w:lvl w:ilvl="1">
      <w:lvlJc w:val="left"/>
      <w:lvlText w:val="%2."/>
      <w:numFmt w:val="decimal"/>
      <w:start w:val="15"/>
    </w:lvl>
  </w:abstractNum>
  <w:abstractNum w:abstractNumId="490">
    <w:nsid w:val="4FB7A02A"/>
    <w:multiLevelType w:val="hybridMultilevel"/>
    <w:lvl w:ilvl="0">
      <w:lvlJc w:val="left"/>
      <w:lvlText w:val="%1."/>
      <w:numFmt w:val="decimal"/>
      <w:start w:val="17"/>
    </w:lvl>
  </w:abstractNum>
  <w:abstractNum w:abstractNumId="491">
    <w:nsid w:val="96CF728"/>
    <w:multiLevelType w:val="hybridMultilevel"/>
    <w:lvl w:ilvl="0">
      <w:lvlJc w:val="left"/>
      <w:lvlText w:val="%1."/>
      <w:numFmt w:val="decimal"/>
      <w:start w:val="27"/>
    </w:lvl>
  </w:abstractNum>
  <w:abstractNum w:abstractNumId="492">
    <w:nsid w:val="3B121183"/>
    <w:multiLevelType w:val="hybridMultilevel"/>
    <w:lvl w:ilvl="0">
      <w:lvlJc w:val="left"/>
      <w:lvlText w:val="%1."/>
      <w:numFmt w:val="decimal"/>
      <w:start w:val="1"/>
    </w:lvl>
  </w:abstractNum>
  <w:abstractNum w:abstractNumId="493">
    <w:nsid w:val="3459648F"/>
    <w:multiLevelType w:val="hybridMultilevel"/>
    <w:lvl w:ilvl="0">
      <w:lvlJc w:val="left"/>
      <w:lvlText w:val="%1."/>
      <w:numFmt w:val="decimal"/>
      <w:start w:val="3"/>
    </w:lvl>
  </w:abstractNum>
  <w:abstractNum w:abstractNumId="494">
    <w:nsid w:val="3ADF331D"/>
    <w:multiLevelType w:val="hybridMultilevel"/>
    <w:lvl w:ilvl="0">
      <w:lvlJc w:val="left"/>
      <w:lvlText w:val="%1."/>
      <w:numFmt w:val="decimal"/>
      <w:start w:val="4"/>
    </w:lvl>
  </w:abstractNum>
  <w:abstractNum w:abstractNumId="495">
    <w:nsid w:val="4D08A9E4"/>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496">
    <w:nsid w:val="6AF2BB3A"/>
    <w:multiLevelType w:val="hybridMultilevel"/>
    <w:lvl w:ilvl="0">
      <w:lvlJc w:val="left"/>
      <w:lvlText w:val="%1"/>
      <w:numFmt w:val="decimal"/>
      <w:start w:val="1"/>
    </w:lvl>
    <w:lvl w:ilvl="1">
      <w:lvlJc w:val="left"/>
      <w:lvlText w:val="(%2)"/>
      <w:numFmt w:val="lowerLetter"/>
      <w:start w:val="2"/>
    </w:lvl>
  </w:abstractNum>
  <w:abstractNum w:abstractNumId="497">
    <w:nsid w:val="481B1739"/>
    <w:multiLevelType w:val="hybridMultilevel"/>
    <w:lvl w:ilvl="0">
      <w:lvlJc w:val="left"/>
      <w:lvlText w:val="%1."/>
      <w:numFmt w:val="decimal"/>
      <w:start w:val="9"/>
    </w:lvl>
    <w:lvl w:ilvl="1">
      <w:lvlJc w:val="left"/>
      <w:lvlText w:val="%2"/>
      <w:numFmt w:val="lowerLetter"/>
      <w:start w:val="1"/>
    </w:lvl>
  </w:abstractNum>
  <w:abstractNum w:abstractNumId="498">
    <w:nsid w:val="19E2BFCC"/>
    <w:multiLevelType w:val="hybridMultilevel"/>
    <w:lvl w:ilvl="0">
      <w:lvlJc w:val="left"/>
      <w:lvlText w:val="%1."/>
      <w:numFmt w:val="decimal"/>
      <w:start w:val="11"/>
    </w:lvl>
  </w:abstractNum>
  <w:abstractNum w:abstractNumId="499">
    <w:nsid w:val="66D021CA"/>
    <w:multiLevelType w:val="hybridMultilevel"/>
    <w:lvl w:ilvl="0">
      <w:lvlJc w:val="left"/>
      <w:lvlText w:val="%1."/>
      <w:numFmt w:val="decimal"/>
      <w:start w:val="21"/>
    </w:lvl>
  </w:abstractNum>
  <w:abstractNum w:abstractNumId="500">
    <w:nsid w:val="56167394"/>
    <w:multiLevelType w:val="hybridMultilevel"/>
    <w:lvl w:ilvl="0">
      <w:lvlJc w:val="left"/>
      <w:lvlText w:val="1"/>
      <w:numFmt w:val="bullet"/>
      <w:start w:val="1"/>
    </w:lvl>
  </w:abstractNum>
  <w:abstractNum w:abstractNumId="501">
    <w:nsid w:val="921145C"/>
    <w:multiLevelType w:val="hybridMultilevel"/>
    <w:lvl w:ilvl="0">
      <w:lvlJc w:val="left"/>
      <w:lvlText w:val="(%1)"/>
      <w:numFmt w:val="lowerRoman"/>
      <w:start w:val="2"/>
    </w:lvl>
  </w:abstractNum>
  <w:abstractNum w:abstractNumId="502">
    <w:nsid w:val="7B34DFE8"/>
    <w:multiLevelType w:val="hybridMultilevel"/>
    <w:lvl w:ilvl="0">
      <w:lvlJc w:val="left"/>
      <w:lvlText w:val="(%1)"/>
      <w:numFmt w:val="upperLetter"/>
      <w:start w:val="1"/>
    </w:lvl>
  </w:abstractNum>
  <w:abstractNum w:abstractNumId="503">
    <w:nsid w:val="3CD22B79"/>
    <w:multiLevelType w:val="hybridMultilevel"/>
    <w:lvl w:ilvl="0">
      <w:lvlJc w:val="left"/>
      <w:lvlText w:val="(%1)"/>
      <w:numFmt w:val="lowerRoman"/>
      <w:start w:val="2"/>
    </w:lvl>
  </w:abstractNum>
  <w:abstractNum w:abstractNumId="504">
    <w:nsid w:val="3137975E"/>
    <w:multiLevelType w:val="hybridMultilevel"/>
    <w:lvl w:ilvl="0">
      <w:lvlJc w:val="left"/>
      <w:lvlText w:val="(%1)"/>
      <w:numFmt w:val="lowerRoman"/>
      <w:start w:val="2"/>
    </w:lvl>
  </w:abstractNum>
  <w:abstractNum w:abstractNumId="505">
    <w:nsid w:val="2DDAA791"/>
    <w:multiLevelType w:val="hybridMultilevel"/>
    <w:lvl w:ilvl="0">
      <w:lvlJc w:val="left"/>
      <w:lvlText w:val="(%1)"/>
      <w:numFmt w:val="lowerRoman"/>
      <w:start w:val="2"/>
    </w:lvl>
  </w:abstractNum>
  <w:abstractNum w:abstractNumId="506">
    <w:nsid w:val="77263B8A"/>
    <w:multiLevelType w:val="hybridMultilevel"/>
    <w:lvl w:ilvl="0">
      <w:lvlJc w:val="left"/>
      <w:lvlText w:val="☐"/>
      <w:numFmt w:val="bullet"/>
      <w:start w:val="1"/>
    </w:lvl>
  </w:abstractNum>
  <w:abstractNum w:abstractNumId="507">
    <w:nsid w:val="755B5ED6"/>
    <w:multiLevelType w:val="hybridMultilevel"/>
    <w:lvl w:ilvl="0">
      <w:lvlJc w:val="left"/>
      <w:lvlText w:val="☐"/>
      <w:numFmt w:val="bullet"/>
      <w:start w:val="1"/>
    </w:lvl>
  </w:abstractNum>
  <w:abstractNum w:abstractNumId="508">
    <w:nsid w:val="D3715DE"/>
    <w:multiLevelType w:val="hybridMultilevel"/>
    <w:lvl w:ilvl="0">
      <w:lvlJc w:val="left"/>
      <w:lvlText w:val="☐"/>
      <w:numFmt w:val="bullet"/>
      <w:start w:val="1"/>
    </w:lvl>
  </w:abstractNum>
  <w:abstractNum w:abstractNumId="509">
    <w:nsid w:val="73509257"/>
    <w:multiLevelType w:val="hybridMultilevel"/>
    <w:lvl w:ilvl="0">
      <w:lvlJc w:val="left"/>
      <w:lvlText w:val="☐"/>
      <w:numFmt w:val="bullet"/>
      <w:start w:val="1"/>
    </w:lvl>
  </w:abstractNum>
  <w:abstractNum w:abstractNumId="510">
    <w:nsid w:val="7013CDB7"/>
    <w:multiLevelType w:val="hybridMultilevel"/>
    <w:lvl w:ilvl="0">
      <w:lvlJc w:val="left"/>
      <w:lvlText w:val="☐"/>
      <w:numFmt w:val="bullet"/>
      <w:start w:val="1"/>
    </w:lvl>
  </w:abstractNum>
  <w:abstractNum w:abstractNumId="511">
    <w:nsid w:val="188BFB19"/>
    <w:multiLevelType w:val="hybridMultilevel"/>
    <w:lvl w:ilvl="0">
      <w:lvlJc w:val="left"/>
      <w:lvlText w:val="%1."/>
      <w:numFmt w:val="decimal"/>
      <w:start w:val="1"/>
    </w:lvl>
  </w:abstractNum>
  <w:abstractNum w:abstractNumId="512">
    <w:nsid w:val="75F096DF"/>
    <w:multiLevelType w:val="hybridMultilevel"/>
    <w:lvl w:ilvl="0">
      <w:lvlJc w:val="left"/>
      <w:lvlText w:val="%1."/>
      <w:numFmt w:val="decimal"/>
      <w:start w:val="7"/>
    </w:lvl>
  </w:abstractNum>
  <w:abstractNum w:abstractNumId="513">
    <w:nsid w:val="76DEE918"/>
    <w:multiLevelType w:val="hybridMultilevel"/>
    <w:lvl w:ilvl="0">
      <w:lvlJc w:val="left"/>
      <w:lvlText w:val="%1."/>
      <w:numFmt w:val="decimal"/>
      <w:start w:val="13"/>
    </w:lvl>
  </w:abstractNum>
  <w:abstractNum w:abstractNumId="514">
    <w:nsid w:val="B79D08D"/>
    <w:multiLevelType w:val="hybridMultilevel"/>
    <w:lvl w:ilvl="0">
      <w:lvlJc w:val="left"/>
      <w:lvlText w:val="•"/>
      <w:numFmt w:val="bullet"/>
      <w:start w:val="1"/>
    </w:lvl>
  </w:abstractNum>
  <w:abstractNum w:abstractNumId="515">
    <w:nsid w:val="69141769"/>
    <w:multiLevelType w:val="hybridMultilevel"/>
    <w:lvl w:ilvl="0">
      <w:lvlJc w:val="left"/>
      <w:lvlText w:val="•"/>
      <w:numFmt w:val="bullet"/>
      <w:start w:val="1"/>
    </w:lvl>
  </w:abstractNum>
  <w:abstractNum w:abstractNumId="516">
    <w:nsid w:val="7BF45B8E"/>
    <w:multiLevelType w:val="hybridMultilevel"/>
    <w:lvl w:ilvl="0">
      <w:lvlJc w:val="left"/>
      <w:lvlText w:val="•"/>
      <w:numFmt w:val="bullet"/>
      <w:start w:val="1"/>
    </w:lvl>
  </w:abstractNum>
  <w:abstractNum w:abstractNumId="517">
    <w:nsid w:val="41205269"/>
    <w:multiLevelType w:val="hybridMultilevel"/>
    <w:lvl w:ilvl="0">
      <w:lvlJc w:val="left"/>
      <w:lvlText w:val="•"/>
      <w:numFmt w:val="bullet"/>
      <w:start w:val="1"/>
    </w:lvl>
  </w:abstractNum>
  <w:abstractNum w:abstractNumId="518">
    <w:nsid w:val="9AE0DD"/>
    <w:multiLevelType w:val="hybridMultilevel"/>
    <w:lvl w:ilvl="0">
      <w:lvlJc w:val="left"/>
      <w:lvlText w:val="•"/>
      <w:numFmt w:val="bullet"/>
      <w:start w:val="1"/>
    </w:lvl>
  </w:abstractNum>
  <w:abstractNum w:abstractNumId="519">
    <w:nsid w:val="1818832F"/>
    <w:multiLevelType w:val="hybridMultilevel"/>
    <w:lvl w:ilvl="0">
      <w:lvlJc w:val="left"/>
      <w:lvlText w:val="1"/>
      <w:numFmt w:val="bullet"/>
      <w:start w:val="1"/>
    </w:lvl>
  </w:abstractNum>
  <w:abstractNum w:abstractNumId="520">
    <w:nsid w:val="24C29FD1"/>
    <w:multiLevelType w:val="hybridMultilevel"/>
    <w:lvl w:ilvl="0">
      <w:lvlJc w:val="left"/>
      <w:lvlText w:val="(%1)"/>
      <w:numFmt w:val="lowerLetter"/>
      <w:start w:val="2"/>
    </w:lvl>
  </w:abstractNum>
  <w:abstractNum w:abstractNumId="521">
    <w:nsid w:val="50528108"/>
    <w:multiLevelType w:val="hybridMultilevel"/>
    <w:lvl w:ilvl="0">
      <w:lvlJc w:val="left"/>
      <w:lvlText w:val="•"/>
      <w:numFmt w:val="bullet"/>
      <w:start w:val="1"/>
    </w:lvl>
    <w:lvl w:ilvl="1">
      <w:lvlJc w:val="left"/>
      <w:lvlText w:val="•"/>
      <w:numFmt w:val="bullet"/>
      <w:start w:val="1"/>
    </w:lvl>
  </w:abstractNum>
  <w:abstractNum w:abstractNumId="522">
    <w:nsid w:val="21857A57"/>
    <w:multiLevelType w:val="hybridMultilevel"/>
    <w:lvl w:ilvl="0">
      <w:lvlJc w:val="left"/>
      <w:lvlText w:val="•"/>
      <w:numFmt w:val="bullet"/>
      <w:start w:val="1"/>
    </w:lvl>
  </w:abstractNum>
  <w:abstractNum w:abstractNumId="523">
    <w:nsid w:val="5FD4B154"/>
    <w:multiLevelType w:val="hybridMultilevel"/>
    <w:lvl w:ilvl="0">
      <w:lvlJc w:val="left"/>
      <w:lvlText w:val="2"/>
      <w:numFmt w:val="bullet"/>
      <w:start w:val="1"/>
    </w:lvl>
  </w:abstractNum>
  <w:abstractNum w:abstractNumId="524">
    <w:nsid w:val="4ABE597"/>
    <w:multiLevelType w:val="hybridMultilevel"/>
    <w:lvl w:ilvl="0">
      <w:lvlJc w:val="left"/>
      <w:lvlText w:val="3"/>
      <w:numFmt w:val="bullet"/>
      <w:start w:val="1"/>
    </w:lvl>
  </w:abstractNum>
  <w:abstractNum w:abstractNumId="525">
    <w:nsid w:val="5C64AD75"/>
    <w:multiLevelType w:val="hybridMultilevel"/>
    <w:lvl w:ilvl="0">
      <w:lvlJc w:val="left"/>
      <w:lvlText w:val="(%1)"/>
      <w:numFmt w:val="lowerRoman"/>
      <w:start w:val="2"/>
    </w:lvl>
  </w:abstractNum>
  <w:abstractNum w:abstractNumId="526">
    <w:nsid w:val="2CDD5B39"/>
    <w:multiLevelType w:val="hybridMultilevel"/>
    <w:lvl w:ilvl="0">
      <w:lvlJc w:val="left"/>
      <w:lvlText w:val="(%1)"/>
      <w:numFmt w:val="lowerLetter"/>
      <w:start w:val="1"/>
    </w:lvl>
  </w:abstractNum>
  <w:abstractNum w:abstractNumId="527">
    <w:nsid w:val="6F9EA0D1"/>
    <w:multiLevelType w:val="hybridMultilevel"/>
    <w:lvl w:ilvl="0">
      <w:lvlJc w:val="left"/>
      <w:lvlText w:val="☐"/>
      <w:numFmt w:val="bullet"/>
      <w:start w:val="1"/>
    </w:lvl>
  </w:abstractNum>
  <w:abstractNum w:abstractNumId="528">
    <w:nsid w:val="247FC4AE"/>
    <w:multiLevelType w:val="hybridMultilevel"/>
    <w:lvl w:ilvl="0">
      <w:lvlJc w:val="left"/>
      <w:lvlText w:val="☐"/>
      <w:numFmt w:val="bullet"/>
      <w:start w:val="1"/>
    </w:lvl>
  </w:abstractNum>
  <w:abstractNum w:abstractNumId="529">
    <w:nsid w:val="46C01B05"/>
    <w:multiLevelType w:val="hybridMultilevel"/>
    <w:lvl w:ilvl="0">
      <w:lvlJc w:val="left"/>
      <w:lvlText w:val="%1."/>
      <w:numFmt w:val="decimal"/>
      <w:start w:val="1"/>
    </w:lvl>
  </w:abstractNum>
  <w:abstractNum w:abstractNumId="530">
    <w:nsid w:val="566EC29B"/>
    <w:multiLevelType w:val="hybridMultilevel"/>
    <w:lvl w:ilvl="0">
      <w:lvlJc w:val="left"/>
      <w:lvlText w:val="%1."/>
      <w:numFmt w:val="decimal"/>
      <w:start w:val="7"/>
    </w:lvl>
  </w:abstractNum>
  <w:abstractNum w:abstractNumId="531">
    <w:nsid w:val="7A963843"/>
    <w:multiLevelType w:val="hybridMultilevel"/>
    <w:lvl w:ilvl="0">
      <w:lvlJc w:val="left"/>
      <w:lvlText w:val="•"/>
      <w:numFmt w:val="bullet"/>
      <w:start w:val="1"/>
    </w:lvl>
  </w:abstractNum>
  <w:abstractNum w:abstractNumId="532">
    <w:nsid w:val="4FE12F61"/>
    <w:multiLevelType w:val="hybridMultilevel"/>
    <w:lvl w:ilvl="0">
      <w:lvlJc w:val="left"/>
      <w:lvlText w:val="•"/>
      <w:numFmt w:val="bullet"/>
      <w:start w:val="1"/>
    </w:lvl>
  </w:abstractNum>
  <w:abstractNum w:abstractNumId="533">
    <w:nsid w:val="51A3A284"/>
    <w:multiLevelType w:val="hybridMultilevel"/>
    <w:lvl w:ilvl="0">
      <w:lvlJc w:val="left"/>
      <w:lvlText w:val="•"/>
      <w:numFmt w:val="bullet"/>
      <w:start w:val="1"/>
    </w:lvl>
  </w:abstractNum>
  <w:abstractNum w:abstractNumId="534">
    <w:nsid w:val="376863BC"/>
    <w:multiLevelType w:val="hybridMultilevel"/>
    <w:lvl w:ilvl="0">
      <w:lvlJc w:val="left"/>
      <w:lvlText w:val="•"/>
      <w:numFmt w:val="bullet"/>
      <w:start w:val="1"/>
    </w:lvl>
  </w:abstractNum>
  <w:abstractNum w:abstractNumId="535">
    <w:nsid w:val="118C6C0"/>
    <w:multiLevelType w:val="hybridMultilevel"/>
    <w:lvl w:ilvl="0">
      <w:lvlJc w:val="left"/>
      <w:lvlText w:val="•"/>
      <w:numFmt w:val="bullet"/>
      <w:start w:val="1"/>
    </w:lvl>
  </w:abstractNum>
  <w:abstractNum w:abstractNumId="536">
    <w:nsid w:val="7F7E4A15"/>
    <w:multiLevelType w:val="hybridMultilevel"/>
    <w:lvl w:ilvl="0">
      <w:lvlJc w:val="left"/>
      <w:lvlText w:val="1"/>
      <w:numFmt w:val="bullet"/>
      <w:start w:val="1"/>
    </w:lvl>
  </w:abstractNum>
  <w:abstractNum w:abstractNumId="537">
    <w:nsid w:val="2E8E9F47"/>
    <w:multiLevelType w:val="hybridMultilevel"/>
    <w:lvl w:ilvl="0">
      <w:lvlJc w:val="left"/>
      <w:lvlText w:val="(%1)"/>
      <w:numFmt w:val="lowerLetter"/>
      <w:start w:val="2"/>
    </w:lvl>
  </w:abstractNum>
  <w:abstractNum w:abstractNumId="538">
    <w:nsid w:val="76742596"/>
    <w:multiLevelType w:val="hybridMultilevel"/>
    <w:lvl w:ilvl="0">
      <w:lvlJc w:val="left"/>
      <w:lvlText w:val="•"/>
      <w:numFmt w:val="bullet"/>
      <w:start w:val="1"/>
    </w:lvl>
    <w:lvl w:ilvl="1">
      <w:lvlJc w:val="left"/>
      <w:lvlText w:val="•"/>
      <w:numFmt w:val="bullet"/>
      <w:start w:val="1"/>
    </w:lvl>
  </w:abstractNum>
  <w:abstractNum w:abstractNumId="539">
    <w:nsid w:val="CB55FF3"/>
    <w:multiLevelType w:val="hybridMultilevel"/>
    <w:lvl w:ilvl="0">
      <w:lvlJc w:val="left"/>
      <w:lvlText w:val="•"/>
      <w:numFmt w:val="bullet"/>
      <w:start w:val="1"/>
    </w:lvl>
  </w:abstractNum>
  <w:abstractNum w:abstractNumId="540">
    <w:nsid w:val="21DF319E"/>
    <w:multiLevelType w:val="hybridMultilevel"/>
    <w:lvl w:ilvl="0">
      <w:lvlJc w:val="left"/>
      <w:lvlText w:val="2"/>
      <w:numFmt w:val="bullet"/>
      <w:start w:val="1"/>
    </w:lvl>
  </w:abstractNum>
  <w:abstractNum w:abstractNumId="541">
    <w:nsid w:val="6687F34D"/>
    <w:multiLevelType w:val="hybridMultilevel"/>
    <w:lvl w:ilvl="0">
      <w:lvlJc w:val="left"/>
      <w:lvlText w:val="3"/>
      <w:numFmt w:val="bullet"/>
      <w:start w:val="1"/>
    </w:lvl>
  </w:abstractNum>
  <w:abstractNum w:abstractNumId="542">
    <w:nsid w:val="25415B0C"/>
    <w:multiLevelType w:val="hybridMultilevel"/>
    <w:lvl w:ilvl="0">
      <w:lvlJc w:val="left"/>
      <w:lvlText w:val="(%1)"/>
      <w:numFmt w:val="lowerLetter"/>
      <w:start w:val="4"/>
    </w:lvl>
  </w:abstractNum>
  <w:abstractNum w:abstractNumId="543">
    <w:nsid w:val="17CFC87D"/>
    <w:multiLevelType w:val="hybridMultilevel"/>
    <w:lvl w:ilvl="0">
      <w:lvlJc w:val="left"/>
      <w:lvlText w:val="(%1)"/>
      <w:numFmt w:val="lowerRoman"/>
      <w:start w:val="2"/>
    </w:lvl>
  </w:abstractNum>
  <w:abstractNum w:abstractNumId="544">
    <w:nsid w:val="5D66DC65"/>
    <w:multiLevelType w:val="hybridMultilevel"/>
    <w:lvl w:ilvl="0">
      <w:lvlJc w:val="left"/>
      <w:lvlText w:val="(%1)"/>
      <w:numFmt w:val="lowerRoman"/>
      <w:start w:val="2"/>
    </w:lvl>
  </w:abstractNum>
  <w:abstractNum w:abstractNumId="545">
    <w:nsid w:val="30BB2B99"/>
    <w:multiLevelType w:val="hybridMultilevel"/>
    <w:lvl w:ilvl="0">
      <w:lvlJc w:val="left"/>
      <w:lvlText w:val="(%1)"/>
      <w:numFmt w:val="lowerLetter"/>
      <w:start w:val="11"/>
    </w:lvl>
  </w:abstractNum>
  <w:abstractNum w:abstractNumId="546">
    <w:nsid w:val="E3DFE6"/>
    <w:multiLevelType w:val="hybridMultilevel"/>
    <w:lvl w:ilvl="0">
      <w:lvlJc w:val="left"/>
      <w:lvlText w:val="(%1)"/>
      <w:numFmt w:val="decimal"/>
      <w:start w:val="1"/>
    </w:lvl>
  </w:abstractNum>
  <w:abstractNum w:abstractNumId="547">
    <w:nsid w:val="595B37F3"/>
    <w:multiLevelType w:val="hybridMultilevel"/>
    <w:lvl w:ilvl="0">
      <w:lvlJc w:val="left"/>
      <w:lvlText w:val="(%1)"/>
      <w:numFmt w:val="decimal"/>
      <w:start w:val="5"/>
    </w:lvl>
  </w:abstractNum>
  <w:abstractNum w:abstractNumId="548">
    <w:nsid w:val="71DB7E02"/>
    <w:multiLevelType w:val="hybridMultilevel"/>
    <w:lvl w:ilvl="0">
      <w:lvlJc w:val="left"/>
      <w:lvlText w:val="(%1)"/>
      <w:numFmt w:val="decimal"/>
      <w:start w:val="6"/>
    </w:lvl>
  </w:abstractNum>
  <w:abstractNum w:abstractNumId="549">
    <w:nsid w:val="17EC0C4"/>
    <w:multiLevelType w:val="hybridMultilevel"/>
    <w:lvl w:ilvl="0">
      <w:lvlJc w:val="left"/>
      <w:lvlText w:val="(%1)"/>
      <w:numFmt w:val="decimal"/>
      <w:start w:val="7"/>
    </w:lvl>
  </w:abstractNum>
  <w:abstractNum w:abstractNumId="550">
    <w:nsid w:val="7173BB22"/>
    <w:multiLevelType w:val="hybridMultilevel"/>
    <w:lvl w:ilvl="0">
      <w:lvlJc w:val="left"/>
      <w:lvlText w:val="%1."/>
      <w:numFmt w:val="decimal"/>
      <w:start w:val="1"/>
    </w:lvl>
    <w:lvl w:ilvl="1">
      <w:lvlJc w:val="left"/>
      <w:lvlText w:val="%2."/>
      <w:numFmt w:val="lowerLetter"/>
      <w:start w:val="1"/>
    </w:lvl>
  </w:abstractNum>
  <w:abstractNum w:abstractNumId="551">
    <w:nsid w:val="169E1DD3"/>
    <w:multiLevelType w:val="hybridMultilevel"/>
    <w:lvl w:ilvl="0">
      <w:lvlJc w:val="left"/>
      <w:lvlText w:val="%1"/>
      <w:numFmt w:val="decimal"/>
      <w:start w:val="1"/>
    </w:lvl>
    <w:lvl w:ilvl="1">
      <w:lvlJc w:val="left"/>
      <w:lvlText w:val="%2."/>
      <w:numFmt w:val="lowerLetter"/>
      <w:start w:val="3"/>
    </w:lvl>
  </w:abstractNum>
  <w:abstractNum w:abstractNumId="552">
    <w:nsid w:val="51D141CC"/>
    <w:multiLevelType w:val="hybridMultilevel"/>
    <w:lvl w:ilvl="0">
      <w:lvlJc w:val="left"/>
      <w:lvlText w:val="%1."/>
      <w:numFmt w:val="decimal"/>
      <w:start w:val="2"/>
    </w:lvl>
    <w:lvl w:ilvl="1">
      <w:lvlJc w:val="left"/>
      <w:lvlText w:val="%2"/>
      <w:numFmt w:val="lowerLetter"/>
      <w:start w:val="1"/>
    </w:lvl>
  </w:abstractNum>
  <w:abstractNum w:abstractNumId="553">
    <w:nsid w:val="12F9357A"/>
    <w:multiLevelType w:val="hybridMultilevel"/>
    <w:lvl w:ilvl="0">
      <w:lvlJc w:val="left"/>
      <w:lvlText w:val="%1."/>
      <w:numFmt w:val="decimal"/>
      <w:start w:val="4"/>
    </w:lvl>
  </w:abstractNum>
  <w:abstractNum w:abstractNumId="554">
    <w:nsid w:val="7672CF28"/>
    <w:multiLevelType w:val="hybridMultilevel"/>
    <w:lvl w:ilvl="0">
      <w:lvlJc w:val="left"/>
      <w:lvlText w:val="%1."/>
      <w:numFmt w:val="decimal"/>
      <w:start w:val="5"/>
    </w:lvl>
  </w:abstractNum>
  <w:abstractNum w:abstractNumId="555">
    <w:nsid w:val="567D2763"/>
    <w:multiLevelType w:val="hybridMultilevel"/>
    <w:lvl w:ilvl="0">
      <w:lvlJc w:val="left"/>
      <w:lvlText w:val="%1."/>
      <w:numFmt w:val="decimal"/>
      <w:start w:val="7"/>
    </w:lvl>
  </w:abstractNum>
  <w:abstractNum w:abstractNumId="556">
    <w:nsid w:val="6F5DE2EF"/>
    <w:multiLevelType w:val="hybridMultilevel"/>
    <w:lvl w:ilvl="0">
      <w:lvlJc w:val="left"/>
      <w:lvlText w:val="%1."/>
      <w:numFmt w:val="decimal"/>
      <w:start w:val="9"/>
    </w:lvl>
  </w:abstractNum>
  <w:abstractNum w:abstractNumId="557">
    <w:nsid w:val="23502A61"/>
    <w:multiLevelType w:val="hybridMultilevel"/>
    <w:lvl w:ilvl="0">
      <w:lvlJc w:val="left"/>
      <w:lvlText w:val="%1."/>
      <w:numFmt w:val="decimal"/>
      <w:start w:val="11"/>
    </w:lvl>
  </w:abstractNum>
  <w:abstractNum w:abstractNumId="558">
    <w:nsid w:val="461BC834"/>
    <w:multiLevelType w:val="hybridMultilevel"/>
    <w:lvl w:ilvl="0">
      <w:lvlJc w:val="left"/>
      <w:lvlText w:val="%1."/>
      <w:numFmt w:val="decimal"/>
      <w:start w:val="1"/>
    </w:lvl>
    <w:lvl w:ilvl="1">
      <w:lvlJc w:val="left"/>
      <w:lvlText w:val="%2."/>
      <w:numFmt w:val="lowerLetter"/>
      <w:start w:val="1"/>
    </w:lvl>
  </w:abstractNum>
  <w:abstractNum w:abstractNumId="559">
    <w:nsid w:val="13DDA79D"/>
    <w:multiLevelType w:val="hybridMultilevel"/>
    <w:lvl w:ilvl="0">
      <w:lvlJc w:val="left"/>
      <w:lvlText w:val="%1."/>
      <w:numFmt w:val="lowerLetter"/>
      <w:start w:val="2"/>
    </w:lvl>
  </w:abstractNum>
  <w:abstractNum w:abstractNumId="560">
    <w:nsid w:val="6A104566"/>
    <w:multiLevelType w:val="hybridMultilevel"/>
    <w:lvl w:ilvl="0">
      <w:lvlJc w:val="left"/>
      <w:lvlText w:val="%1."/>
      <w:numFmt w:val="decimal"/>
      <w:start w:val="3"/>
    </w:lvl>
  </w:abstractNum>
  <w:abstractNum w:abstractNumId="561">
    <w:nsid w:val="1C8A8ACF"/>
    <w:multiLevelType w:val="hybridMultilevel"/>
    <w:lvl w:ilvl="0">
      <w:lvlJc w:val="left"/>
      <w:lvlText w:val="%1."/>
      <w:numFmt w:val="decimal"/>
      <w:start w:val="6"/>
    </w:lvl>
  </w:abstractNum>
  <w:abstractNum w:abstractNumId="562">
    <w:nsid w:val="E73DFE0"/>
    <w:multiLevelType w:val="hybridMultilevel"/>
    <w:lvl w:ilvl="0">
      <w:lvlJc w:val="left"/>
      <w:lvlText w:val="%1."/>
      <w:numFmt w:val="decimal"/>
      <w:start w:val="7"/>
    </w:lvl>
  </w:abstractNum>
  <w:abstractNum w:abstractNumId="563">
    <w:nsid w:val="39F174C7"/>
    <w:multiLevelType w:val="hybridMultilevel"/>
    <w:lvl w:ilvl="0">
      <w:lvlJc w:val="left"/>
      <w:lvlText w:val="%1."/>
      <w:numFmt w:val="decimal"/>
      <w:start w:val="10"/>
    </w:lvl>
  </w:abstractNum>
  <w:abstractNum w:abstractNumId="564">
    <w:nsid w:val="6E2E2D53"/>
    <w:multiLevelType w:val="hybridMultilevel"/>
    <w:lvl w:ilvl="0">
      <w:lvlJc w:val="left"/>
      <w:lvlText w:val="%1."/>
      <w:numFmt w:val="decimal"/>
      <w:start w:val="12"/>
    </w:lvl>
  </w:abstractNum>
  <w:abstractNum w:abstractNumId="565">
    <w:nsid w:val="45DC439D"/>
    <w:multiLevelType w:val="hybridMultilevel"/>
    <w:lvl w:ilvl="0">
      <w:lvlJc w:val="left"/>
      <w:lvlText w:val="%1."/>
      <w:numFmt w:val="decimal"/>
      <w:start w:val="16"/>
    </w:lvl>
  </w:abstractNum>
  <w:abstractNum w:abstractNumId="566">
    <w:nsid w:val="3B0A3B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jpeg"/><Relationship Id="rId1075" Type="http://schemas.openxmlformats.org/officeDocument/2006/relationships/image" Target="media/image1068.png"/><Relationship Id="rId1076" Type="http://schemas.openxmlformats.org/officeDocument/2006/relationships/image" Target="media/image1069.jpeg"/><Relationship Id="rId1077" Type="http://schemas.openxmlformats.org/officeDocument/2006/relationships/image" Target="media/image1070.png"/><Relationship Id="rId1078" Type="http://schemas.openxmlformats.org/officeDocument/2006/relationships/image" Target="media/image1071.jpeg"/><Relationship Id="rId1079" Type="http://schemas.openxmlformats.org/officeDocument/2006/relationships/image" Target="media/image1072.png"/><Relationship Id="rId1080" Type="http://schemas.openxmlformats.org/officeDocument/2006/relationships/image" Target="media/image1073.jpeg"/><Relationship Id="rId1081" Type="http://schemas.openxmlformats.org/officeDocument/2006/relationships/image" Target="media/image1074.png"/><Relationship Id="rId1082" Type="http://schemas.openxmlformats.org/officeDocument/2006/relationships/image" Target="media/image1075.jpeg"/><Relationship Id="rId1083" Type="http://schemas.openxmlformats.org/officeDocument/2006/relationships/image" Target="media/image1076.png"/><Relationship Id="rId1084" Type="http://schemas.openxmlformats.org/officeDocument/2006/relationships/image" Target="media/image1077.jpeg"/><Relationship Id="rId1085" Type="http://schemas.openxmlformats.org/officeDocument/2006/relationships/image" Target="media/image1078.png"/><Relationship Id="rId1086" Type="http://schemas.openxmlformats.org/officeDocument/2006/relationships/image" Target="media/image1079.jpe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2025-05-10T05:32:46Z</dcterms:created>
  <dcterms:modified xsi:type="dcterms:W3CDTF">2025-05-10T05:32:46Z</dcterms:modified>
</cp:coreProperties>
</file>