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Duffy Sean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OMADA HEALTH,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 GATEWAY BLVD, SUITE 120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Omada Health, Inc.</w:t>
              </w:r>
            </w:hyperlink>
            <w:r>
              <w:rPr/>
              <w:t xml:space="preserve"> [ </w:t>
            </w:r>
            <w:r>
              <w:rPr>
                <w:rFonts w:ascii="Times;serif" w:hAnsi="Times;serif"/>
                <w:color w:val="0000FF"/>
                <w:sz w:val="24"/>
                <w:shd w:fill="FFFFFF" w:val="clear"/>
              </w:rPr>
              <w:t>OMDA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01"/>
        <w:gridCol w:w="771"/>
        <w:gridCol w:w="598"/>
        <w:gridCol w:w="347"/>
        <w:gridCol w:w="843"/>
        <w:gridCol w:w="452"/>
        <w:gridCol w:w="752"/>
        <w:gridCol w:w="1159"/>
        <w:gridCol w:w="994"/>
        <w:gridCol w:w="10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4,422</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22.77</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397,554</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851,659</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Held in family trusts for the benefit of the Reporting Person's family members. The Reporting Person disclaims beneficial ownership of the shares held by the family trusts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Nathan Salha, as Attorney-in-Fact for Sean P. Duffy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9522" TargetMode="External"/><Relationship Id="rId5" Type="http://schemas.openxmlformats.org/officeDocument/2006/relationships/hyperlink" Target="http://www.sec.gov/cgi-bin/browse-edgar?action=getcompany&amp;CIK=0001611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3341</Characters>
  <CharactersWithSpaces>3887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