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Duffy Sean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OMADA HEALTH,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 GATEWAY BLVD.,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Omada Health, Inc.</w:t>
              </w:r>
            </w:hyperlink>
            <w:r>
              <w:rPr/>
              <w:t xml:space="preserve"> [ </w:t>
            </w:r>
            <w:r>
              <w:rPr>
                <w:rFonts w:ascii="Times;serif" w:hAnsi="Times;serif"/>
                <w:color w:val="0000FF"/>
                <w:sz w:val="24"/>
                <w:shd w:fill="FFFFFF" w:val="clear"/>
              </w:rPr>
              <w:t>OMDA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424,805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20.3961</w:t>
            </w: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411,861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851,659</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142,483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$20.15 to $20.58.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in family trusts for the benefit of the Reporting Person's family members. The Reporting Person disclaims beneficial ownership of the shares held by the family trusts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100% of the shares subject to the option are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Salha, as Attorney-in-Fact for Sean P. Duffy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9522" TargetMode="External"/><Relationship Id="rId5" Type="http://schemas.openxmlformats.org/officeDocument/2006/relationships/hyperlink" Target="http://www.sec.gov/cgi-bin/browse-edgar?action=getcompany&amp;CIK=0001611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3948</Characters>
  <CharactersWithSpaces>4590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