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9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As filed with the U.S. Securities and Exchange Commission on May 29, 2025.</w:t>
      </w:r>
    </w:p>
    <w:p>
      <w:pPr>
        <w:spacing w:after="0" w:line="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333-287156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114935</wp:posOffset>
            </wp:positionH>
            <wp:positionV relativeFrom="paragraph">
              <wp:posOffset>62865</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105410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7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120015</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AMENDMENT NO. 1 TO</w:t>
      </w:r>
    </w:p>
    <w:p>
      <w:pPr>
        <w:spacing w:after="0" w:line="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S-1</w:t>
      </w:r>
    </w:p>
    <w:p>
      <w:pPr>
        <w:jc w:val="center"/>
        <w:ind w:right="-179"/>
        <w:spacing w:after="0" w:line="236" w:lineRule="auto"/>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79"/>
        <w:spacing w:after="0"/>
        <w:rPr>
          <w:sz w:val="20"/>
          <w:szCs w:val="20"/>
          <w:color w:val="auto"/>
        </w:rPr>
      </w:pPr>
      <w:r>
        <w:rPr>
          <w:rFonts w:ascii="Times New Roman" w:cs="Times New Roman" w:eastAsia="Times New Roman" w:hAnsi="Times New Roman"/>
          <w:sz w:val="21"/>
          <w:szCs w:val="21"/>
          <w:b w:val="1"/>
          <w:bCs w:val="1"/>
          <w:i w:val="1"/>
          <w:iCs w:val="1"/>
          <w:color w:val="auto"/>
        </w:rPr>
        <w:t>UNDER</w:t>
      </w:r>
    </w:p>
    <w:p>
      <w:pPr>
        <w:jc w:val="center"/>
        <w:ind w:right="-17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120015</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Omada Health, Inc.</w:t>
      </w:r>
    </w:p>
    <w:p>
      <w:pPr>
        <w:spacing w:after="0" w:line="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122555</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55" w:lineRule="exact"/>
        <w:rPr>
          <w:sz w:val="24"/>
          <w:szCs w:val="24"/>
          <w:color w:val="auto"/>
        </w:rPr>
      </w:pPr>
    </w:p>
    <w:tbl>
      <w:tblPr>
        <w:tblLayout w:type="fixed"/>
        <w:tblInd w:w="1100" w:type="dxa"/>
        <w:tblCellMar>
          <w:top w:w="0" w:type="dxa"/>
          <w:left w:w="0" w:type="dxa"/>
          <w:bottom w:w="0" w:type="dxa"/>
          <w:right w:w="0" w:type="dxa"/>
        </w:tblCellMar>
      </w:tblPr>
      <w:tr>
        <w:trPr>
          <w:trHeight w:val="161"/>
        </w:trPr>
        <w:tc>
          <w:tcPr>
            <w:tcW w:w="2800" w:type="dxa"/>
            <w:vAlign w:val="bottom"/>
          </w:tcPr>
          <w:p>
            <w:pPr>
              <w:jc w:val="center"/>
              <w:ind w:right="86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8000</w:t>
            </w:r>
          </w:p>
        </w:tc>
        <w:tc>
          <w:tcPr>
            <w:tcW w:w="2400" w:type="dxa"/>
            <w:vAlign w:val="bottom"/>
          </w:tcPr>
          <w:p>
            <w:pPr>
              <w:jc w:val="center"/>
              <w:ind w:left="909"/>
              <w:spacing w:after="0"/>
              <w:rPr>
                <w:sz w:val="20"/>
                <w:szCs w:val="20"/>
                <w:color w:val="auto"/>
              </w:rPr>
            </w:pPr>
            <w:r>
              <w:rPr>
                <w:rFonts w:ascii="Times New Roman" w:cs="Times New Roman" w:eastAsia="Times New Roman" w:hAnsi="Times New Roman"/>
                <w:sz w:val="14"/>
                <w:szCs w:val="14"/>
                <w:b w:val="1"/>
                <w:bCs w:val="1"/>
                <w:color w:val="auto"/>
              </w:rPr>
              <w:t>45-2355015</w:t>
            </w:r>
          </w:p>
        </w:tc>
      </w:tr>
      <w:tr>
        <w:trPr>
          <w:trHeight w:val="147"/>
        </w:trPr>
        <w:tc>
          <w:tcPr>
            <w:tcW w:w="2800" w:type="dxa"/>
            <w:vAlign w:val="bottom"/>
          </w:tcPr>
          <w:p>
            <w:pPr>
              <w:jc w:val="center"/>
              <w:ind w:right="869"/>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00" w:type="dxa"/>
            <w:vAlign w:val="bottom"/>
          </w:tcPr>
          <w:p>
            <w:pPr>
              <w:jc w:val="center"/>
              <w:ind w:left="909"/>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2800" w:type="dxa"/>
            <w:vAlign w:val="bottom"/>
          </w:tcPr>
          <w:p>
            <w:pPr>
              <w:jc w:val="center"/>
              <w:ind w:right="86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400" w:type="dxa"/>
            <w:vAlign w:val="bottom"/>
          </w:tcPr>
          <w:p>
            <w:pPr>
              <w:jc w:val="center"/>
              <w:ind w:left="909"/>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3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500 Sansome Street, Suite 200</w:t>
      </w:r>
    </w:p>
    <w:p>
      <w:pPr>
        <w:jc w:val="center"/>
        <w:ind w:right="-179"/>
        <w:spacing w:after="0" w:line="224" w:lineRule="auto"/>
        <w:rPr>
          <w:sz w:val="20"/>
          <w:szCs w:val="20"/>
          <w:color w:val="auto"/>
        </w:rPr>
      </w:pPr>
      <w:r>
        <w:rPr>
          <w:rFonts w:ascii="Times New Roman" w:cs="Times New Roman" w:eastAsia="Times New Roman" w:hAnsi="Times New Roman"/>
          <w:sz w:val="14"/>
          <w:szCs w:val="14"/>
          <w:b w:val="1"/>
          <w:bCs w:val="1"/>
          <w:color w:val="auto"/>
        </w:rPr>
        <w:t>San Francisco, California 94111</w:t>
      </w:r>
    </w:p>
    <w:p>
      <w:pPr>
        <w:jc w:val="center"/>
        <w:ind w:right="-179"/>
        <w:spacing w:after="0" w:line="220" w:lineRule="auto"/>
        <w:rPr>
          <w:sz w:val="20"/>
          <w:szCs w:val="20"/>
          <w:color w:val="auto"/>
        </w:rPr>
      </w:pPr>
      <w:r>
        <w:rPr>
          <w:rFonts w:ascii="Times New Roman" w:cs="Times New Roman" w:eastAsia="Times New Roman" w:hAnsi="Times New Roman"/>
          <w:sz w:val="14"/>
          <w:szCs w:val="14"/>
          <w:b w:val="1"/>
          <w:bCs w:val="1"/>
          <w:color w:val="auto"/>
        </w:rPr>
        <w:t>(888) 987-8337</w:t>
      </w: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114300</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1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Sean Duffy</w:t>
      </w:r>
    </w:p>
    <w:p>
      <w:pPr>
        <w:jc w:val="center"/>
        <w:ind w:right="-179"/>
        <w:spacing w:after="0" w:line="224" w:lineRule="auto"/>
        <w:rPr>
          <w:sz w:val="20"/>
          <w:szCs w:val="20"/>
          <w:color w:val="auto"/>
        </w:rPr>
      </w:pPr>
      <w:r>
        <w:rPr>
          <w:rFonts w:ascii="Times New Roman" w:cs="Times New Roman" w:eastAsia="Times New Roman" w:hAnsi="Times New Roman"/>
          <w:sz w:val="14"/>
          <w:szCs w:val="14"/>
          <w:b w:val="1"/>
          <w:bCs w:val="1"/>
          <w:color w:val="auto"/>
        </w:rPr>
        <w:t>Chief Executive Officer</w:t>
      </w:r>
    </w:p>
    <w:p>
      <w:pPr>
        <w:jc w:val="center"/>
        <w:ind w:right="-179"/>
        <w:spacing w:after="0" w:line="220" w:lineRule="auto"/>
        <w:rPr>
          <w:sz w:val="20"/>
          <w:szCs w:val="20"/>
          <w:color w:val="auto"/>
        </w:rPr>
      </w:pPr>
      <w:r>
        <w:rPr>
          <w:rFonts w:ascii="Times New Roman" w:cs="Times New Roman" w:eastAsia="Times New Roman" w:hAnsi="Times New Roman"/>
          <w:sz w:val="14"/>
          <w:szCs w:val="14"/>
          <w:b w:val="1"/>
          <w:bCs w:val="1"/>
          <w:color w:val="auto"/>
        </w:rPr>
        <w:t>Omada Health, Inc.</w:t>
      </w:r>
    </w:p>
    <w:p>
      <w:pPr>
        <w:jc w:val="center"/>
        <w:ind w:right="-179"/>
        <w:spacing w:after="0" w:line="219" w:lineRule="auto"/>
        <w:rPr>
          <w:sz w:val="20"/>
          <w:szCs w:val="20"/>
          <w:color w:val="auto"/>
        </w:rPr>
      </w:pPr>
      <w:r>
        <w:rPr>
          <w:rFonts w:ascii="Times New Roman" w:cs="Times New Roman" w:eastAsia="Times New Roman" w:hAnsi="Times New Roman"/>
          <w:sz w:val="14"/>
          <w:szCs w:val="14"/>
          <w:b w:val="1"/>
          <w:bCs w:val="1"/>
          <w:color w:val="auto"/>
        </w:rPr>
        <w:t>500 Sansome Street, Suite 200</w:t>
      </w:r>
    </w:p>
    <w:p>
      <w:pPr>
        <w:jc w:val="center"/>
        <w:ind w:right="-179"/>
        <w:spacing w:after="0" w:line="219" w:lineRule="auto"/>
        <w:rPr>
          <w:sz w:val="20"/>
          <w:szCs w:val="20"/>
          <w:color w:val="auto"/>
        </w:rPr>
      </w:pPr>
      <w:r>
        <w:rPr>
          <w:rFonts w:ascii="Times New Roman" w:cs="Times New Roman" w:eastAsia="Times New Roman" w:hAnsi="Times New Roman"/>
          <w:sz w:val="14"/>
          <w:szCs w:val="14"/>
          <w:b w:val="1"/>
          <w:bCs w:val="1"/>
          <w:color w:val="auto"/>
        </w:rPr>
        <w:t>San Francisco, California 94111</w:t>
      </w:r>
    </w:p>
    <w:p>
      <w:pPr>
        <w:jc w:val="center"/>
        <w:ind w:right="-179"/>
        <w:spacing w:after="0" w:line="219" w:lineRule="auto"/>
        <w:rPr>
          <w:sz w:val="20"/>
          <w:szCs w:val="20"/>
          <w:color w:val="auto"/>
        </w:rPr>
      </w:pPr>
      <w:r>
        <w:rPr>
          <w:rFonts w:ascii="Times New Roman" w:cs="Times New Roman" w:eastAsia="Times New Roman" w:hAnsi="Times New Roman"/>
          <w:sz w:val="14"/>
          <w:szCs w:val="14"/>
          <w:b w:val="1"/>
          <w:bCs w:val="1"/>
          <w:color w:val="auto"/>
        </w:rPr>
        <w:t>(888) 987-8337</w:t>
      </w: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122555</wp:posOffset>
            </wp:positionV>
            <wp:extent cx="145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3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76" w:lineRule="exact"/>
        <w:rPr>
          <w:sz w:val="24"/>
          <w:szCs w:val="24"/>
          <w:color w:val="auto"/>
        </w:rPr>
      </w:pPr>
    </w:p>
    <w:tbl>
      <w:tblPr>
        <w:tblLayout w:type="fixed"/>
        <w:tblInd w:w="1120" w:type="dxa"/>
        <w:tblCellMar>
          <w:top w:w="0" w:type="dxa"/>
          <w:left w:w="0" w:type="dxa"/>
          <w:bottom w:w="0" w:type="dxa"/>
          <w:right w:w="0" w:type="dxa"/>
        </w:tblCellMar>
      </w:tblPr>
      <w:tr>
        <w:trPr>
          <w:trHeight w:val="161"/>
        </w:trPr>
        <w:tc>
          <w:tcPr>
            <w:tcW w:w="2740" w:type="dxa"/>
            <w:vAlign w:val="bottom"/>
          </w:tcPr>
          <w:p>
            <w:pPr>
              <w:jc w:val="center"/>
              <w:ind w:right="869"/>
              <w:spacing w:after="0"/>
              <w:rPr>
                <w:sz w:val="20"/>
                <w:szCs w:val="20"/>
                <w:color w:val="auto"/>
              </w:rPr>
            </w:pPr>
            <w:r>
              <w:rPr>
                <w:rFonts w:ascii="Times New Roman" w:cs="Times New Roman" w:eastAsia="Times New Roman" w:hAnsi="Times New Roman"/>
                <w:sz w:val="14"/>
                <w:szCs w:val="14"/>
                <w:b w:val="1"/>
                <w:bCs w:val="1"/>
                <w:color w:val="auto"/>
              </w:rPr>
              <w:t>Kathleen M. Wells</w:t>
            </w:r>
          </w:p>
        </w:tc>
        <w:tc>
          <w:tcPr>
            <w:tcW w:w="368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Nathan Salha</w:t>
            </w:r>
          </w:p>
        </w:tc>
        <w:tc>
          <w:tcPr>
            <w:tcW w:w="2760" w:type="dxa"/>
            <w:vAlign w:val="bottom"/>
          </w:tcPr>
          <w:p>
            <w:pPr>
              <w:jc w:val="center"/>
              <w:ind w:left="749"/>
              <w:spacing w:after="0"/>
              <w:rPr>
                <w:sz w:val="20"/>
                <w:szCs w:val="20"/>
                <w:color w:val="auto"/>
              </w:rPr>
            </w:pPr>
            <w:r>
              <w:rPr>
                <w:rFonts w:ascii="Times New Roman" w:cs="Times New Roman" w:eastAsia="Times New Roman" w:hAnsi="Times New Roman"/>
                <w:sz w:val="14"/>
                <w:szCs w:val="14"/>
                <w:b w:val="1"/>
                <w:bCs w:val="1"/>
                <w:color w:val="auto"/>
              </w:rPr>
              <w:t>Alan F. Denenberg</w:t>
            </w:r>
          </w:p>
        </w:tc>
      </w:tr>
      <w:tr>
        <w:trPr>
          <w:trHeight w:val="147"/>
        </w:trPr>
        <w:tc>
          <w:tcPr>
            <w:tcW w:w="2740" w:type="dxa"/>
            <w:vAlign w:val="bottom"/>
          </w:tcPr>
          <w:p>
            <w:pPr>
              <w:jc w:val="center"/>
              <w:ind w:right="869"/>
              <w:spacing w:after="0" w:line="147" w:lineRule="exact"/>
              <w:rPr>
                <w:sz w:val="20"/>
                <w:szCs w:val="20"/>
                <w:color w:val="auto"/>
              </w:rPr>
            </w:pPr>
            <w:r>
              <w:rPr>
                <w:rFonts w:ascii="Times New Roman" w:cs="Times New Roman" w:eastAsia="Times New Roman" w:hAnsi="Times New Roman"/>
                <w:sz w:val="14"/>
                <w:szCs w:val="14"/>
                <w:b w:val="1"/>
                <w:bCs w:val="1"/>
                <w:color w:val="auto"/>
              </w:rPr>
              <w:t>Richard Kim</w:t>
            </w:r>
          </w:p>
        </w:tc>
        <w:tc>
          <w:tcPr>
            <w:tcW w:w="3680" w:type="dxa"/>
            <w:vAlign w:val="bottom"/>
          </w:tcPr>
          <w:p>
            <w:pPr>
              <w:jc w:val="center"/>
              <w:ind w:left="9"/>
              <w:spacing w:after="0" w:line="147" w:lineRule="exact"/>
              <w:rPr>
                <w:sz w:val="20"/>
                <w:szCs w:val="20"/>
                <w:color w:val="auto"/>
              </w:rPr>
            </w:pPr>
            <w:r>
              <w:rPr>
                <w:rFonts w:ascii="Times New Roman" w:cs="Times New Roman" w:eastAsia="Times New Roman" w:hAnsi="Times New Roman"/>
                <w:sz w:val="14"/>
                <w:szCs w:val="14"/>
                <w:b w:val="1"/>
                <w:bCs w:val="1"/>
                <w:color w:val="auto"/>
              </w:rPr>
              <w:t>Omada Health, Inc.</w:t>
            </w:r>
          </w:p>
        </w:tc>
        <w:tc>
          <w:tcPr>
            <w:tcW w:w="2760" w:type="dxa"/>
            <w:vAlign w:val="bottom"/>
          </w:tcPr>
          <w:p>
            <w:pPr>
              <w:jc w:val="center"/>
              <w:ind w:left="769"/>
              <w:spacing w:after="0" w:line="147" w:lineRule="exact"/>
              <w:rPr>
                <w:sz w:val="20"/>
                <w:szCs w:val="20"/>
                <w:color w:val="auto"/>
              </w:rPr>
            </w:pPr>
            <w:r>
              <w:rPr>
                <w:rFonts w:ascii="Times New Roman" w:cs="Times New Roman" w:eastAsia="Times New Roman" w:hAnsi="Times New Roman"/>
                <w:sz w:val="14"/>
                <w:szCs w:val="14"/>
                <w:b w:val="1"/>
                <w:bCs w:val="1"/>
                <w:color w:val="auto"/>
              </w:rPr>
              <w:t>Emily Roberts</w:t>
            </w:r>
          </w:p>
        </w:tc>
      </w:tr>
      <w:tr>
        <w:trPr>
          <w:trHeight w:val="147"/>
        </w:trPr>
        <w:tc>
          <w:tcPr>
            <w:tcW w:w="2740" w:type="dxa"/>
            <w:vAlign w:val="bottom"/>
          </w:tcPr>
          <w:p>
            <w:pPr>
              <w:jc w:val="center"/>
              <w:ind w:right="849"/>
              <w:spacing w:after="0" w:line="147" w:lineRule="exact"/>
              <w:rPr>
                <w:sz w:val="20"/>
                <w:szCs w:val="20"/>
                <w:color w:val="auto"/>
              </w:rPr>
            </w:pPr>
            <w:r>
              <w:rPr>
                <w:rFonts w:ascii="Times New Roman" w:cs="Times New Roman" w:eastAsia="Times New Roman" w:hAnsi="Times New Roman"/>
                <w:sz w:val="14"/>
                <w:szCs w:val="14"/>
                <w:b w:val="1"/>
                <w:bCs w:val="1"/>
                <w:color w:val="auto"/>
              </w:rPr>
              <w:t>Josh B. Landis</w:t>
            </w:r>
          </w:p>
        </w:tc>
        <w:tc>
          <w:tcPr>
            <w:tcW w:w="3680" w:type="dxa"/>
            <w:vAlign w:val="bottom"/>
          </w:tcPr>
          <w:p>
            <w:pPr>
              <w:jc w:val="center"/>
              <w:ind w:left="9"/>
              <w:spacing w:after="0" w:line="147" w:lineRule="exact"/>
              <w:rPr>
                <w:sz w:val="20"/>
                <w:szCs w:val="20"/>
                <w:color w:val="auto"/>
              </w:rPr>
            </w:pPr>
            <w:r>
              <w:rPr>
                <w:rFonts w:ascii="Times New Roman" w:cs="Times New Roman" w:eastAsia="Times New Roman" w:hAnsi="Times New Roman"/>
                <w:sz w:val="14"/>
                <w:szCs w:val="14"/>
                <w:b w:val="1"/>
                <w:bCs w:val="1"/>
                <w:color w:val="auto"/>
              </w:rPr>
              <w:t>500 Sansome Street, Suite 200</w:t>
            </w:r>
          </w:p>
        </w:tc>
        <w:tc>
          <w:tcPr>
            <w:tcW w:w="2760" w:type="dxa"/>
            <w:vAlign w:val="bottom"/>
          </w:tcPr>
          <w:p>
            <w:pPr>
              <w:jc w:val="center"/>
              <w:ind w:left="749"/>
              <w:spacing w:after="0" w:line="147" w:lineRule="exact"/>
              <w:rPr>
                <w:sz w:val="20"/>
                <w:szCs w:val="20"/>
                <w:color w:val="auto"/>
              </w:rPr>
            </w:pPr>
            <w:r>
              <w:rPr>
                <w:rFonts w:ascii="Times New Roman" w:cs="Times New Roman" w:eastAsia="Times New Roman" w:hAnsi="Times New Roman"/>
                <w:sz w:val="14"/>
                <w:szCs w:val="14"/>
                <w:b w:val="1"/>
                <w:bCs w:val="1"/>
                <w:color w:val="auto"/>
              </w:rPr>
              <w:t>Davis Polk &amp; Wardwell LLP</w:t>
            </w:r>
          </w:p>
        </w:tc>
      </w:tr>
      <w:tr>
        <w:trPr>
          <w:trHeight w:val="147"/>
        </w:trPr>
        <w:tc>
          <w:tcPr>
            <w:tcW w:w="2740" w:type="dxa"/>
            <w:vAlign w:val="bottom"/>
          </w:tcPr>
          <w:p>
            <w:pPr>
              <w:jc w:val="center"/>
              <w:ind w:right="869"/>
              <w:spacing w:after="0" w:line="147" w:lineRule="exact"/>
              <w:rPr>
                <w:sz w:val="20"/>
                <w:szCs w:val="20"/>
                <w:color w:val="auto"/>
              </w:rPr>
            </w:pPr>
            <w:r>
              <w:rPr>
                <w:rFonts w:ascii="Times New Roman" w:cs="Times New Roman" w:eastAsia="Times New Roman" w:hAnsi="Times New Roman"/>
                <w:sz w:val="14"/>
                <w:szCs w:val="14"/>
                <w:b w:val="1"/>
                <w:bCs w:val="1"/>
                <w:color w:val="auto"/>
              </w:rPr>
              <w:t>Latham &amp; Watkins LLP</w:t>
            </w:r>
          </w:p>
        </w:tc>
        <w:tc>
          <w:tcPr>
            <w:tcW w:w="3680" w:type="dxa"/>
            <w:vAlign w:val="bottom"/>
          </w:tcPr>
          <w:p>
            <w:pPr>
              <w:jc w:val="center"/>
              <w:ind w:left="9"/>
              <w:spacing w:after="0" w:line="147" w:lineRule="exact"/>
              <w:rPr>
                <w:sz w:val="20"/>
                <w:szCs w:val="20"/>
                <w:color w:val="auto"/>
              </w:rPr>
            </w:pPr>
            <w:r>
              <w:rPr>
                <w:rFonts w:ascii="Times New Roman" w:cs="Times New Roman" w:eastAsia="Times New Roman" w:hAnsi="Times New Roman"/>
                <w:sz w:val="14"/>
                <w:szCs w:val="14"/>
                <w:b w:val="1"/>
                <w:bCs w:val="1"/>
                <w:color w:val="auto"/>
              </w:rPr>
              <w:t>San Francisco, California 94111</w:t>
            </w:r>
          </w:p>
        </w:tc>
        <w:tc>
          <w:tcPr>
            <w:tcW w:w="2760" w:type="dxa"/>
            <w:vAlign w:val="bottom"/>
          </w:tcPr>
          <w:p>
            <w:pPr>
              <w:jc w:val="center"/>
              <w:ind w:left="749"/>
              <w:spacing w:after="0" w:line="147" w:lineRule="exact"/>
              <w:rPr>
                <w:sz w:val="20"/>
                <w:szCs w:val="20"/>
                <w:color w:val="auto"/>
              </w:rPr>
            </w:pPr>
            <w:r>
              <w:rPr>
                <w:rFonts w:ascii="Times New Roman" w:cs="Times New Roman" w:eastAsia="Times New Roman" w:hAnsi="Times New Roman"/>
                <w:sz w:val="14"/>
                <w:szCs w:val="14"/>
                <w:b w:val="1"/>
                <w:bCs w:val="1"/>
                <w:color w:val="auto"/>
              </w:rPr>
              <w:t>900 Middlefield Road</w:t>
            </w:r>
          </w:p>
        </w:tc>
      </w:tr>
      <w:tr>
        <w:trPr>
          <w:trHeight w:val="147"/>
        </w:trPr>
        <w:tc>
          <w:tcPr>
            <w:tcW w:w="2740" w:type="dxa"/>
            <w:vAlign w:val="bottom"/>
          </w:tcPr>
          <w:p>
            <w:pPr>
              <w:jc w:val="center"/>
              <w:ind w:right="849"/>
              <w:spacing w:after="0" w:line="147" w:lineRule="exact"/>
              <w:rPr>
                <w:sz w:val="20"/>
                <w:szCs w:val="20"/>
                <w:color w:val="auto"/>
              </w:rPr>
            </w:pPr>
            <w:r>
              <w:rPr>
                <w:rFonts w:ascii="Times New Roman" w:cs="Times New Roman" w:eastAsia="Times New Roman" w:hAnsi="Times New Roman"/>
                <w:sz w:val="14"/>
                <w:szCs w:val="14"/>
                <w:b w:val="1"/>
                <w:bCs w:val="1"/>
                <w:color w:val="auto"/>
              </w:rPr>
              <w:t>140 Scott Drive</w:t>
            </w:r>
          </w:p>
        </w:tc>
        <w:tc>
          <w:tcPr>
            <w:tcW w:w="3680" w:type="dxa"/>
            <w:vAlign w:val="bottom"/>
          </w:tcPr>
          <w:p>
            <w:pPr>
              <w:jc w:val="center"/>
              <w:ind w:left="9"/>
              <w:spacing w:after="0" w:line="147" w:lineRule="exact"/>
              <w:rPr>
                <w:sz w:val="20"/>
                <w:szCs w:val="20"/>
                <w:color w:val="auto"/>
              </w:rPr>
            </w:pPr>
            <w:r>
              <w:rPr>
                <w:rFonts w:ascii="Times New Roman" w:cs="Times New Roman" w:eastAsia="Times New Roman" w:hAnsi="Times New Roman"/>
                <w:sz w:val="14"/>
                <w:szCs w:val="14"/>
                <w:b w:val="1"/>
                <w:bCs w:val="1"/>
                <w:color w:val="auto"/>
              </w:rPr>
              <w:t>(888) 987-8337</w:t>
            </w:r>
          </w:p>
        </w:tc>
        <w:tc>
          <w:tcPr>
            <w:tcW w:w="2760" w:type="dxa"/>
            <w:vAlign w:val="bottom"/>
          </w:tcPr>
          <w:p>
            <w:pPr>
              <w:jc w:val="center"/>
              <w:ind w:left="749"/>
              <w:spacing w:after="0" w:line="147" w:lineRule="exact"/>
              <w:rPr>
                <w:sz w:val="20"/>
                <w:szCs w:val="20"/>
                <w:color w:val="auto"/>
              </w:rPr>
            </w:pPr>
            <w:r>
              <w:rPr>
                <w:rFonts w:ascii="Times New Roman" w:cs="Times New Roman" w:eastAsia="Times New Roman" w:hAnsi="Times New Roman"/>
                <w:sz w:val="14"/>
                <w:szCs w:val="14"/>
                <w:b w:val="1"/>
                <w:bCs w:val="1"/>
                <w:color w:val="auto"/>
              </w:rPr>
              <w:t>Redwood City, California 94063</w:t>
            </w:r>
          </w:p>
        </w:tc>
      </w:tr>
      <w:tr>
        <w:trPr>
          <w:trHeight w:val="147"/>
        </w:trPr>
        <w:tc>
          <w:tcPr>
            <w:tcW w:w="2740" w:type="dxa"/>
            <w:vAlign w:val="bottom"/>
          </w:tcPr>
          <w:p>
            <w:pPr>
              <w:jc w:val="center"/>
              <w:ind w:right="869"/>
              <w:spacing w:after="0" w:line="147" w:lineRule="exact"/>
              <w:rPr>
                <w:sz w:val="20"/>
                <w:szCs w:val="20"/>
                <w:color w:val="auto"/>
              </w:rPr>
            </w:pPr>
            <w:r>
              <w:rPr>
                <w:rFonts w:ascii="Times New Roman" w:cs="Times New Roman" w:eastAsia="Times New Roman" w:hAnsi="Times New Roman"/>
                <w:sz w:val="14"/>
                <w:szCs w:val="14"/>
                <w:b w:val="1"/>
                <w:bCs w:val="1"/>
                <w:color w:val="auto"/>
              </w:rPr>
              <w:t>Menlo Park, California 94025</w:t>
            </w:r>
          </w:p>
        </w:tc>
        <w:tc>
          <w:tcPr>
            <w:tcW w:w="3680" w:type="dxa"/>
            <w:vAlign w:val="bottom"/>
          </w:tcPr>
          <w:p>
            <w:pPr>
              <w:spacing w:after="0"/>
              <w:rPr>
                <w:sz w:val="12"/>
                <w:szCs w:val="12"/>
                <w:color w:val="auto"/>
              </w:rPr>
            </w:pPr>
          </w:p>
        </w:tc>
        <w:tc>
          <w:tcPr>
            <w:tcW w:w="2760" w:type="dxa"/>
            <w:vAlign w:val="bottom"/>
          </w:tcPr>
          <w:p>
            <w:pPr>
              <w:jc w:val="center"/>
              <w:ind w:left="749"/>
              <w:spacing w:after="0" w:line="147" w:lineRule="exact"/>
              <w:rPr>
                <w:sz w:val="20"/>
                <w:szCs w:val="20"/>
                <w:color w:val="auto"/>
              </w:rPr>
            </w:pPr>
            <w:r>
              <w:rPr>
                <w:rFonts w:ascii="Times New Roman" w:cs="Times New Roman" w:eastAsia="Times New Roman" w:hAnsi="Times New Roman"/>
                <w:sz w:val="14"/>
                <w:szCs w:val="14"/>
                <w:b w:val="1"/>
                <w:bCs w:val="1"/>
                <w:color w:val="auto"/>
              </w:rPr>
              <w:t>(650) 752-2000</w:t>
            </w:r>
          </w:p>
        </w:tc>
      </w:tr>
      <w:tr>
        <w:trPr>
          <w:trHeight w:val="187"/>
        </w:trPr>
        <w:tc>
          <w:tcPr>
            <w:tcW w:w="2740" w:type="dxa"/>
            <w:vAlign w:val="bottom"/>
          </w:tcPr>
          <w:p>
            <w:pPr>
              <w:jc w:val="center"/>
              <w:ind w:right="869"/>
              <w:spacing w:after="0"/>
              <w:rPr>
                <w:sz w:val="20"/>
                <w:szCs w:val="20"/>
                <w:color w:val="auto"/>
              </w:rPr>
            </w:pPr>
            <w:r>
              <w:rPr>
                <w:rFonts w:ascii="Times New Roman" w:cs="Times New Roman" w:eastAsia="Times New Roman" w:hAnsi="Times New Roman"/>
                <w:sz w:val="14"/>
                <w:szCs w:val="14"/>
                <w:b w:val="1"/>
                <w:bCs w:val="1"/>
                <w:color w:val="auto"/>
              </w:rPr>
              <w:t>(650) 328-4600</w:t>
            </w:r>
          </w:p>
        </w:tc>
        <w:tc>
          <w:tcPr>
            <w:tcW w:w="3680" w:type="dxa"/>
            <w:vAlign w:val="bottom"/>
          </w:tcPr>
          <w:p>
            <w:pPr>
              <w:spacing w:after="0"/>
              <w:rPr>
                <w:sz w:val="16"/>
                <w:szCs w:val="16"/>
                <w:color w:val="auto"/>
              </w:rPr>
            </w:pPr>
          </w:p>
        </w:tc>
        <w:tc>
          <w:tcPr>
            <w:tcW w:w="27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117475</wp:posOffset>
            </wp:positionV>
            <wp:extent cx="1450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34"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As soon as practicable after the effective date of this Registration Statement.</w:t>
      </w:r>
    </w:p>
    <w:p>
      <w:pPr>
        <w:spacing w:after="0" w:line="37" w:lineRule="exact"/>
        <w:rPr>
          <w:sz w:val="24"/>
          <w:szCs w:val="24"/>
          <w:color w:val="auto"/>
        </w:rPr>
      </w:pPr>
    </w:p>
    <w:p>
      <w:pPr>
        <w:ind w:left="180"/>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97" w:lineRule="exact"/>
        <w:rPr>
          <w:sz w:val="24"/>
          <w:szCs w:val="24"/>
          <w:color w:val="auto"/>
        </w:rPr>
      </w:pPr>
    </w:p>
    <w:p>
      <w:pPr>
        <w:jc w:val="both"/>
        <w:ind w:left="180"/>
        <w:spacing w:after="0" w:line="184"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5" w:lineRule="exact"/>
        <w:rPr>
          <w:sz w:val="24"/>
          <w:szCs w:val="24"/>
          <w:color w:val="auto"/>
        </w:rPr>
      </w:pPr>
    </w:p>
    <w:p>
      <w:pPr>
        <w:jc w:val="both"/>
        <w:ind w:left="180" w:right="20"/>
        <w:spacing w:after="0" w:line="184"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1" w:lineRule="exact"/>
        <w:rPr>
          <w:sz w:val="24"/>
          <w:szCs w:val="24"/>
          <w:color w:val="auto"/>
        </w:rPr>
      </w:pPr>
    </w:p>
    <w:p>
      <w:pPr>
        <w:jc w:val="both"/>
        <w:ind w:left="180" w:right="20"/>
        <w:spacing w:after="0" w:line="184"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1" w:lineRule="exact"/>
        <w:rPr>
          <w:sz w:val="24"/>
          <w:szCs w:val="24"/>
          <w:color w:val="auto"/>
        </w:rPr>
      </w:pPr>
    </w:p>
    <w:p>
      <w:pPr>
        <w:jc w:val="both"/>
        <w:ind w:left="180" w:right="20"/>
        <w:spacing w:after="0" w:line="25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180" w:type="dxa"/>
        <w:tblCellMar>
          <w:top w:w="0" w:type="dxa"/>
          <w:left w:w="0" w:type="dxa"/>
          <w:bottom w:w="0" w:type="dxa"/>
          <w:right w:w="0" w:type="dxa"/>
        </w:tblCellMar>
      </w:tblPr>
      <w:tr>
        <w:trPr>
          <w:trHeight w:val="200"/>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8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480"/>
              <w:spacing w:after="0"/>
              <w:rPr>
                <w:sz w:val="20"/>
                <w:szCs w:val="20"/>
                <w:color w:val="auto"/>
              </w:rPr>
            </w:pPr>
            <w:r>
              <w:rPr>
                <w:rFonts w:ascii="Times New Roman" w:cs="Times New Roman" w:eastAsia="Times New Roman" w:hAnsi="Times New Roman"/>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0"/>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8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4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8"/>
        </w:trPr>
        <w:tc>
          <w:tcPr>
            <w:tcW w:w="14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5220" w:type="dxa"/>
            <w:vAlign w:val="bottom"/>
          </w:tcPr>
          <w:p>
            <w:pPr>
              <w:ind w:left="3480"/>
              <w:spacing w:after="0"/>
              <w:rPr>
                <w:sz w:val="20"/>
                <w:szCs w:val="20"/>
                <w:color w:val="auto"/>
              </w:rPr>
            </w:pPr>
            <w:r>
              <w:rPr>
                <w:rFonts w:ascii="Times New Roman" w:cs="Times New Roman" w:eastAsia="Times New Roman" w:hAnsi="Times New Roman"/>
                <w:sz w:val="14"/>
                <w:szCs w:val="14"/>
                <w:color w:val="auto"/>
              </w:rPr>
              <w:t>Emerging growth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 w:lineRule="exact"/>
        <w:rPr>
          <w:sz w:val="24"/>
          <w:szCs w:val="24"/>
          <w:color w:val="auto"/>
        </w:rPr>
      </w:pPr>
    </w:p>
    <w:p>
      <w:pPr>
        <w:jc w:val="both"/>
        <w:ind w:left="180"/>
        <w:spacing w:after="0" w:line="18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112395</wp:posOffset>
            </wp:positionV>
            <wp:extent cx="1450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13" w:lineRule="exact"/>
        <w:rPr>
          <w:sz w:val="24"/>
          <w:szCs w:val="24"/>
          <w:color w:val="auto"/>
        </w:rPr>
      </w:pPr>
    </w:p>
    <w:p>
      <w:pPr>
        <w:jc w:val="both"/>
        <w:ind w:left="180" w:right="20"/>
        <w:spacing w:after="0" w:line="238"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U.S.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114935</wp:posOffset>
            </wp:positionH>
            <wp:positionV relativeFrom="paragraph">
              <wp:posOffset>76200</wp:posOffset>
            </wp:positionV>
            <wp:extent cx="6921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118745</wp:posOffset>
            </wp:positionV>
            <wp:extent cx="6921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1080"/>
          </w:cols>
          <w:pgMar w:left="320" w:top="224"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6921500" cy="889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1500" cy="889825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6921500" cy="889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1500" cy="889825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6921500" cy="889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1500" cy="889825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6921500" cy="889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1500" cy="889825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6921500" cy="889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1500" cy="889825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6921500" cy="889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1500" cy="889825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7085965" cy="9161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5965" cy="916114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98"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EE"/>
                <w:w w:val="87"/>
              </w:rPr>
              <w:t>Glossary</w:t>
            </w:r>
          </w:p>
        </w:tc>
        <w:tc>
          <w:tcPr>
            <w:tcW w:w="4240" w:type="dxa"/>
            <w:vAlign w:val="bottom"/>
            <w:gridSpan w:val="11"/>
            <w:vMerge w:val="restart"/>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400" w:type="dxa"/>
            <w:vAlign w:val="bottom"/>
          </w:tcPr>
          <w:p>
            <w:pPr>
              <w:spacing w:after="0"/>
              <w:rPr>
                <w:sz w:val="14"/>
                <w:szCs w:val="14"/>
                <w:color w:val="auto"/>
              </w:rPr>
            </w:pPr>
          </w:p>
        </w:tc>
        <w:tc>
          <w:tcPr>
            <w:tcW w:w="494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EE"/>
              </w:rPr>
              <w:t>Management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7"/>
        </w:trPr>
        <w:tc>
          <w:tcPr>
            <w:tcW w:w="600" w:type="dxa"/>
            <w:vAlign w:val="bottom"/>
            <w:gridSpan w:val="2"/>
            <w:vMerge w:val="continue"/>
          </w:tcPr>
          <w:p>
            <w:pPr>
              <w:spacing w:after="0"/>
              <w:rPr>
                <w:sz w:val="14"/>
                <w:szCs w:val="14"/>
                <w:color w:val="auto"/>
              </w:rPr>
            </w:pPr>
          </w:p>
        </w:tc>
        <w:tc>
          <w:tcPr>
            <w:tcW w:w="4240" w:type="dxa"/>
            <w:vAlign w:val="bottom"/>
            <w:gridSpan w:val="11"/>
            <w:vMerge w:val="continue"/>
          </w:tcPr>
          <w:p>
            <w:pPr>
              <w:spacing w:after="0"/>
              <w:rPr>
                <w:sz w:val="14"/>
                <w:szCs w:val="14"/>
                <w:color w:val="auto"/>
              </w:rPr>
            </w:pPr>
          </w:p>
        </w:tc>
        <w:tc>
          <w:tcPr>
            <w:tcW w:w="32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i</w:t>
            </w:r>
          </w:p>
        </w:tc>
        <w:tc>
          <w:tcPr>
            <w:tcW w:w="400" w:type="dxa"/>
            <w:vAlign w:val="bottom"/>
          </w:tcPr>
          <w:p>
            <w:pPr>
              <w:spacing w:after="0"/>
              <w:rPr>
                <w:sz w:val="14"/>
                <w:szCs w:val="14"/>
                <w:color w:val="auto"/>
              </w:rPr>
            </w:pPr>
          </w:p>
        </w:tc>
        <w:tc>
          <w:tcPr>
            <w:tcW w:w="4940" w:type="dxa"/>
            <w:vAlign w:val="bottom"/>
            <w:gridSpan w:val="16"/>
            <w:vMerge w:val="continue"/>
          </w:tcPr>
          <w:p>
            <w:pPr>
              <w:spacing w:after="0"/>
              <w:rPr>
                <w:sz w:val="14"/>
                <w:szCs w:val="14"/>
                <w:color w:val="auto"/>
              </w:rPr>
            </w:pPr>
          </w:p>
        </w:tc>
        <w:tc>
          <w:tcPr>
            <w:tcW w:w="32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191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0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0000EE"/>
                <w:w w:val="98"/>
              </w:rPr>
              <w:t>An Introduction From Our Co-Founder and CEO</w:t>
            </w:r>
          </w:p>
        </w:tc>
        <w:tc>
          <w:tcPr>
            <w:tcW w:w="1340" w:type="dxa"/>
            <w:vAlign w:val="bottom"/>
            <w:gridSpan w:val="3"/>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v</w:t>
            </w:r>
          </w:p>
        </w:tc>
        <w:tc>
          <w:tcPr>
            <w:tcW w:w="400" w:type="dxa"/>
            <w:vAlign w:val="bottom"/>
          </w:tcPr>
          <w:p>
            <w:pPr>
              <w:spacing w:after="0"/>
              <w:rPr>
                <w:sz w:val="16"/>
                <w:szCs w:val="16"/>
                <w:color w:val="auto"/>
              </w:rPr>
            </w:pPr>
          </w:p>
        </w:tc>
        <w:tc>
          <w:tcPr>
            <w:tcW w:w="494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Executive and Director Compensation</w:t>
            </w: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0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0000EE"/>
              </w:rPr>
              <w:t>Prospectus Summary</w:t>
            </w:r>
          </w:p>
        </w:tc>
        <w:tc>
          <w:tcPr>
            <w:tcW w:w="1340" w:type="dxa"/>
            <w:vAlign w:val="bottom"/>
            <w:gridSpan w:val="3"/>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6"/>
                <w:szCs w:val="16"/>
                <w:color w:val="auto"/>
              </w:rPr>
            </w:pPr>
          </w:p>
        </w:tc>
        <w:tc>
          <w:tcPr>
            <w:tcW w:w="494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Certain Relationships and Related-Party Transactions</w:t>
            </w: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194"/>
        </w:trPr>
        <w:tc>
          <w:tcPr>
            <w:tcW w:w="1500" w:type="dxa"/>
            <w:vAlign w:val="bottom"/>
            <w:tcBorders>
              <w:top w:val="single" w:sz="8" w:color="0000EE"/>
            </w:tcBorders>
            <w:gridSpan w:val="6"/>
          </w:tcPr>
          <w:p>
            <w:pPr>
              <w:spacing w:after="0" w:line="194" w:lineRule="exact"/>
              <w:rPr>
                <w:sz w:val="20"/>
                <w:szCs w:val="20"/>
                <w:color w:val="auto"/>
              </w:rPr>
            </w:pPr>
            <w:r>
              <w:rPr>
                <w:rFonts w:ascii="Times New Roman" w:cs="Times New Roman" w:eastAsia="Times New Roman" w:hAnsi="Times New Roman"/>
                <w:sz w:val="18"/>
                <w:szCs w:val="18"/>
                <w:color w:val="0000EE"/>
              </w:rPr>
              <w:t>The Offering</w:t>
            </w:r>
          </w:p>
        </w:tc>
        <w:tc>
          <w:tcPr>
            <w:tcW w:w="3340" w:type="dxa"/>
            <w:vAlign w:val="bottom"/>
            <w:gridSpan w:val="7"/>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w:t>
            </w:r>
          </w:p>
        </w:tc>
        <w:tc>
          <w:tcPr>
            <w:tcW w:w="400" w:type="dxa"/>
            <w:vAlign w:val="bottom"/>
          </w:tcPr>
          <w:p>
            <w:pPr>
              <w:spacing w:after="0"/>
              <w:rPr>
                <w:sz w:val="16"/>
                <w:szCs w:val="16"/>
                <w:color w:val="auto"/>
              </w:rPr>
            </w:pPr>
          </w:p>
        </w:tc>
        <w:tc>
          <w:tcPr>
            <w:tcW w:w="3800" w:type="dxa"/>
            <w:vAlign w:val="bottom"/>
            <w:tcBorders>
              <w:top w:val="single" w:sz="8" w:color="0000EE"/>
            </w:tcBorders>
            <w:gridSpan w:val="13"/>
          </w:tcPr>
          <w:p>
            <w:pPr>
              <w:spacing w:after="0" w:line="194" w:lineRule="exact"/>
              <w:rPr>
                <w:sz w:val="20"/>
                <w:szCs w:val="20"/>
                <w:color w:val="auto"/>
              </w:rPr>
            </w:pPr>
            <w:r>
              <w:rPr>
                <w:rFonts w:ascii="Times New Roman" w:cs="Times New Roman" w:eastAsia="Times New Roman" w:hAnsi="Times New Roman"/>
                <w:sz w:val="18"/>
                <w:szCs w:val="18"/>
                <w:color w:val="0000EE"/>
              </w:rPr>
              <w:t>Principal Stockholders</w:t>
            </w:r>
          </w:p>
        </w:tc>
        <w:tc>
          <w:tcPr>
            <w:tcW w:w="1140" w:type="dxa"/>
            <w:vAlign w:val="bottom"/>
            <w:gridSpan w:val="3"/>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84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EE"/>
              </w:rPr>
              <w:t>Summary Consolidated Financial Data</w:t>
            </w: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14</w:t>
            </w:r>
          </w:p>
        </w:tc>
        <w:tc>
          <w:tcPr>
            <w:tcW w:w="400" w:type="dxa"/>
            <w:vAlign w:val="bottom"/>
          </w:tcPr>
          <w:p>
            <w:pPr>
              <w:spacing w:after="0"/>
              <w:rPr>
                <w:sz w:val="16"/>
                <w:szCs w:val="16"/>
                <w:color w:val="auto"/>
              </w:rPr>
            </w:pPr>
          </w:p>
        </w:tc>
        <w:tc>
          <w:tcPr>
            <w:tcW w:w="494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20" w:type="dxa"/>
            <w:vAlign w:val="bottom"/>
            <w:tcBorders>
              <w:bottom w:val="single" w:sz="8" w:color="0000EE"/>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EE"/>
                <w:w w:val="97"/>
              </w:rPr>
              <w:t>Risk Factors</w:t>
            </w:r>
          </w:p>
        </w:tc>
        <w:tc>
          <w:tcPr>
            <w:tcW w:w="1840" w:type="dxa"/>
            <w:vAlign w:val="bottom"/>
            <w:gridSpan w:val="6"/>
          </w:tcPr>
          <w:p>
            <w:pPr>
              <w:spacing w:after="0"/>
              <w:rPr>
                <w:sz w:val="16"/>
                <w:szCs w:val="16"/>
                <w:color w:val="auto"/>
              </w:rPr>
            </w:pPr>
          </w:p>
        </w:tc>
        <w:tc>
          <w:tcPr>
            <w:tcW w:w="2080" w:type="dxa"/>
            <w:vAlign w:val="bottom"/>
            <w:gridSpan w:val="4"/>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18</w:t>
            </w:r>
          </w:p>
        </w:tc>
        <w:tc>
          <w:tcPr>
            <w:tcW w:w="400" w:type="dxa"/>
            <w:vAlign w:val="bottom"/>
          </w:tcPr>
          <w:p>
            <w:pPr>
              <w:spacing w:after="0"/>
              <w:rPr>
                <w:sz w:val="16"/>
                <w:szCs w:val="16"/>
                <w:color w:val="auto"/>
              </w:rPr>
            </w:pPr>
          </w:p>
        </w:tc>
        <w:tc>
          <w:tcPr>
            <w:tcW w:w="2200" w:type="dxa"/>
            <w:vAlign w:val="bottom"/>
            <w:tcBorders>
              <w:bottom w:val="single" w:sz="8" w:color="0000EE"/>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EE"/>
                <w:w w:val="98"/>
              </w:rPr>
              <w:t>Shares Eligible for Future Sale</w:t>
            </w:r>
          </w:p>
        </w:tc>
        <w:tc>
          <w:tcPr>
            <w:tcW w:w="2740" w:type="dxa"/>
            <w:vAlign w:val="bottom"/>
            <w:gridSpan w:val="7"/>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194"/>
        </w:trPr>
        <w:tc>
          <w:tcPr>
            <w:tcW w:w="484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76</w:t>
            </w:r>
          </w:p>
        </w:tc>
        <w:tc>
          <w:tcPr>
            <w:tcW w:w="400" w:type="dxa"/>
            <w:vAlign w:val="bottom"/>
          </w:tcPr>
          <w:p>
            <w:pPr>
              <w:spacing w:after="0"/>
              <w:rPr>
                <w:sz w:val="16"/>
                <w:szCs w:val="16"/>
                <w:color w:val="auto"/>
              </w:rPr>
            </w:pPr>
          </w:p>
        </w:tc>
        <w:tc>
          <w:tcPr>
            <w:tcW w:w="494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Material U.S. Federal Income Tax Consequences to Non-U.S.</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40" w:type="dxa"/>
            <w:vAlign w:val="bottom"/>
            <w:tcBorders>
              <w:top w:val="single" w:sz="8" w:color="0000EE"/>
            </w:tcBorders>
            <w:gridSpan w:val="7"/>
          </w:tcPr>
          <w:p>
            <w:pPr>
              <w:spacing w:after="0" w:line="194" w:lineRule="exact"/>
              <w:rPr>
                <w:sz w:val="20"/>
                <w:szCs w:val="20"/>
                <w:color w:val="auto"/>
              </w:rPr>
            </w:pPr>
            <w:r>
              <w:rPr>
                <w:rFonts w:ascii="Times New Roman" w:cs="Times New Roman" w:eastAsia="Times New Roman" w:hAnsi="Times New Roman"/>
                <w:sz w:val="18"/>
                <w:szCs w:val="18"/>
                <w:color w:val="0000EE"/>
                <w:w w:val="98"/>
              </w:rPr>
              <w:t>Market and Industry Data</w:t>
            </w:r>
          </w:p>
        </w:tc>
        <w:tc>
          <w:tcPr>
            <w:tcW w:w="3000" w:type="dxa"/>
            <w:vAlign w:val="bottom"/>
            <w:tcBorders>
              <w:top w:val="single" w:sz="8" w:color="0000EE"/>
            </w:tcBorders>
            <w:gridSpan w:val="6"/>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79</w:t>
            </w:r>
          </w:p>
        </w:tc>
        <w:tc>
          <w:tcPr>
            <w:tcW w:w="400" w:type="dxa"/>
            <w:vAlign w:val="bottom"/>
          </w:tcPr>
          <w:p>
            <w:pPr>
              <w:spacing w:after="0"/>
              <w:rPr>
                <w:sz w:val="16"/>
                <w:szCs w:val="16"/>
                <w:color w:val="auto"/>
              </w:rPr>
            </w:pPr>
          </w:p>
        </w:tc>
        <w:tc>
          <w:tcPr>
            <w:tcW w:w="4400" w:type="dxa"/>
            <w:vAlign w:val="bottom"/>
            <w:tcBorders>
              <w:top w:val="single" w:sz="8" w:color="0000EE"/>
            </w:tcBorders>
            <w:gridSpan w:val="15"/>
          </w:tcPr>
          <w:p>
            <w:pPr>
              <w:ind w:left="180"/>
              <w:spacing w:after="0" w:line="194" w:lineRule="exact"/>
              <w:rPr>
                <w:sz w:val="20"/>
                <w:szCs w:val="20"/>
                <w:color w:val="auto"/>
              </w:rPr>
            </w:pPr>
            <w:r>
              <w:rPr>
                <w:rFonts w:ascii="Times New Roman" w:cs="Times New Roman" w:eastAsia="Times New Roman" w:hAnsi="Times New Roman"/>
                <w:sz w:val="18"/>
                <w:szCs w:val="18"/>
                <w:color w:val="0000EE"/>
              </w:rPr>
              <w:t>Holders</w:t>
            </w:r>
          </w:p>
        </w:tc>
        <w:tc>
          <w:tcPr>
            <w:tcW w:w="540" w:type="dxa"/>
            <w:vAlign w:val="bottom"/>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160" w:type="dxa"/>
            <w:vAlign w:val="bottom"/>
            <w:tcBorders>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7"/>
              </w:rPr>
              <w:t>Use of Proceeds</w:t>
            </w:r>
          </w:p>
        </w:tc>
        <w:tc>
          <w:tcPr>
            <w:tcW w:w="680" w:type="dxa"/>
            <w:vAlign w:val="bottom"/>
            <w:gridSpan w:val="2"/>
          </w:tcPr>
          <w:p>
            <w:pPr>
              <w:spacing w:after="0"/>
              <w:rPr>
                <w:sz w:val="16"/>
                <w:szCs w:val="16"/>
                <w:color w:val="auto"/>
              </w:rPr>
            </w:pPr>
          </w:p>
        </w:tc>
        <w:tc>
          <w:tcPr>
            <w:tcW w:w="3000" w:type="dxa"/>
            <w:vAlign w:val="bottom"/>
            <w:gridSpan w:val="6"/>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82</w:t>
            </w:r>
          </w:p>
        </w:tc>
        <w:tc>
          <w:tcPr>
            <w:tcW w:w="400" w:type="dxa"/>
            <w:vAlign w:val="bottom"/>
          </w:tcPr>
          <w:p>
            <w:pPr>
              <w:spacing w:after="0"/>
              <w:rPr>
                <w:sz w:val="16"/>
                <w:szCs w:val="16"/>
                <w:color w:val="auto"/>
              </w:rPr>
            </w:pPr>
          </w:p>
        </w:tc>
        <w:tc>
          <w:tcPr>
            <w:tcW w:w="940" w:type="dxa"/>
            <w:vAlign w:val="bottom"/>
            <w:tcBorders>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6"/>
              </w:rPr>
              <w:t>Underwriters</w:t>
            </w:r>
          </w:p>
        </w:tc>
        <w:tc>
          <w:tcPr>
            <w:tcW w:w="4000" w:type="dxa"/>
            <w:vAlign w:val="bottom"/>
            <w:gridSpan w:val="11"/>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194"/>
        </w:trPr>
        <w:tc>
          <w:tcPr>
            <w:tcW w:w="484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EE"/>
              </w:rPr>
              <w:t>Dividend Policy</w:t>
            </w: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83</w:t>
            </w:r>
          </w:p>
        </w:tc>
        <w:tc>
          <w:tcPr>
            <w:tcW w:w="400" w:type="dxa"/>
            <w:vAlign w:val="bottom"/>
          </w:tcPr>
          <w:p>
            <w:pPr>
              <w:spacing w:after="0"/>
              <w:rPr>
                <w:sz w:val="16"/>
                <w:szCs w:val="16"/>
                <w:color w:val="auto"/>
              </w:rPr>
            </w:pPr>
          </w:p>
        </w:tc>
        <w:tc>
          <w:tcPr>
            <w:tcW w:w="494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Legal Matters</w:t>
            </w: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194"/>
        </w:trPr>
        <w:tc>
          <w:tcPr>
            <w:tcW w:w="1000" w:type="dxa"/>
            <w:vAlign w:val="bottom"/>
            <w:tcBorders>
              <w:top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6"/>
              </w:rPr>
              <w:t>Capitalization</w:t>
            </w:r>
          </w:p>
        </w:tc>
        <w:tc>
          <w:tcPr>
            <w:tcW w:w="160" w:type="dxa"/>
            <w:vAlign w:val="bottom"/>
            <w:tcBorders>
              <w:top w:val="single" w:sz="8" w:color="0000EE"/>
            </w:tcBorders>
          </w:tcPr>
          <w:p>
            <w:pPr>
              <w:spacing w:after="0"/>
              <w:rPr>
                <w:sz w:val="16"/>
                <w:szCs w:val="16"/>
                <w:color w:val="auto"/>
              </w:rPr>
            </w:pPr>
          </w:p>
        </w:tc>
        <w:tc>
          <w:tcPr>
            <w:tcW w:w="3680" w:type="dxa"/>
            <w:vAlign w:val="bottom"/>
            <w:gridSpan w:val="8"/>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84</w:t>
            </w:r>
          </w:p>
        </w:tc>
        <w:tc>
          <w:tcPr>
            <w:tcW w:w="400" w:type="dxa"/>
            <w:vAlign w:val="bottom"/>
          </w:tcPr>
          <w:p>
            <w:pPr>
              <w:spacing w:after="0"/>
              <w:rPr>
                <w:sz w:val="16"/>
                <w:szCs w:val="16"/>
                <w:color w:val="auto"/>
              </w:rPr>
            </w:pPr>
          </w:p>
        </w:tc>
        <w:tc>
          <w:tcPr>
            <w:tcW w:w="1000" w:type="dxa"/>
            <w:vAlign w:val="bottom"/>
            <w:tcBorders>
              <w:top w:val="single" w:sz="8" w:color="0000EE"/>
            </w:tcBorders>
            <w:gridSpan w:val="6"/>
          </w:tcPr>
          <w:p>
            <w:pPr>
              <w:spacing w:after="0" w:line="194" w:lineRule="exact"/>
              <w:rPr>
                <w:sz w:val="20"/>
                <w:szCs w:val="20"/>
                <w:color w:val="auto"/>
              </w:rPr>
            </w:pPr>
            <w:r>
              <w:rPr>
                <w:rFonts w:ascii="Times New Roman" w:cs="Times New Roman" w:eastAsia="Times New Roman" w:hAnsi="Times New Roman"/>
                <w:sz w:val="18"/>
                <w:szCs w:val="18"/>
                <w:color w:val="0000EE"/>
              </w:rPr>
              <w:t>Experts</w:t>
            </w:r>
          </w:p>
        </w:tc>
        <w:tc>
          <w:tcPr>
            <w:tcW w:w="3940" w:type="dxa"/>
            <w:vAlign w:val="bottom"/>
            <w:gridSpan w:val="10"/>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3"/>
              </w:rPr>
              <w:t>Dilution</w:t>
            </w:r>
          </w:p>
        </w:tc>
        <w:tc>
          <w:tcPr>
            <w:tcW w:w="400" w:type="dxa"/>
            <w:vAlign w:val="bottom"/>
            <w:gridSpan w:val="2"/>
          </w:tcPr>
          <w:p>
            <w:pPr>
              <w:spacing w:after="0"/>
              <w:rPr>
                <w:sz w:val="16"/>
                <w:szCs w:val="16"/>
                <w:color w:val="auto"/>
              </w:rPr>
            </w:pPr>
          </w:p>
        </w:tc>
        <w:tc>
          <w:tcPr>
            <w:tcW w:w="3840" w:type="dxa"/>
            <w:vAlign w:val="bottom"/>
            <w:gridSpan w:val="9"/>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86</w:t>
            </w:r>
          </w:p>
        </w:tc>
        <w:tc>
          <w:tcPr>
            <w:tcW w:w="400" w:type="dxa"/>
            <w:vAlign w:val="bottom"/>
          </w:tcPr>
          <w:p>
            <w:pPr>
              <w:spacing w:after="0"/>
              <w:rPr>
                <w:sz w:val="16"/>
                <w:szCs w:val="16"/>
                <w:color w:val="auto"/>
              </w:rPr>
            </w:pPr>
          </w:p>
        </w:tc>
        <w:tc>
          <w:tcPr>
            <w:tcW w:w="494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Change in Independent Registered Public Accounting Firm</w:t>
            </w: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50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EE"/>
                <w:w w:val="98"/>
              </w:rPr>
              <w:t>Management’s Discussion and Analysis of Financial Condition</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4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194"/>
        </w:trPr>
        <w:tc>
          <w:tcPr>
            <w:tcW w:w="180" w:type="dxa"/>
            <w:vAlign w:val="bottom"/>
            <w:tcBorders>
              <w:top w:val="single" w:sz="8" w:color="0000EE"/>
            </w:tcBorders>
          </w:tcPr>
          <w:p>
            <w:pPr>
              <w:spacing w:after="0"/>
              <w:rPr>
                <w:sz w:val="16"/>
                <w:szCs w:val="16"/>
                <w:color w:val="auto"/>
              </w:rPr>
            </w:pPr>
          </w:p>
        </w:tc>
        <w:tc>
          <w:tcPr>
            <w:tcW w:w="4320" w:type="dxa"/>
            <w:vAlign w:val="bottom"/>
            <w:tcBorders>
              <w:top w:val="single" w:sz="8" w:color="0000EE"/>
            </w:tcBorders>
            <w:gridSpan w:val="11"/>
          </w:tcPr>
          <w:p>
            <w:pPr>
              <w:spacing w:after="0" w:line="194" w:lineRule="exact"/>
              <w:rPr>
                <w:sz w:val="20"/>
                <w:szCs w:val="20"/>
                <w:color w:val="auto"/>
              </w:rPr>
            </w:pPr>
            <w:r>
              <w:rPr>
                <w:rFonts w:ascii="Times New Roman" w:cs="Times New Roman" w:eastAsia="Times New Roman" w:hAnsi="Times New Roman"/>
                <w:sz w:val="18"/>
                <w:szCs w:val="18"/>
                <w:color w:val="0000EE"/>
              </w:rPr>
              <w:t>and Results of Operations</w:t>
            </w:r>
          </w:p>
        </w:tc>
        <w:tc>
          <w:tcPr>
            <w:tcW w:w="340" w:type="dxa"/>
            <w:vAlign w:val="bottom"/>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89</w:t>
            </w:r>
          </w:p>
        </w:tc>
        <w:tc>
          <w:tcPr>
            <w:tcW w:w="400" w:type="dxa"/>
            <w:vAlign w:val="bottom"/>
          </w:tcPr>
          <w:p>
            <w:pPr>
              <w:spacing w:after="0"/>
              <w:rPr>
                <w:sz w:val="16"/>
                <w:szCs w:val="16"/>
                <w:color w:val="auto"/>
              </w:rPr>
            </w:pPr>
          </w:p>
        </w:tc>
        <w:tc>
          <w:tcPr>
            <w:tcW w:w="3200" w:type="dxa"/>
            <w:vAlign w:val="bottom"/>
            <w:tcBorders>
              <w:top w:val="single" w:sz="8" w:color="0000EE"/>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1740" w:type="dxa"/>
            <w:vAlign w:val="bottom"/>
            <w:gridSpan w:val="4"/>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87"/>
              </w:rPr>
              <w:t>Business</w:t>
            </w:r>
          </w:p>
        </w:tc>
        <w:tc>
          <w:tcPr>
            <w:tcW w:w="4240" w:type="dxa"/>
            <w:vAlign w:val="bottom"/>
            <w:gridSpan w:val="11"/>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126</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330835</wp:posOffset>
            </wp:positionV>
            <wp:extent cx="14503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As used in this prospectus, unless the context otherwise requires, references to “Omada,” “Omada Health,” the “company,” “we,” “us,” and “our” refer to Omada Health, Inc. and, where appropriate, its subsidiary and consolidated professional corporation, taken as a whole.</w:t>
      </w:r>
    </w:p>
    <w:p>
      <w:pPr>
        <w:spacing w:after="0" w:line="163" w:lineRule="exact"/>
        <w:rPr>
          <w:sz w:val="20"/>
          <w:szCs w:val="20"/>
          <w:color w:val="auto"/>
        </w:rPr>
      </w:pPr>
    </w:p>
    <w:p>
      <w:pPr>
        <w:jc w:val="both"/>
        <w:ind w:left="180" w:firstLine="436"/>
        <w:spacing w:after="0" w:line="234" w:lineRule="auto"/>
        <w:rPr>
          <w:sz w:val="20"/>
          <w:szCs w:val="20"/>
          <w:color w:val="auto"/>
        </w:rPr>
      </w:pPr>
      <w:r>
        <w:rPr>
          <w:rFonts w:ascii="Times New Roman" w:cs="Times New Roman" w:eastAsia="Times New Roman" w:hAnsi="Times New Roman"/>
          <w:sz w:val="18"/>
          <w:szCs w:val="18"/>
          <w:color w:val="auto"/>
        </w:rPr>
        <w:t xml:space="preserve">“Omada Health,” “Omada,” the Omada logos, and other trade names, trademarks, or service marks of Omada appearing in this prospectus are the property of Omada. Other trade names, trademarks, or service marks appearing in this prospectus are the property of their respective holders. We do not intend our use or display of other companies’ trade names, trademarks, or service marks to imply a relationship with, or endorsement or sponsorship of us by, these other companies. Solely for convenience, trade names, trademarks, and service marks referred to in this prospectus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symbols, but those references are not intended to indicate, in any way, that we will not assert, to the fullest extent under applicable law, our rights or that the applicable owner will not assert its rights, to these trade names, trademarks, and service marks.</w:t>
      </w:r>
    </w:p>
    <w:p>
      <w:pPr>
        <w:spacing w:after="0" w:line="196"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59" w:lineRule="exact"/>
        <w:rPr>
          <w:sz w:val="20"/>
          <w:szCs w:val="20"/>
          <w:color w:val="auto"/>
        </w:rPr>
      </w:pPr>
    </w:p>
    <w:p>
      <w:pPr>
        <w:jc w:val="both"/>
        <w:ind w:left="180" w:right="20" w:firstLine="436"/>
        <w:spacing w:after="0" w:line="252" w:lineRule="auto"/>
        <w:rPr>
          <w:sz w:val="20"/>
          <w:szCs w:val="20"/>
          <w:color w:val="auto"/>
        </w:rPr>
      </w:pPr>
      <w:r>
        <w:rPr>
          <w:rFonts w:ascii="Times New Roman" w:cs="Times New Roman" w:eastAsia="Times New Roman" w:hAnsi="Times New Roman"/>
          <w:sz w:val="18"/>
          <w:szCs w:val="18"/>
          <w:b w:val="1"/>
          <w:bCs w:val="1"/>
          <w:color w:val="auto"/>
        </w:rPr>
        <w:t>We have not, and the underwriters have not, authorized anyone to provide you any information or to make any representations other than those contained in this prospectus or in any free writing prospectus prepared by or on behalf of us or to which we have referred you. Neither we nor the underwriters take responsibility for, or provide any assurance as to the reliability of, any other information others may give you. This prospectus is an offer to sell only the shares offered hereby, and only under circumstances and in jurisdictions where it is lawful to do so. We are not, and the underwriters are not, making an offer to sell these securities in any jurisdiction where the offer or sale is not permitted. The information contained in this prospectus is accurate only as of the date of this prospectus, regardless of the time of delivery of this prospectus or any sale of the shares of our common stock. Our business, financial condition, and results of operations may have changed since that date.</w:t>
      </w:r>
    </w:p>
    <w:p>
      <w:pPr>
        <w:sectPr>
          <w:pgSz w:w="11900" w:h="16838" w:orient="portrait"/>
          <w:cols w:equalWidth="0" w:num="1">
            <w:col w:w="11080"/>
          </w:cols>
          <w:pgMar w:left="320" w:top="451"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80" w:right="2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For investors outside the United States: </w:t>
      </w:r>
      <w:r>
        <w:rPr>
          <w:rFonts w:ascii="Times New Roman" w:cs="Times New Roman" w:eastAsia="Times New Roman" w:hAnsi="Times New Roman"/>
          <w:sz w:val="18"/>
          <w:szCs w:val="18"/>
          <w:color w:val="auto"/>
        </w:rPr>
        <w:t>We have not, and the underwriters have not, done anything that would permit this offering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possession or distribution of this prospectus or any free writing prospectus in connection with this offering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 See the section titled “Underwriters.”</w:t>
      </w:r>
    </w:p>
    <w:p>
      <w:pPr>
        <w:spacing w:after="0" w:line="178" w:lineRule="exact"/>
        <w:rPr>
          <w:sz w:val="20"/>
          <w:szCs w:val="20"/>
          <w:color w:val="auto"/>
        </w:rPr>
      </w:pPr>
    </w:p>
    <w:p>
      <w:pPr>
        <w:jc w:val="both"/>
        <w:ind w:left="18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THROUGH AND INCLUDING        , 2025 (THE 25TH DAY AFTER THE DATE OF THIS PROSPECTUS),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ectPr>
          <w:pgSz w:w="11900" w:h="16838" w:orient="portrait"/>
          <w:cols w:equalWidth="0" w:num="1">
            <w:col w:w="11080"/>
          </w:cols>
          <w:pgMar w:left="320" w:top="451"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 this prospectus, we use a number of healthcare industry terms, as well as other terms that are relevant to the delivery of our virtual care programs, as defined below unless otherwise noted or indicated by the context:</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A1C</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hemoglobin A1C</w:t>
      </w:r>
      <w:r>
        <w:rPr>
          <w:rFonts w:ascii="Times New Roman" w:cs="Times New Roman" w:eastAsia="Times New Roman" w:hAnsi="Times New Roman"/>
          <w:sz w:val="18"/>
          <w:szCs w:val="18"/>
          <w:color w:val="auto"/>
        </w:rPr>
        <w:t>” means a measure of an individual’s blood glucose levels over the past three months.</w:t>
      </w:r>
    </w:p>
    <w:p>
      <w:pPr>
        <w:spacing w:after="0" w:line="220"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w:t>
      </w:r>
      <w:r>
        <w:rPr>
          <w:rFonts w:ascii="Times New Roman" w:cs="Times New Roman" w:eastAsia="Times New Roman" w:hAnsi="Times New Roman"/>
          <w:sz w:val="18"/>
          <w:szCs w:val="18"/>
          <w:color w:val="auto"/>
        </w:rPr>
        <w:t>” means the American College of Cardiology, a nonprofit medical society that, among other things, provides self-monitoring blood pressure guidelines.</w:t>
      </w:r>
    </w:p>
    <w:p>
      <w:pPr>
        <w:spacing w:after="0" w:line="155"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ADA</w:t>
      </w:r>
      <w:r>
        <w:rPr>
          <w:rFonts w:ascii="Times New Roman" w:cs="Times New Roman" w:eastAsia="Times New Roman" w:hAnsi="Times New Roman"/>
          <w:sz w:val="18"/>
          <w:szCs w:val="18"/>
          <w:color w:val="auto"/>
        </w:rPr>
        <w:t>” means the American Diabetes Association, a nonprofit organization that promotes efforts to prevent and address diabetes that has endorsed DSMES.</w:t>
      </w:r>
    </w:p>
    <w:p>
      <w:pPr>
        <w:spacing w:after="0" w:line="155" w:lineRule="exact"/>
        <w:rPr>
          <w:sz w:val="20"/>
          <w:szCs w:val="20"/>
          <w:color w:val="auto"/>
        </w:rPr>
      </w:pPr>
    </w:p>
    <w:p>
      <w:pPr>
        <w:jc w:val="both"/>
        <w:ind w:left="18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ADCES</w:t>
      </w:r>
      <w:r>
        <w:rPr>
          <w:rFonts w:ascii="Times New Roman" w:cs="Times New Roman" w:eastAsia="Times New Roman" w:hAnsi="Times New Roman"/>
          <w:sz w:val="18"/>
          <w:szCs w:val="18"/>
          <w:color w:val="auto"/>
        </w:rPr>
        <w:t>” means the Association of Diabetes Care and Education Specialists, a professional membership organization dedicated to advancing the quality of diabetes care and education that has awarded accreditation to Omada for Diabetes.</w:t>
      </w:r>
    </w:p>
    <w:p>
      <w:pPr>
        <w:spacing w:after="0" w:line="155" w:lineRule="exact"/>
        <w:rPr>
          <w:sz w:val="20"/>
          <w:szCs w:val="20"/>
          <w:color w:val="auto"/>
        </w:rPr>
      </w:pPr>
    </w:p>
    <w:p>
      <w:pPr>
        <w:jc w:val="both"/>
        <w:ind w:left="180" w:right="20" w:firstLine="43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Affiliated professional entities</w:t>
      </w:r>
      <w:r>
        <w:rPr>
          <w:rFonts w:ascii="Times New Roman" w:cs="Times New Roman" w:eastAsia="Times New Roman" w:hAnsi="Times New Roman"/>
          <w:sz w:val="18"/>
          <w:szCs w:val="18"/>
          <w:color w:val="auto"/>
        </w:rPr>
        <w:t>” means the professional corporations or similar entities that directly engage certain healthcare professionals, including licensed physical therapists, and that enter into agreements (or may enter into agreements in the future) with us for the delivery of certain aspects of our care. External partners that provide only complementary healthcare services and not aspects of Omada’s care, such as third-party entities that may in their own professional discretion issue members prescriptions for CGMs or referrals to physical therapy, are not our affiliated professional entities.</w:t>
      </w:r>
    </w:p>
    <w:p>
      <w:pPr>
        <w:spacing w:after="0" w:line="178"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AHA</w:t>
      </w:r>
      <w:r>
        <w:rPr>
          <w:rFonts w:ascii="Times New Roman" w:cs="Times New Roman" w:eastAsia="Times New Roman" w:hAnsi="Times New Roman"/>
          <w:sz w:val="18"/>
          <w:szCs w:val="18"/>
          <w:color w:val="auto"/>
        </w:rPr>
        <w:t>” means the American Heart Association, a nonprofit organization that, among other things, provides self-monitoring blood pressure guidelines.</w:t>
      </w:r>
    </w:p>
    <w:p>
      <w:pPr>
        <w:spacing w:after="0" w:line="155"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ASO services</w:t>
      </w:r>
      <w:r>
        <w:rPr>
          <w:rFonts w:ascii="Times New Roman" w:cs="Times New Roman" w:eastAsia="Times New Roman" w:hAnsi="Times New Roman"/>
          <w:sz w:val="18"/>
          <w:szCs w:val="18"/>
          <w:color w:val="auto"/>
        </w:rPr>
        <w:t>” means administrative services, such as electronic claims processing or other payment processing, typically provided by a health plan or similar entity to its self-insured end customers.</w:t>
      </w:r>
    </w:p>
    <w:p>
      <w:pPr>
        <w:spacing w:after="0" w:line="155" w:lineRule="exact"/>
        <w:rPr>
          <w:sz w:val="20"/>
          <w:szCs w:val="20"/>
          <w:color w:val="auto"/>
        </w:rPr>
      </w:pPr>
    </w:p>
    <w:p>
      <w:pPr>
        <w:jc w:val="both"/>
        <w:ind w:left="18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Behavioral health specialist</w:t>
      </w:r>
      <w:r>
        <w:rPr>
          <w:rFonts w:ascii="Times New Roman" w:cs="Times New Roman" w:eastAsia="Times New Roman" w:hAnsi="Times New Roman"/>
          <w:sz w:val="18"/>
          <w:szCs w:val="18"/>
          <w:color w:val="auto"/>
        </w:rPr>
        <w:t>” means the licensed clinical social workers that provide consultation to our other Care Team members on general behavioral health practices on an as-needed basis.</w:t>
      </w:r>
    </w:p>
    <w:p>
      <w:pPr>
        <w:spacing w:after="0" w:line="155"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Cardiometabolic conditions</w:t>
      </w:r>
      <w:r>
        <w:rPr>
          <w:rFonts w:ascii="Times New Roman" w:cs="Times New Roman" w:eastAsia="Times New Roman" w:hAnsi="Times New Roman"/>
          <w:sz w:val="18"/>
          <w:szCs w:val="18"/>
          <w:color w:val="auto"/>
        </w:rPr>
        <w:t>” means conditions that affect or can affect an individual’s cardiovascular system (heart and circulation or blood vessels) and metabolic health, including diabetes, prediabetes, hypertension, and weight-management issues.</w:t>
      </w:r>
    </w:p>
    <w:p>
      <w:pPr>
        <w:spacing w:after="0" w:line="155" w:lineRule="exact"/>
        <w:rPr>
          <w:sz w:val="20"/>
          <w:szCs w:val="20"/>
          <w:color w:val="auto"/>
        </w:rPr>
      </w:pPr>
    </w:p>
    <w:p>
      <w:pPr>
        <w:jc w:val="both"/>
        <w:ind w:left="180" w:right="2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Cardiometabolic programs</w:t>
      </w:r>
      <w:r>
        <w:rPr>
          <w:rFonts w:ascii="Times New Roman" w:cs="Times New Roman" w:eastAsia="Times New Roman" w:hAnsi="Times New Roman"/>
          <w:sz w:val="18"/>
          <w:szCs w:val="18"/>
          <w:color w:val="auto"/>
        </w:rPr>
        <w:t>” means our programs designed to support members living with or at risk for cardiometabolic conditions and comprise Omada for Prevention &amp; Weight Health, Omada for Diabetes, Omada for Hypertension, and the combined Omada for Diabetes and Hypertension program.</w:t>
      </w:r>
    </w:p>
    <w:p>
      <w:pPr>
        <w:spacing w:after="0" w:line="169" w:lineRule="exact"/>
        <w:rPr>
          <w:sz w:val="20"/>
          <w:szCs w:val="20"/>
          <w:color w:val="auto"/>
        </w:rPr>
      </w:pPr>
    </w:p>
    <w:p>
      <w:pPr>
        <w:jc w:val="both"/>
        <w:ind w:left="18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Care Teams</w:t>
      </w:r>
      <w:r>
        <w:rPr>
          <w:rFonts w:ascii="Times New Roman" w:cs="Times New Roman" w:eastAsia="Times New Roman" w:hAnsi="Times New Roman"/>
          <w:sz w:val="18"/>
          <w:szCs w:val="18"/>
          <w:color w:val="auto"/>
        </w:rPr>
        <w:t>” means the health coaches, relevant specialists, and licensed physical therapists that deliver healthcare for members in our programs.</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Care Team Platform</w:t>
      </w:r>
      <w:r>
        <w:rPr>
          <w:rFonts w:ascii="Times New Roman" w:cs="Times New Roman" w:eastAsia="Times New Roman" w:hAnsi="Times New Roman"/>
          <w:sz w:val="18"/>
          <w:szCs w:val="18"/>
          <w:color w:val="auto"/>
        </w:rPr>
        <w:t>” means our own, proprietary electronic health records system that enables our Care Teams to deliver human-led care.</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CDC</w:t>
      </w:r>
      <w:r>
        <w:rPr>
          <w:rFonts w:ascii="Times New Roman" w:cs="Times New Roman" w:eastAsia="Times New Roman" w:hAnsi="Times New Roman"/>
          <w:sz w:val="18"/>
          <w:szCs w:val="18"/>
          <w:color w:val="auto"/>
        </w:rPr>
        <w:t>” means the Centers for Disease Control and Prevention, the national public health agency of the U.S.</w:t>
      </w:r>
    </w:p>
    <w:p>
      <w:pPr>
        <w:spacing w:after="0" w:line="220" w:lineRule="exact"/>
        <w:rPr>
          <w:sz w:val="20"/>
          <w:szCs w:val="20"/>
          <w:color w:val="auto"/>
        </w:rPr>
      </w:pPr>
    </w:p>
    <w:p>
      <w:pPr>
        <w:jc w:val="both"/>
        <w:ind w:left="180" w:right="20" w:firstLine="436"/>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Channel partner</w:t>
      </w:r>
      <w:r>
        <w:rPr>
          <w:rFonts w:ascii="Times New Roman" w:cs="Times New Roman" w:eastAsia="Times New Roman" w:hAnsi="Times New Roman"/>
          <w:sz w:val="17"/>
          <w:szCs w:val="17"/>
          <w:color w:val="auto"/>
        </w:rPr>
        <w:t>” means a partner that resells our programs to its own end customers that are financially responsible for costs of our programs. Our channel partners include health plans when those health plans make our programs available to their self-insured customers that are financially responsible for costs of our programs and only receive ASO services from the health plan. Health plans may also operate as our paying customers, and</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1"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62" w:lineRule="auto"/>
        <w:rPr>
          <w:sz w:val="20"/>
          <w:szCs w:val="20"/>
          <w:color w:val="auto"/>
        </w:rPr>
      </w:pPr>
      <w:r>
        <w:rPr>
          <w:rFonts w:ascii="Times New Roman" w:cs="Times New Roman" w:eastAsia="Times New Roman" w:hAnsi="Times New Roman"/>
          <w:sz w:val="18"/>
          <w:szCs w:val="18"/>
          <w:color w:val="auto"/>
        </w:rPr>
        <w:t>not as channel partners, when those health plans include our programs as covered benefits for fully insured populations, where the health plan is financially responsible for costs of our programs. Our channel partners also include PBMs and certain wellness platforms that provide wellbeing or benefit-navigation services.</w:t>
      </w:r>
    </w:p>
    <w:p>
      <w:pPr>
        <w:spacing w:after="0" w:line="173" w:lineRule="exact"/>
        <w:rPr>
          <w:sz w:val="20"/>
          <w:szCs w:val="20"/>
          <w:color w:val="auto"/>
        </w:rPr>
      </w:pPr>
    </w:p>
    <w:p>
      <w:pPr>
        <w:jc w:val="both"/>
        <w:ind w:left="180" w:right="2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 health insurance</w:t>
      </w:r>
      <w:r>
        <w:rPr>
          <w:rFonts w:ascii="Times New Roman" w:cs="Times New Roman" w:eastAsia="Times New Roman" w:hAnsi="Times New Roman"/>
          <w:sz w:val="18"/>
          <w:szCs w:val="18"/>
          <w:color w:val="auto"/>
        </w:rPr>
        <w:t>” means employer-sponsored health insurance, including both self-funded plans administered by health plans and populations that are fully insured by health plans, but excludes individuals covered only by government programs, such as Medicare Advantage, or through PBMs and health systems, where those individuals are not also covered by the commercial health insurance described above.</w:t>
      </w:r>
    </w:p>
    <w:p>
      <w:pPr>
        <w:spacing w:after="0" w:line="169"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CGMs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continuous glucose monitors</w:t>
      </w:r>
      <w:r>
        <w:rPr>
          <w:rFonts w:ascii="Times New Roman" w:cs="Times New Roman" w:eastAsia="Times New Roman" w:hAnsi="Times New Roman"/>
          <w:sz w:val="18"/>
          <w:szCs w:val="18"/>
          <w:color w:val="auto"/>
        </w:rPr>
        <w:t>” means a third-party connected device and type of glucose meter that a member wears to continuously measure blood sugar levels, which provides real-time data to the member and our Care Teams.</w:t>
      </w:r>
    </w:p>
    <w:p>
      <w:pPr>
        <w:spacing w:after="0" w:line="155" w:lineRule="exact"/>
        <w:rPr>
          <w:sz w:val="20"/>
          <w:szCs w:val="20"/>
          <w:color w:val="auto"/>
        </w:rPr>
      </w:pPr>
    </w:p>
    <w:p>
      <w:pPr>
        <w:jc w:val="both"/>
        <w:ind w:left="180" w:right="2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Connected devices</w:t>
      </w:r>
      <w:r>
        <w:rPr>
          <w:rFonts w:ascii="Times New Roman" w:cs="Times New Roman" w:eastAsia="Times New Roman" w:hAnsi="Times New Roman"/>
          <w:sz w:val="18"/>
          <w:szCs w:val="18"/>
          <w:color w:val="auto"/>
        </w:rPr>
        <w:t>” means connected (typically cellularly), third-party devices that we provide to members in our cardiometabolic programs when clinically appropriate to quantitatively measure progress, surface real-time member data to our platform, and inform delivery of care. Depending on the program, these devices can include scales, blood pressure monitors, blood glucose monitors, and CGMs.</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lives</w:t>
      </w:r>
      <w:r>
        <w:rPr>
          <w:rFonts w:ascii="Times New Roman" w:cs="Times New Roman" w:eastAsia="Times New Roman" w:hAnsi="Times New Roman"/>
          <w:sz w:val="18"/>
          <w:szCs w:val="18"/>
          <w:color w:val="auto"/>
        </w:rPr>
        <w:t>” means individuals covered for participation in one or more of our programs by one or more of our paying customers.</w:t>
      </w:r>
    </w:p>
    <w:p>
      <w:pPr>
        <w:spacing w:after="0" w:line="220"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means an entity that is financially responsible for costs of our programs for a population of covered lives, either by contracting with us directly or by arranging access through a channel partner. Our customers include employers that cover our programs for their employees and their dependents, health systems that cover our programs for patients, and any other entity that is financially responsible for costs of our programs for a population of covered lives, such as cities, counties, or states that cover costs of our programs for residents. Our customers also include health plans that include our programs as covered benefits for fully insured populations, where the health plan is financially responsible for costs of our programs. Health plans may also operate as channel partners, and not customers, when those health plans make our programs available to their self-insured customers that are financially responsible for costs of our programs and only receive ASO services from the health plan.</w:t>
      </w:r>
    </w:p>
    <w:p>
      <w:pPr>
        <w:spacing w:after="0" w:line="182"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Diabetes Prevention Recognition Program</w:t>
      </w:r>
      <w:r>
        <w:rPr>
          <w:rFonts w:ascii="Times New Roman" w:cs="Times New Roman" w:eastAsia="Times New Roman" w:hAnsi="Times New Roman"/>
          <w:sz w:val="18"/>
          <w:szCs w:val="18"/>
          <w:color w:val="auto"/>
        </w:rPr>
        <w:t>” means a program established by the CDC to recognize organizations that have demonstrated their ability to effectively deliver an evidence-based diabetes prevention program in accordance with CDC requirements.</w:t>
      </w:r>
    </w:p>
    <w:p>
      <w:pPr>
        <w:spacing w:after="0" w:line="155" w:lineRule="exact"/>
        <w:rPr>
          <w:sz w:val="20"/>
          <w:szCs w:val="20"/>
          <w:color w:val="auto"/>
        </w:rPr>
      </w:pPr>
    </w:p>
    <w:p>
      <w:pPr>
        <w:jc w:val="both"/>
        <w:ind w:left="18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Diabetes Specialist</w:t>
      </w:r>
      <w:r>
        <w:rPr>
          <w:rFonts w:ascii="Times New Roman" w:cs="Times New Roman" w:eastAsia="Times New Roman" w:hAnsi="Times New Roman"/>
          <w:sz w:val="18"/>
          <w:szCs w:val="18"/>
          <w:color w:val="auto"/>
        </w:rPr>
        <w:t>” means the cardiometabolic specialists that provide additional clinical data interpretation support to members in Omada for Diabetes.</w:t>
      </w:r>
    </w:p>
    <w:p>
      <w:pPr>
        <w:spacing w:after="0" w:line="155"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DSMES</w:t>
      </w:r>
      <w:r>
        <w:rPr>
          <w:rFonts w:ascii="Times New Roman" w:cs="Times New Roman" w:eastAsia="Times New Roman" w:hAnsi="Times New Roman"/>
          <w:sz w:val="18"/>
          <w:szCs w:val="18"/>
          <w:color w:val="auto"/>
        </w:rPr>
        <w:t>” means Diabetes Self-Management Education &amp; Support, endorsed by the ADA, and refers to a program designed to help people living with diabetes gain the knowledge and skills to make behavior changes and better control their diabetes and related conditions.</w:t>
      </w:r>
    </w:p>
    <w:p>
      <w:pPr>
        <w:spacing w:after="0" w:line="155" w:lineRule="exact"/>
        <w:rPr>
          <w:sz w:val="20"/>
          <w:szCs w:val="20"/>
          <w:color w:val="auto"/>
        </w:rPr>
      </w:pPr>
    </w:p>
    <w:p>
      <w:pPr>
        <w:jc w:val="both"/>
        <w:ind w:left="18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Fully insured</w:t>
      </w:r>
      <w:r>
        <w:rPr>
          <w:rFonts w:ascii="Times New Roman" w:cs="Times New Roman" w:eastAsia="Times New Roman" w:hAnsi="Times New Roman"/>
          <w:sz w:val="18"/>
          <w:szCs w:val="18"/>
          <w:color w:val="auto"/>
        </w:rPr>
        <w:t>” means, with respect to fully insured entities or lines of business, populations for which a health plan is financially responsible for costs of our programs, including the shortfall or excess between any premiums collected to fund health benefits and payments made to healthcare providers such as Omada, as distinguished from populations for which the health plan provides ASO services only, where the health plan’s end customers are financially responsible for costs of our programs.</w:t>
      </w:r>
    </w:p>
    <w:p>
      <w:pPr>
        <w:spacing w:after="0" w:line="175"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GLP-1s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glucagon-like peptide-1 agonists</w:t>
      </w:r>
      <w:r>
        <w:rPr>
          <w:rFonts w:ascii="Times New Roman" w:cs="Times New Roman" w:eastAsia="Times New Roman" w:hAnsi="Times New Roman"/>
          <w:sz w:val="18"/>
          <w:szCs w:val="18"/>
          <w:color w:val="auto"/>
        </w:rPr>
        <w:t>” means a class of drugs used to treat certain cardiometabolic conditions, such as diabetes and obesity.</w:t>
      </w:r>
    </w:p>
    <w:p>
      <w:pPr>
        <w:spacing w:after="0" w:line="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51"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 coach</w:t>
      </w:r>
      <w:r>
        <w:rPr>
          <w:rFonts w:ascii="Times New Roman" w:cs="Times New Roman" w:eastAsia="Times New Roman" w:hAnsi="Times New Roman"/>
          <w:sz w:val="18"/>
          <w:szCs w:val="18"/>
          <w:color w:val="auto"/>
        </w:rPr>
        <w:t>” means the coaches that provide one-on-one education and support directly to members in our cardiometabolic programs.</w:t>
      </w:r>
    </w:p>
    <w:p>
      <w:pPr>
        <w:spacing w:after="0" w:line="220" w:lineRule="exact"/>
        <w:rPr>
          <w:sz w:val="20"/>
          <w:szCs w:val="20"/>
          <w:color w:val="auto"/>
        </w:rPr>
      </w:pPr>
    </w:p>
    <w:p>
      <w:pPr>
        <w:jc w:val="both"/>
        <w:ind w:left="18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 plan</w:t>
      </w:r>
      <w:r>
        <w:rPr>
          <w:rFonts w:ascii="Times New Roman" w:cs="Times New Roman" w:eastAsia="Times New Roman" w:hAnsi="Times New Roman"/>
          <w:sz w:val="18"/>
          <w:szCs w:val="18"/>
          <w:color w:val="auto"/>
        </w:rPr>
        <w:t>” means a health insurance company that either provides health benefits coverage for fully insured populations or provides ASO services to self-insured entities such as large employers that arrange for health benefits coverage to individuals. For purposes of this prospectus, “health plan” does not include a self-insured plan maintained by an employer or other entity under the Employee Retirement Income Security Act, and we refer to employers that arrange for coverage through those plans simply as employers.</w:t>
      </w:r>
    </w:p>
    <w:p>
      <w:pPr>
        <w:spacing w:after="0" w:line="175"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 system</w:t>
      </w:r>
      <w:r>
        <w:rPr>
          <w:rFonts w:ascii="Times New Roman" w:cs="Times New Roman" w:eastAsia="Times New Roman" w:hAnsi="Times New Roman"/>
          <w:sz w:val="18"/>
          <w:szCs w:val="18"/>
          <w:color w:val="auto"/>
        </w:rPr>
        <w:t>” means organizations of people and institutions that deliver healthcare services, such as hospitals and other large practices, and includes the subset of health systems that assume the cost of care for their patients.</w:t>
      </w:r>
    </w:p>
    <w:p>
      <w:pPr>
        <w:spacing w:after="0" w:line="155" w:lineRule="exact"/>
        <w:rPr>
          <w:sz w:val="20"/>
          <w:szCs w:val="20"/>
          <w:color w:val="auto"/>
        </w:rPr>
      </w:pPr>
    </w:p>
    <w:p>
      <w:pPr>
        <w:jc w:val="both"/>
        <w:ind w:left="18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Hypertension specialist</w:t>
      </w:r>
      <w:r>
        <w:rPr>
          <w:rFonts w:ascii="Times New Roman" w:cs="Times New Roman" w:eastAsia="Times New Roman" w:hAnsi="Times New Roman"/>
          <w:sz w:val="18"/>
          <w:szCs w:val="18"/>
          <w:color w:val="auto"/>
        </w:rPr>
        <w:t>” means the cardiometabolic specialists that provide additional clinical data interpretation support to members in Omada for Hypertension.</w:t>
      </w:r>
    </w:p>
    <w:p>
      <w:pPr>
        <w:spacing w:after="0" w:line="155"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clinical social worker</w:t>
      </w:r>
      <w:r>
        <w:rPr>
          <w:rFonts w:ascii="Times New Roman" w:cs="Times New Roman" w:eastAsia="Times New Roman" w:hAnsi="Times New Roman"/>
          <w:sz w:val="18"/>
          <w:szCs w:val="18"/>
          <w:color w:val="auto"/>
        </w:rPr>
        <w:t>” means the behavioral health specialists that provide consultation to our other Care Team members on general behavioral health practices on an as-needed basis.</w:t>
      </w:r>
    </w:p>
    <w:p>
      <w:pPr>
        <w:spacing w:after="0" w:line="155" w:lineRule="exact"/>
        <w:rPr>
          <w:sz w:val="20"/>
          <w:szCs w:val="20"/>
          <w:color w:val="auto"/>
        </w:rPr>
      </w:pPr>
    </w:p>
    <w:p>
      <w:pPr>
        <w:jc w:val="both"/>
        <w:ind w:left="180" w:right="2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physical therapist</w:t>
      </w:r>
      <w:r>
        <w:rPr>
          <w:rFonts w:ascii="Times New Roman" w:cs="Times New Roman" w:eastAsia="Times New Roman" w:hAnsi="Times New Roman"/>
          <w:sz w:val="18"/>
          <w:szCs w:val="18"/>
          <w:color w:val="auto"/>
        </w:rPr>
        <w:t>” means the healthcare professionals engaged by our affiliated professional entities that provide direct clinical care to members in Omada for MSK and also provide consultation to coaches in our cardiometabolic programs on general MSK practices on an as-needed basis.</w:t>
      </w:r>
    </w:p>
    <w:p>
      <w:pPr>
        <w:spacing w:after="0" w:line="169" w:lineRule="exact"/>
        <w:rPr>
          <w:sz w:val="20"/>
          <w:szCs w:val="20"/>
          <w:color w:val="auto"/>
        </w:rPr>
      </w:pPr>
    </w:p>
    <w:p>
      <w:pPr>
        <w:jc w:val="both"/>
        <w:ind w:left="18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Medicare Advantage</w:t>
      </w:r>
      <w:r>
        <w:rPr>
          <w:rFonts w:ascii="Times New Roman" w:cs="Times New Roman" w:eastAsia="Times New Roman" w:hAnsi="Times New Roman"/>
          <w:sz w:val="18"/>
          <w:szCs w:val="18"/>
          <w:color w:val="auto"/>
        </w:rPr>
        <w:t>” means a type of health benefits coverage offered by a health plan that contracts with Medicare as an alternative to traditional Medicare covered directly by the federal government.</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Member</w:t>
      </w:r>
      <w:r>
        <w:rPr>
          <w:rFonts w:ascii="Times New Roman" w:cs="Times New Roman" w:eastAsia="Times New Roman" w:hAnsi="Times New Roman"/>
          <w:sz w:val="18"/>
          <w:szCs w:val="18"/>
          <w:color w:val="auto"/>
        </w:rPr>
        <w:t>” means an individual that enrolls in one or more of our programs.</w:t>
      </w:r>
    </w:p>
    <w:p>
      <w:pPr>
        <w:spacing w:after="0" w:line="220"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Member cost sharing</w:t>
      </w:r>
      <w:r>
        <w:rPr>
          <w:rFonts w:ascii="Times New Roman" w:cs="Times New Roman" w:eastAsia="Times New Roman" w:hAnsi="Times New Roman"/>
          <w:sz w:val="18"/>
          <w:szCs w:val="18"/>
          <w:color w:val="auto"/>
        </w:rPr>
        <w:t>” means portions of healthcare costs paid for by the individual in connection with health insurance covers, such as copayments, co-insurance, or deductibles.</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MSK</w:t>
      </w:r>
      <w:r>
        <w:rPr>
          <w:rFonts w:ascii="Times New Roman" w:cs="Times New Roman" w:eastAsia="Times New Roman" w:hAnsi="Times New Roman"/>
          <w:sz w:val="18"/>
          <w:szCs w:val="18"/>
          <w:color w:val="auto"/>
        </w:rPr>
        <w:t>” means musculoskeletal and refers to conditions relevant to our physical therapy program, Omada for MSK.</w:t>
      </w:r>
    </w:p>
    <w:p>
      <w:pPr>
        <w:spacing w:after="0" w:line="220"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NCQA</w:t>
      </w:r>
      <w:r>
        <w:rPr>
          <w:rFonts w:ascii="Times New Roman" w:cs="Times New Roman" w:eastAsia="Times New Roman" w:hAnsi="Times New Roman"/>
          <w:sz w:val="18"/>
          <w:szCs w:val="18"/>
          <w:color w:val="auto"/>
        </w:rPr>
        <w:t>” means the National Committee for Quality Assurance, a non-profit accrediting organization that has awarded accreditation under its population health program to Omada for Diabetes and the combined Omada for Diabetes and Hypertension program.</w:t>
      </w:r>
    </w:p>
    <w:p>
      <w:pPr>
        <w:spacing w:after="0" w:line="155"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Outcomes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clinical outcomes</w:t>
      </w:r>
      <w:r>
        <w:rPr>
          <w:rFonts w:ascii="Times New Roman" w:cs="Times New Roman" w:eastAsia="Times New Roman" w:hAnsi="Times New Roman"/>
          <w:sz w:val="18"/>
          <w:szCs w:val="18"/>
          <w:color w:val="auto"/>
        </w:rPr>
        <w:t>” means the clinical results of members in our programs, such as changes in weight, blood pressure, blood glucose, A1C, MSK pain, physical function, or other clinical measures.</w:t>
      </w:r>
    </w:p>
    <w:p>
      <w:pPr>
        <w:spacing w:after="0" w:line="155"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Outreach campaigns</w:t>
      </w:r>
      <w:r>
        <w:rPr>
          <w:rFonts w:ascii="Times New Roman" w:cs="Times New Roman" w:eastAsia="Times New Roman" w:hAnsi="Times New Roman"/>
          <w:sz w:val="18"/>
          <w:szCs w:val="18"/>
          <w:color w:val="auto"/>
        </w:rPr>
        <w:t>” means initiatives, such as informational email or traditional mail campaigns or workplace promotions, designed to inform eligible members of their ability to join Omada programs.</w:t>
      </w:r>
    </w:p>
    <w:p>
      <w:pPr>
        <w:spacing w:after="0" w:line="155"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PBM</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pharmacy benefit manager</w:t>
      </w:r>
      <w:r>
        <w:rPr>
          <w:rFonts w:ascii="Times New Roman" w:cs="Times New Roman" w:eastAsia="Times New Roman" w:hAnsi="Times New Roman"/>
          <w:sz w:val="18"/>
          <w:szCs w:val="18"/>
          <w:color w:val="auto"/>
        </w:rPr>
        <w:t>” means an entity that manages prescription drug coverage and certain related offerings, such as our programs, and provides related administrative services. We work with PBMs as channel partners.</w:t>
      </w:r>
    </w:p>
    <w:p>
      <w:pPr>
        <w:spacing w:after="0" w:line="155" w:lineRule="exact"/>
        <w:rPr>
          <w:sz w:val="20"/>
          <w:szCs w:val="20"/>
          <w:color w:val="auto"/>
        </w:rPr>
      </w:pPr>
    </w:p>
    <w:p>
      <w:pPr>
        <w:jc w:val="both"/>
        <w:ind w:left="18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PPTG</w:t>
      </w:r>
      <w:r>
        <w:rPr>
          <w:rFonts w:ascii="Times New Roman" w:cs="Times New Roman" w:eastAsia="Times New Roman" w:hAnsi="Times New Roman"/>
          <w:sz w:val="18"/>
          <w:szCs w:val="18"/>
          <w:color w:val="auto"/>
        </w:rPr>
        <w:t>” means Physera Physical Therapy Group, PC, our affiliated professional entity that directly engages the licensed physical therapists that deliver care in Omada for MSK.</w:t>
      </w:r>
    </w:p>
    <w:p>
      <w:pPr>
        <w:spacing w:after="0" w:line="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80"/>
          </w:cols>
          <w:pgMar w:left="320" w:top="451"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80" w:right="2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Self-insured entities</w:t>
      </w:r>
      <w:r>
        <w:rPr>
          <w:rFonts w:ascii="Times New Roman" w:cs="Times New Roman" w:eastAsia="Times New Roman" w:hAnsi="Times New Roman"/>
          <w:sz w:val="18"/>
          <w:szCs w:val="18"/>
          <w:color w:val="auto"/>
        </w:rPr>
        <w:t>” means entities other than health plans, such as large employers, that arrange for health benefit coverage for individuals and are financially responsible for costs of our programs, including the shortfall or excess between any premiums collected to fund health benefits and payments made to healthcare providers such as Omada.</w:t>
      </w:r>
    </w:p>
    <w:p>
      <w:pPr>
        <w:spacing w:after="0" w:line="169"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URAC</w:t>
      </w:r>
      <w:r>
        <w:rPr>
          <w:rFonts w:ascii="Times New Roman" w:cs="Times New Roman" w:eastAsia="Times New Roman" w:hAnsi="Times New Roman"/>
          <w:sz w:val="18"/>
          <w:szCs w:val="18"/>
          <w:color w:val="auto"/>
        </w:rPr>
        <w:t>” means the Utilization Review Accreditation Commission, a non-profit accrediting organization that has awarded its Telehealth accreditation to Omada for MSK. </w:t>
      </w:r>
    </w:p>
    <w:p>
      <w:pPr>
        <w:spacing w:after="0" w:line="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80"/>
          </w:cols>
          <w:pgMar w:left="320" w:top="451"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6921500" cy="889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21500" cy="889825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6921500" cy="889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21500" cy="889825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6921500" cy="889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21500" cy="889825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6921500" cy="889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21500" cy="889825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64763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25945" cy="647636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2" w:lineRule="exact"/>
        <w:rPr>
          <w:sz w:val="20"/>
          <w:szCs w:val="20"/>
          <w:color w:val="auto"/>
        </w:rPr>
      </w:pPr>
    </w:p>
    <w:p>
      <w:pPr>
        <w:jc w:val="both"/>
        <w:ind w:left="360" w:right="20" w:firstLine="421"/>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in greater detail elsewhere in this prospectus. This summary is not complete and does not contain all of the information you should consider in making your investment decision. Before investing in our common stock, you should carefully read this entire prospectus. You should carefully consider, among other things, the sections titled “Risk Factors,” “Special Note Regarding Forward-Looking Statements,” and “Management’s Discussion and Analysis of Financial Condition and Results of Operations” and our audited consolidated financial statements and unaudited condensed consolidated financial statements and the related notes included elsewhere in this prospectus.</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224" w:lineRule="exact"/>
        <w:rPr>
          <w:sz w:val="20"/>
          <w:szCs w:val="20"/>
          <w:color w:val="auto"/>
        </w:rPr>
      </w:pPr>
    </w:p>
    <w:p>
      <w:pPr>
        <w:jc w:val="both"/>
        <w:ind w:left="360" w:firstLine="421"/>
        <w:spacing w:after="0" w:line="255" w:lineRule="auto"/>
        <w:rPr>
          <w:sz w:val="20"/>
          <w:szCs w:val="20"/>
          <w:color w:val="auto"/>
        </w:rPr>
      </w:pPr>
      <w:r>
        <w:rPr>
          <w:rFonts w:ascii="Times New Roman" w:cs="Times New Roman" w:eastAsia="Times New Roman" w:hAnsi="Times New Roman"/>
          <w:sz w:val="18"/>
          <w:szCs w:val="18"/>
          <w:color w:val="auto"/>
        </w:rPr>
        <w:t>Omada’s mission is to bend the curve. Our hope is that, one day, tomorrow’s epidemiologists will notice a bend in disease curves, wonder what might be happening, and conclude that part of that impact has been Omada. As part of that mission, we strive to inspire and enable people to make lasting health changes on their own terms. We deliver virtual care between doctor’s visits, providing an engaging, personalized, and integrated experience for our members that is designed to improve their health while delivering value for the employers, health plans, health systems, pharmacy benefit managers (“PBMs”), and other entities that cover the cost of our programs.</w:t>
      </w: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4" w:lineRule="exact"/>
        <w:rPr>
          <w:sz w:val="20"/>
          <w:szCs w:val="20"/>
          <w:color w:val="auto"/>
        </w:rPr>
      </w:pPr>
    </w:p>
    <w:p>
      <w:pPr>
        <w:jc w:val="both"/>
        <w:ind w:left="360" w:firstLine="421"/>
        <w:spacing w:after="0" w:line="262" w:lineRule="auto"/>
        <w:rPr>
          <w:sz w:val="20"/>
          <w:szCs w:val="20"/>
          <w:color w:val="auto"/>
        </w:rPr>
      </w:pPr>
      <w:r>
        <w:rPr>
          <w:rFonts w:ascii="Times New Roman" w:cs="Times New Roman" w:eastAsia="Times New Roman" w:hAnsi="Times New Roman"/>
          <w:sz w:val="18"/>
          <w:szCs w:val="18"/>
          <w:color w:val="auto"/>
        </w:rPr>
        <w:t>As of 2022, more than 156 million Americans suffered from one or more chronic conditions, such as obesity, prediabetes, diabetes, hypertension, and musculoskeletal (“MSK”) conditions, and approximately 40% of U.S. adults suffered from two or more chronic conditions, based on data published in the Annals of Bioethics &amp; Clinical Applications.</w:t>
      </w:r>
    </w:p>
    <w:p>
      <w:pPr>
        <w:spacing w:after="0" w:line="177" w:lineRule="exact"/>
        <w:rPr>
          <w:sz w:val="20"/>
          <w:szCs w:val="20"/>
          <w:color w:val="auto"/>
        </w:rPr>
      </w:pPr>
    </w:p>
    <w:p>
      <w:pPr>
        <w:jc w:val="both"/>
        <w:ind w:left="360" w:firstLine="421"/>
        <w:spacing w:after="0" w:line="253" w:lineRule="auto"/>
        <w:rPr>
          <w:sz w:val="20"/>
          <w:szCs w:val="20"/>
          <w:color w:val="auto"/>
        </w:rPr>
      </w:pPr>
      <w:r>
        <w:rPr>
          <w:rFonts w:ascii="Times New Roman" w:cs="Times New Roman" w:eastAsia="Times New Roman" w:hAnsi="Times New Roman"/>
          <w:sz w:val="18"/>
          <w:szCs w:val="18"/>
          <w:color w:val="auto"/>
        </w:rPr>
        <w:t xml:space="preserve">Managing these conditions—and treating the acute problems they can lead to—creates significant costs for employers, health plans, PBMs, and other entities that pay for the cost of care. According to the American Diabetes Association (the “ADA”)’s report “Economic Costs of Diabetes in the U.S. in 2022,” chronic diseases were the leading driver of U.S. medical spend, with diabetes alone accounting for $1 out of every $7 spent. According to research published in </w:t>
      </w:r>
      <w:r>
        <w:rPr>
          <w:rFonts w:ascii="Times New Roman" w:cs="Times New Roman" w:eastAsia="Times New Roman" w:hAnsi="Times New Roman"/>
          <w:sz w:val="18"/>
          <w:szCs w:val="18"/>
          <w:i w:val="1"/>
          <w:iCs w:val="1"/>
          <w:color w:val="auto"/>
        </w:rPr>
        <w:t>Diabetes Care</w:t>
      </w:r>
      <w:r>
        <w:rPr>
          <w:rFonts w:ascii="Times New Roman" w:cs="Times New Roman" w:eastAsia="Times New Roman" w:hAnsi="Times New Roman"/>
          <w:sz w:val="18"/>
          <w:szCs w:val="18"/>
          <w:color w:val="auto"/>
        </w:rPr>
        <w:t>, in 2022, an employee with type 2 diabetes cost on average an additional $7,000 annually due to increased medical costs, absenteeism, and lost productivity. The direct medical cost of people living with diabetes increased by 35% from 2012 to 2022, despite stable diabetes prevalence.</w:t>
      </w:r>
    </w:p>
    <w:p>
      <w:pPr>
        <w:spacing w:after="0" w:line="18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It doesn’t have to be that way.</w:t>
      </w:r>
    </w:p>
    <w:p>
      <w:pPr>
        <w:spacing w:after="0" w:line="220" w:lineRule="exact"/>
        <w:rPr>
          <w:sz w:val="20"/>
          <w:szCs w:val="20"/>
          <w:color w:val="auto"/>
        </w:rPr>
      </w:pPr>
    </w:p>
    <w:p>
      <w:pPr>
        <w:jc w:val="both"/>
        <w:ind w:left="360" w:right="20" w:firstLine="421"/>
        <w:spacing w:after="0" w:line="255" w:lineRule="auto"/>
        <w:rPr>
          <w:sz w:val="20"/>
          <w:szCs w:val="20"/>
          <w:color w:val="auto"/>
        </w:rPr>
      </w:pPr>
      <w:r>
        <w:rPr>
          <w:rFonts w:ascii="Times New Roman" w:cs="Times New Roman" w:eastAsia="Times New Roman" w:hAnsi="Times New Roman"/>
          <w:sz w:val="18"/>
          <w:szCs w:val="18"/>
          <w:color w:val="auto"/>
        </w:rPr>
        <w:t>Many chronic conditions can be managed or prevented at a more reasonable cost. One reason these conditions are often not managed efficiently is that the U.S. healthcare system was built mainly on encounter-based reimbursement models that pay for specific services, primarily as issues arise. Between what can be short and infrequent office visits, patients are often left to manage their condition on their own. Many have a hard time sticking to care plans and health goals—losing weight, eating better, exercising more—and have few resources to turn to for ongoing questions, accountability, and support as they work to change their lifestyle.</w:t>
      </w:r>
    </w:p>
    <w:p>
      <w:pPr>
        <w:spacing w:after="0" w:line="18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Behavior change is hard. Omada was created to make it easier.</w:t>
      </w:r>
    </w:p>
    <w:p>
      <w:pPr>
        <w:spacing w:after="0" w:line="220" w:lineRule="exact"/>
        <w:rPr>
          <w:sz w:val="20"/>
          <w:szCs w:val="20"/>
          <w:color w:val="auto"/>
        </w:rPr>
      </w:pPr>
    </w:p>
    <w:p>
      <w:pPr>
        <w:jc w:val="both"/>
        <w:ind w:left="360" w:firstLine="421"/>
        <w:spacing w:after="0" w:line="262" w:lineRule="auto"/>
        <w:rPr>
          <w:sz w:val="20"/>
          <w:szCs w:val="20"/>
          <w:color w:val="auto"/>
        </w:rPr>
      </w:pPr>
      <w:r>
        <w:rPr>
          <w:rFonts w:ascii="Times New Roman" w:cs="Times New Roman" w:eastAsia="Times New Roman" w:hAnsi="Times New Roman"/>
          <w:sz w:val="18"/>
          <w:szCs w:val="18"/>
          <w:color w:val="auto"/>
        </w:rPr>
        <w:t>Our virtual care programs are rooted in evidence and combine relationship-based, human-led clinical care with purpose-built technology. We call this approach Compassionate Intelligence. We work to develop trust with each member and use technology to help us personalize their experience, enabling us to unlock results at scale.</w:t>
      </w:r>
    </w:p>
    <w:p>
      <w:pPr>
        <w:spacing w:after="0" w:line="177" w:lineRule="exact"/>
        <w:rPr>
          <w:sz w:val="20"/>
          <w:szCs w:val="20"/>
          <w:color w:val="auto"/>
        </w:rPr>
      </w:pPr>
    </w:p>
    <w:p>
      <w:pPr>
        <w:jc w:val="both"/>
        <w:ind w:left="360" w:right="20" w:firstLine="421"/>
        <w:spacing w:after="0" w:line="277" w:lineRule="auto"/>
        <w:rPr>
          <w:sz w:val="20"/>
          <w:szCs w:val="20"/>
          <w:color w:val="auto"/>
        </w:rPr>
      </w:pPr>
      <w:r>
        <w:rPr>
          <w:rFonts w:ascii="Times New Roman" w:cs="Times New Roman" w:eastAsia="Times New Roman" w:hAnsi="Times New Roman"/>
          <w:sz w:val="18"/>
          <w:szCs w:val="18"/>
          <w:color w:val="auto"/>
        </w:rPr>
        <w:t>We sell our programs to customers that cover the cost for covered individuals. Our customers include employers that cover our programs for their employees and their dependents, health systems that cover our</w:t>
      </w:r>
    </w:p>
    <w:p>
      <w:pPr>
        <w:spacing w:after="0" w:line="2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320" w:top="451" w:right="6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56622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25945" cy="566229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360"/>
        <w:spacing w:after="0" w:line="273" w:lineRule="auto"/>
        <w:rPr>
          <w:sz w:val="20"/>
          <w:szCs w:val="20"/>
          <w:color w:val="auto"/>
        </w:rPr>
      </w:pPr>
      <w:r>
        <w:rPr>
          <w:rFonts w:ascii="Times New Roman" w:cs="Times New Roman" w:eastAsia="Times New Roman" w:hAnsi="Times New Roman"/>
          <w:sz w:val="17"/>
          <w:szCs w:val="17"/>
          <w:color w:val="auto"/>
        </w:rPr>
        <w:t>programs for patients, and any other entity that is financially responsible for costs of our programs for a population of covered lives. We also work closely with health plans and PBMs that either cover our programs for a portion of their members as our customers or act as channel partners reselling our programs to their own end customers. Our channel partners’ end customers typically consist of employers that cover our programs for their employees and their dependents. In general, our customers cover the cost of our programs for our members, except that members in our physical therapy program may incur copays, coinsurance, or deductibles, depending on plan design, much like in-person physical therapy.</w:t>
      </w:r>
    </w:p>
    <w:p>
      <w:pPr>
        <w:spacing w:after="0" w:line="171" w:lineRule="exact"/>
        <w:rPr>
          <w:sz w:val="20"/>
          <w:szCs w:val="20"/>
          <w:color w:val="auto"/>
        </w:rPr>
      </w:pPr>
    </w:p>
    <w:p>
      <w:pPr>
        <w:jc w:val="both"/>
        <w:ind w:left="360" w:firstLine="421"/>
        <w:spacing w:after="0" w:line="253" w:lineRule="auto"/>
        <w:rPr>
          <w:sz w:val="20"/>
          <w:szCs w:val="20"/>
          <w:color w:val="auto"/>
        </w:rPr>
      </w:pPr>
      <w:r>
        <w:rPr>
          <w:rFonts w:ascii="Times New Roman" w:cs="Times New Roman" w:eastAsia="Times New Roman" w:hAnsi="Times New Roman"/>
          <w:sz w:val="18"/>
          <w:szCs w:val="18"/>
          <w:color w:val="auto"/>
        </w:rPr>
        <w:t>We launched our initial program in diabetes prevention and weight health in 2012, with the goal of showing that a virtual program could achieve the same clinical results as its in-person archetype. Through feedback from our customers, channel partners, members, and the market at large, we then recognized the need to create an integrated, multi-condition care platform to address multiple, commonly comorbid, chronic conditions. Today, we offer cardiometabolic programs for prediabetes, diabetes, and hypertension; a physical therapy program to address MSK conditions; additional support for members taking glucagon-like peptide-1 agonists (“GLP-1”) in our cardiometabolic programs (“GLP-1 Care Tracks”); and behavioral health support across all programs.</w:t>
      </w:r>
    </w:p>
    <w:p>
      <w:pPr>
        <w:spacing w:after="0" w:line="187" w:lineRule="exact"/>
        <w:rPr>
          <w:sz w:val="20"/>
          <w:szCs w:val="20"/>
          <w:color w:val="auto"/>
        </w:rPr>
      </w:pPr>
    </w:p>
    <w:p>
      <w:pPr>
        <w:jc w:val="both"/>
        <w:ind w:left="360" w:firstLine="421"/>
        <w:spacing w:after="0" w:line="265" w:lineRule="auto"/>
        <w:rPr>
          <w:sz w:val="20"/>
          <w:szCs w:val="20"/>
          <w:color w:val="auto"/>
        </w:rPr>
      </w:pPr>
      <w:r>
        <w:rPr>
          <w:rFonts w:ascii="Times New Roman" w:cs="Times New Roman" w:eastAsia="Times New Roman" w:hAnsi="Times New Roman"/>
          <w:sz w:val="17"/>
          <w:szCs w:val="17"/>
          <w:color w:val="auto"/>
        </w:rPr>
        <w:t>Since our founding, our programs have had a meaningful, positive impact. As of March 31, 2025, we had more than 2,000 customers and over 679,000 total members enrolled in one or more programs, and we had supported over one million members since launch. We count a member as enrolled in a program to the extent their participation was billed at least once in the preceding 12 months. We believe our programs serve a clear need for our customers and channel partners as well as our members, which is reinforced by our strong customer satisfaction and member engagement rates. In 2024, our average customer satisfaction rate for the year was over 90% for each of program implementation and customer success. Our customer satisfaction rate is based on survey results from customers that launched a new program during the measured period, and we consider a customer to be satisfied if they rated our program implementation and ongoing customer success, as applicable, at a 5 or higher on a 7-point scale. We believe that our customer satisfaction rates are strong and reflect the value of our services to customers. See the section titled “Management’s Discussion and Analysis of Financial Condition and Results of Operations” for additional information on how we calculate our customer satisfaction rate. In 2024, more than 55% of members still engaged with our cardiometabolic programs at least once per month after a year in the program, and over 50% still engaged monthly after two years. We consider members to be still engaged after one year or two years in the program if, during their twelfth or twenty-fourth month of program participation in a cardiometabolic program, they complete at least one interaction with us, such as logging in or interacting with the Omada mobile app, sending messages to Omada Care Team members, or recording metrics such as weight, blood pressure, or blood glucose values. On average, in 2024, members in a cardiometabolic program engaged more than 30 times per month throughout their first year. Based on our experience and feedback from customers, we believe these engagement rates to be positive and to demonstrate the attractiveness of our program to members. We are proud of our progress, and we are just getting started.</w:t>
      </w:r>
    </w:p>
    <w:p>
      <w:pPr>
        <w:spacing w:after="0" w:line="180" w:lineRule="exact"/>
        <w:rPr>
          <w:sz w:val="20"/>
          <w:szCs w:val="20"/>
          <w:color w:val="auto"/>
        </w:rPr>
      </w:pPr>
    </w:p>
    <w:p>
      <w:pPr>
        <w:jc w:val="both"/>
        <w:ind w:left="360" w:firstLine="421"/>
        <w:spacing w:after="0" w:line="251" w:lineRule="auto"/>
        <w:rPr>
          <w:sz w:val="20"/>
          <w:szCs w:val="20"/>
          <w:color w:val="auto"/>
        </w:rPr>
      </w:pPr>
      <w:r>
        <w:rPr>
          <w:rFonts w:ascii="Times New Roman" w:cs="Times New Roman" w:eastAsia="Times New Roman" w:hAnsi="Times New Roman"/>
          <w:sz w:val="18"/>
          <w:szCs w:val="18"/>
          <w:color w:val="auto"/>
        </w:rPr>
        <w:t>We have experienced strong growth since our inception. Revenue increased by 38% from $122.8 million to $169.8 million for the years ended December 31, 2023 and 2024, respectively, and by 57% from $35.1 million to $55.0 million for the three months ended March 31, 2024 and 2025, respectively. We continue to generate revenue from recurring customers, as evidenced by our net dollar retention rate, which for customers who were contracted as of the beginning of the prior period, is calculated as total billings generated in a particular period divided by total billings generated in the prior period and was 110% and 128% for the years ended December 31, 2023 and 2024, respectively. We have a history of net losses, due in part to the significant investments we have made in the design and development of our programs and platform enhancements, and have not yet achieved profitability on an annual basis. We incurred net losses of $67.5 million and $47.1 million for the years ended December 31, 2023 and 2024, respectively, and $19.0 million and $9.4 million for the three months ended March 31, 2024 and 2025, respectively. As of December 31, 2023 and 2024, we had an accumulated deficit of $396.8 million and $444.0 million, respectively. As of March 31, 2024 and 2025, we had an accumulated deficit</w:t>
      </w:r>
    </w:p>
    <w:p>
      <w:pPr>
        <w:spacing w:after="0" w:line="30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320" w:top="451" w:right="6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59334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25945" cy="593344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360"/>
        <w:spacing w:after="0" w:line="262" w:lineRule="auto"/>
        <w:rPr>
          <w:sz w:val="20"/>
          <w:szCs w:val="20"/>
          <w:color w:val="auto"/>
        </w:rPr>
      </w:pPr>
      <w:r>
        <w:rPr>
          <w:rFonts w:ascii="Times New Roman" w:cs="Times New Roman" w:eastAsia="Times New Roman" w:hAnsi="Times New Roman"/>
          <w:sz w:val="18"/>
          <w:szCs w:val="18"/>
          <w:color w:val="auto"/>
        </w:rPr>
        <w:t>of $415.8 million and $453.4 million, respectively. During the years ended December 31, 2023 and 2024, our cash used in operating activities was $49.7 million and $34.2 million, respectively. During the three months ended March 31, 2024 and 2025, our cash used in operating activities was $20.6 million and $16.1 million, respectively.</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Industry Background and Opportunity</w:t>
      </w:r>
    </w:p>
    <w:p>
      <w:pPr>
        <w:spacing w:after="0" w:line="22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Chronic Condition Prevalence and Cost Continue to Rise Despite Traditional Approaches to Care</w:t>
      </w:r>
    </w:p>
    <w:p>
      <w:pPr>
        <w:spacing w:after="0" w:line="224" w:lineRule="exact"/>
        <w:rPr>
          <w:sz w:val="20"/>
          <w:szCs w:val="20"/>
          <w:color w:val="auto"/>
        </w:rPr>
      </w:pPr>
    </w:p>
    <w:p>
      <w:pPr>
        <w:jc w:val="both"/>
        <w:ind w:left="360" w:firstLine="421"/>
        <w:spacing w:after="0" w:line="257" w:lineRule="auto"/>
        <w:rPr>
          <w:sz w:val="20"/>
          <w:szCs w:val="20"/>
          <w:color w:val="auto"/>
        </w:rPr>
      </w:pPr>
      <w:r>
        <w:rPr>
          <w:rFonts w:ascii="Times New Roman" w:cs="Times New Roman" w:eastAsia="Times New Roman" w:hAnsi="Times New Roman"/>
          <w:sz w:val="18"/>
          <w:szCs w:val="18"/>
          <w:color w:val="auto"/>
        </w:rPr>
        <w:t>Chronic condition prevalence has been rising for more than two decades and continues to rise. A RAND study from 2015 estimated that more than 170 million Americans could be living with one or more chronic conditions by 2030. According to the Centers for Disease Control and Prevention (the “CDC”), in 2023, chronic conditions were responsible for seven of every ten deaths in the U.S. and accounted for 90%, or $3.8 trillion, of annual medical spend in the U.S.</w:t>
      </w:r>
    </w:p>
    <w:p>
      <w:pPr>
        <w:spacing w:after="0" w:line="17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Many Digital Health Solutions Have Fallen Short in Attempts to Address Chronic Conditions</w:t>
      </w:r>
    </w:p>
    <w:p>
      <w:pPr>
        <w:spacing w:after="0" w:line="224" w:lineRule="exact"/>
        <w:rPr>
          <w:sz w:val="20"/>
          <w:szCs w:val="20"/>
          <w:color w:val="auto"/>
        </w:rPr>
      </w:pPr>
    </w:p>
    <w:p>
      <w:pPr>
        <w:jc w:val="both"/>
        <w:ind w:left="360" w:right="20" w:firstLine="421"/>
        <w:spacing w:after="0" w:line="262" w:lineRule="auto"/>
        <w:rPr>
          <w:sz w:val="20"/>
          <w:szCs w:val="20"/>
          <w:color w:val="auto"/>
        </w:rPr>
      </w:pPr>
      <w:r>
        <w:rPr>
          <w:rFonts w:ascii="Times New Roman" w:cs="Times New Roman" w:eastAsia="Times New Roman" w:hAnsi="Times New Roman"/>
          <w:sz w:val="18"/>
          <w:szCs w:val="18"/>
          <w:color w:val="auto"/>
        </w:rPr>
        <w:t>For more than a decade, digital health and virtual care solutions have promised to use technology to deliver greater access, lower costs, and provide a superior patient experience. While some gains have been made, when it comes to improving outcomes for those living with or at risk for chronic conditions, we believe many digital chronic condition management platforms have not meaningfully changed the trajectory.</w:t>
      </w:r>
    </w:p>
    <w:p>
      <w:pPr>
        <w:spacing w:after="0" w:line="17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Our Market Opportunity</w:t>
      </w:r>
    </w:p>
    <w:p>
      <w:pPr>
        <w:spacing w:after="0" w:line="224" w:lineRule="exact"/>
        <w:rPr>
          <w:sz w:val="20"/>
          <w:szCs w:val="20"/>
          <w:color w:val="auto"/>
        </w:rPr>
      </w:pPr>
    </w:p>
    <w:p>
      <w:pPr>
        <w:jc w:val="both"/>
        <w:ind w:left="360" w:firstLine="421"/>
        <w:spacing w:after="0" w:line="251" w:lineRule="auto"/>
        <w:rPr>
          <w:sz w:val="20"/>
          <w:szCs w:val="20"/>
          <w:color w:val="auto"/>
        </w:rPr>
      </w:pPr>
      <w:r>
        <w:rPr>
          <w:rFonts w:ascii="Times New Roman" w:cs="Times New Roman" w:eastAsia="Times New Roman" w:hAnsi="Times New Roman"/>
          <w:sz w:val="18"/>
          <w:szCs w:val="18"/>
          <w:color w:val="auto"/>
        </w:rPr>
        <w:t>People with chronic health conditions are the largest and highest-cost populations in the entire U.S. healthcare system. Our primary target population comprises individuals covered by commercial health insurance, which we define as employer-sponsored health insurance, including both self-funded plans administered by health plans and populations that are fully insured by health plans, but excluding individuals covered only by government programs, such as Medicare Advantage, or through PBMs and health systems, where those individuals are not also covered by the commercial health insurance described above. According to a 2024 report from KFF, this target population covered by commercial health insurance is composed of approximately 154 million individuals. Of this target population, we estimate that, as of December 31, 2024, approximately 18 million individuals had access to one or more Omada programs through these commercial health insurance providers and the remainder either had health insurance coverage through commercial health insurance providers that did not cover Omada programs at all or as part of populations that our current customers did not cover for our programs.</w:t>
      </w:r>
    </w:p>
    <w:p>
      <w:pPr>
        <w:spacing w:after="0" w:line="189" w:lineRule="exact"/>
        <w:rPr>
          <w:sz w:val="20"/>
          <w:szCs w:val="20"/>
          <w:color w:val="auto"/>
        </w:rPr>
      </w:pPr>
    </w:p>
    <w:p>
      <w:pPr>
        <w:jc w:val="both"/>
        <w:ind w:left="360" w:firstLine="421"/>
        <w:spacing w:after="0" w:line="250" w:lineRule="auto"/>
        <w:rPr>
          <w:sz w:val="20"/>
          <w:szCs w:val="20"/>
          <w:color w:val="auto"/>
        </w:rPr>
      </w:pPr>
      <w:r>
        <w:rPr>
          <w:rFonts w:ascii="Times New Roman" w:cs="Times New Roman" w:eastAsia="Times New Roman" w:hAnsi="Times New Roman"/>
          <w:sz w:val="18"/>
          <w:szCs w:val="18"/>
          <w:color w:val="auto"/>
        </w:rPr>
        <w:t>For purposes of illustrating the market opportunity available to us, we assume we could capture the entirety of the target population with prediabetes, diabetes, hypertension, and MSK conditions. The estimates of our market opportunity for individuals with prediabetes, diabetes, hypertension, and MSK conditions rely on data across each condition for the U.S. population as a whole and therefore assume that these conditions do not vary by geography. Because our members are geographically diverse and all reside in the U.S., we believe national data is representative of the target population. If in the future our members are no longer limited to the U.S. or cease to be geographically diverse within the U.S., our calculations would be correspondingly affected. Our estimates for prediabetes, hypertension, and MSK conditions are based on available data that is not age-group specific, although the data used for prediabetes and hypertension is limited to adults. Accordingly, our estimates do not account for how prevalence rates for prediabetes, hypertension, and MSK conditions may vary across age groups. Because our estimates for diabetes are based on available data from the CDC that is age-group specific, the estimates for diabetes utilized different prevalence rates across age groups based on that information. If estimates for the prevalence of U.S. individuals with prediabetes, diabetes, hypertension, or MSK conditions change, including, where used in our estimates, by age group, our calculations would be affected correspondingly.</w:t>
      </w:r>
    </w:p>
    <w:p>
      <w:pPr>
        <w:spacing w:after="0" w:line="31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320" w:top="451" w:right="6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5984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25945" cy="598424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360" w:right="20" w:firstLine="421"/>
        <w:spacing w:after="0" w:line="257" w:lineRule="auto"/>
        <w:rPr>
          <w:sz w:val="20"/>
          <w:szCs w:val="20"/>
          <w:color w:val="auto"/>
        </w:rPr>
      </w:pPr>
      <w:r>
        <w:rPr>
          <w:rFonts w:ascii="Times New Roman" w:cs="Times New Roman" w:eastAsia="Times New Roman" w:hAnsi="Times New Roman"/>
          <w:sz w:val="18"/>
          <w:szCs w:val="18"/>
          <w:color w:val="auto"/>
        </w:rPr>
        <w:t>Based on the target population, the CDC’s estimated prevalence of prediabetes in the U.S. adult population (38%) and of diabetes in the U.S. working population (4.8% for adults aged 18 to 44 and 18.9% for adults aged 45 to 64) from 2017 to 2020, and the current monthly list price of our programs per active member, multiplied by 12, we estimate that the current addressable market size for prediabetes and diabetes is $41.4 billion and $17.3 billion, respectively.</w:t>
      </w:r>
    </w:p>
    <w:p>
      <w:pPr>
        <w:spacing w:after="0" w:line="182" w:lineRule="exact"/>
        <w:rPr>
          <w:sz w:val="20"/>
          <w:szCs w:val="20"/>
          <w:color w:val="auto"/>
        </w:rPr>
      </w:pPr>
    </w:p>
    <w:p>
      <w:pPr>
        <w:jc w:val="both"/>
        <w:ind w:left="360" w:firstLine="421"/>
        <w:spacing w:after="0" w:line="257" w:lineRule="auto"/>
        <w:rPr>
          <w:sz w:val="20"/>
          <w:szCs w:val="20"/>
          <w:color w:val="auto"/>
        </w:rPr>
      </w:pPr>
      <w:r>
        <w:rPr>
          <w:rFonts w:ascii="Times New Roman" w:cs="Times New Roman" w:eastAsia="Times New Roman" w:hAnsi="Times New Roman"/>
          <w:sz w:val="18"/>
          <w:szCs w:val="18"/>
          <w:color w:val="auto"/>
        </w:rPr>
        <w:t>Based on the target population, the CDC’s estimated prevalence of hypertension in the U.S. adult population (48.1%) from 2017 to 2020, and the current monthly list price of our program per active member, multiplied by 12, we estimate that our hypertension program represents a $31.6 billion current addressable market. Note that this estimate excludes those individuals who have hypertension and also have a comorbidity of prediabetes or diabetes.</w:t>
      </w:r>
    </w:p>
    <w:p>
      <w:pPr>
        <w:spacing w:after="0" w:line="182" w:lineRule="exact"/>
        <w:rPr>
          <w:sz w:val="20"/>
          <w:szCs w:val="20"/>
          <w:color w:val="auto"/>
        </w:rPr>
      </w:pPr>
    </w:p>
    <w:p>
      <w:pPr>
        <w:jc w:val="both"/>
        <w:ind w:left="360" w:firstLine="421"/>
        <w:spacing w:after="0" w:line="257" w:lineRule="auto"/>
        <w:rPr>
          <w:sz w:val="20"/>
          <w:szCs w:val="20"/>
          <w:color w:val="auto"/>
        </w:rPr>
      </w:pPr>
      <w:r>
        <w:rPr>
          <w:rFonts w:ascii="Times New Roman" w:cs="Times New Roman" w:eastAsia="Times New Roman" w:hAnsi="Times New Roman"/>
          <w:sz w:val="18"/>
          <w:szCs w:val="18"/>
          <w:color w:val="auto"/>
        </w:rPr>
        <w:t xml:space="preserve">Based on the target population, the estimated prevalence of MSK conditions in U.S. individuals (38.8%) calculated using 2019 population estimates from the U.S. Census Bureau and a study published in </w:t>
      </w:r>
      <w:r>
        <w:rPr>
          <w:rFonts w:ascii="Times New Roman" w:cs="Times New Roman" w:eastAsia="Times New Roman" w:hAnsi="Times New Roman"/>
          <w:sz w:val="18"/>
          <w:szCs w:val="18"/>
          <w:i w:val="1"/>
          <w:iCs w:val="1"/>
          <w:color w:val="auto"/>
        </w:rPr>
        <w:t>The Lancet Regional Health – Americas</w:t>
      </w:r>
      <w:r>
        <w:rPr>
          <w:rFonts w:ascii="Times New Roman" w:cs="Times New Roman" w:eastAsia="Times New Roman" w:hAnsi="Times New Roman"/>
          <w:sz w:val="18"/>
          <w:szCs w:val="18"/>
          <w:color w:val="auto"/>
        </w:rPr>
        <w:t xml:space="preserve"> examining 2019 global disease data, and the current list price of our program per member for a single episode of care, assuming typical utilization, we estimate that MSK conditions represent a $44.8 billion current addressable market.</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22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Compassion Meets Intelligence</w:t>
      </w:r>
    </w:p>
    <w:p>
      <w:pPr>
        <w:spacing w:after="0" w:line="224" w:lineRule="exact"/>
        <w:rPr>
          <w:sz w:val="20"/>
          <w:szCs w:val="20"/>
          <w:color w:val="auto"/>
        </w:rPr>
      </w:pPr>
    </w:p>
    <w:p>
      <w:pPr>
        <w:jc w:val="both"/>
        <w:ind w:left="360" w:firstLine="421"/>
        <w:spacing w:after="0" w:line="262" w:lineRule="auto"/>
        <w:rPr>
          <w:sz w:val="20"/>
          <w:szCs w:val="20"/>
          <w:color w:val="auto"/>
        </w:rPr>
      </w:pPr>
      <w:r>
        <w:rPr>
          <w:rFonts w:ascii="Times New Roman" w:cs="Times New Roman" w:eastAsia="Times New Roman" w:hAnsi="Times New Roman"/>
          <w:sz w:val="18"/>
          <w:szCs w:val="18"/>
          <w:color w:val="auto"/>
        </w:rPr>
        <w:t>Our virtual, Between-Visit Care model seeks to bring together the best of human care and technology. Our goal is to support people over time, with programs designed to be simple and engaging to use, accessible whenever and wherever people need them, and complementary and connected to the healthcare system at large. Our model is founded on three pillars:</w:t>
      </w:r>
    </w:p>
    <w:p>
      <w:pPr>
        <w:spacing w:after="0" w:line="200" w:lineRule="exact"/>
        <w:rPr>
          <w:sz w:val="20"/>
          <w:szCs w:val="20"/>
          <w:color w:val="auto"/>
        </w:rPr>
      </w:pPr>
    </w:p>
    <w:p>
      <w:pPr>
        <w:jc w:val="both"/>
        <w:ind w:left="1280" w:right="20" w:hanging="512"/>
        <w:spacing w:after="0" w:line="256" w:lineRule="auto"/>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Care Teams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human relationships and empathy are fundamental drivers of sustainable behavior change. Our Care Teams,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composed of health coaches, relevant specialists, and licensed physical therapists, deliver healthcare to our members within the scope of their credentials. Our Care Teams do not include physicians or provide medical physician services. The members of our Care Teams are intended to remain with a member throughout their entire journey with Omada. Our Care Teams offer proactive and tailored support that builds trust with members and can contribute to positive outcomes.</w:t>
      </w:r>
    </w:p>
    <w:p>
      <w:pPr>
        <w:spacing w:after="0" w:line="205" w:lineRule="exact"/>
        <w:rPr>
          <w:rFonts w:ascii="Times New Roman" w:cs="Times New Roman" w:eastAsia="Times New Roman" w:hAnsi="Times New Roman"/>
          <w:sz w:val="18"/>
          <w:szCs w:val="18"/>
          <w:color w:val="auto"/>
        </w:rPr>
      </w:pPr>
    </w:p>
    <w:p>
      <w:pPr>
        <w:jc w:val="both"/>
        <w:ind w:left="1280" w:right="20" w:hanging="512"/>
        <w:spacing w:after="0" w:line="265" w:lineRule="auto"/>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Technology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integrated technology platform is built to support member engagement at scale. We use our platform and data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enrollment, engagement, and connected third-party devices to amplify the impact of our Care Teams through data-driven personalization, connected experiences, and real-time outcomes monitoring.</w:t>
      </w:r>
    </w:p>
    <w:p>
      <w:pPr>
        <w:spacing w:after="0" w:line="196" w:lineRule="exact"/>
        <w:rPr>
          <w:rFonts w:ascii="Times New Roman" w:cs="Times New Roman" w:eastAsia="Times New Roman" w:hAnsi="Times New Roman"/>
          <w:sz w:val="18"/>
          <w:szCs w:val="18"/>
          <w:color w:val="auto"/>
        </w:rPr>
      </w:pPr>
    </w:p>
    <w:p>
      <w:pPr>
        <w:jc w:val="both"/>
        <w:ind w:left="1280" w:right="20" w:hanging="512"/>
        <w:spacing w:after="0" w:line="259" w:lineRule="auto"/>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Omada Insights Lab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we continue to scale, we invest in continuous innovation across our programs. The Omada Insights Lab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our cross-functional collaboration of clinical, product, design, engineering, and Care Team experts, which leverages the insights delivered by our Care Teams and technology platform to identify opportunities to drive even greater results and efficiencies in our programs and business.</w:t>
      </w:r>
    </w:p>
    <w:p>
      <w:pPr>
        <w:spacing w:after="0" w:line="17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Multi-Condition Care</w:t>
      </w:r>
    </w:p>
    <w:p>
      <w:pPr>
        <w:spacing w:after="0" w:line="224" w:lineRule="exact"/>
        <w:rPr>
          <w:sz w:val="20"/>
          <w:szCs w:val="20"/>
          <w:color w:val="auto"/>
        </w:rPr>
      </w:pPr>
    </w:p>
    <w:p>
      <w:pPr>
        <w:ind w:left="360" w:right="20" w:firstLine="421"/>
        <w:spacing w:after="0" w:line="277" w:lineRule="auto"/>
        <w:rPr>
          <w:sz w:val="20"/>
          <w:szCs w:val="20"/>
          <w:color w:val="auto"/>
        </w:rPr>
      </w:pPr>
      <w:r>
        <w:rPr>
          <w:rFonts w:ascii="Times New Roman" w:cs="Times New Roman" w:eastAsia="Times New Roman" w:hAnsi="Times New Roman"/>
          <w:sz w:val="18"/>
          <w:szCs w:val="18"/>
          <w:color w:val="auto"/>
        </w:rPr>
        <w:t>The U.S. healthcare system has largely been designed to treat acute conditions that have clear windows of treatment and resolution. Chronic conditions, however, often require a variety of healthcare professionals across</w:t>
      </w:r>
    </w:p>
    <w:p>
      <w:pPr>
        <w:spacing w:after="0" w:line="2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320" w:top="451" w:right="6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57130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25945" cy="571309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360"/>
        <w:spacing w:after="0" w:line="252" w:lineRule="auto"/>
        <w:rPr>
          <w:sz w:val="20"/>
          <w:szCs w:val="20"/>
          <w:color w:val="auto"/>
        </w:rPr>
      </w:pPr>
      <w:r>
        <w:rPr>
          <w:rFonts w:ascii="Times New Roman" w:cs="Times New Roman" w:eastAsia="Times New Roman" w:hAnsi="Times New Roman"/>
          <w:sz w:val="18"/>
          <w:szCs w:val="18"/>
          <w:color w:val="auto"/>
        </w:rPr>
        <w:t>disciplines and modalities over indefinite periods of time. As our company grew, we observed a demand from our customers and channel partners for us to expand beyond diabetes prevention and weight health and into other conditions, such as the treatment and management of diabetes, hypertension, and MSK conditions. Based on the significant overlap across these chronic conditions, we believed there was an opportunity to better meet members where they were: often suffering from multiple comorbid conditions at once. Our coordinated, multi-condition experience allows us to tailor care plans to members based on their comorbidities, which can be a major advantage in achieving clinical outcomes and a positive member experience. Many of our customers and channel partners also appreciate having a single partner for chronic condition care because it can simplify contracting, account management, implementation, and member outreach.</w:t>
      </w:r>
    </w:p>
    <w:p>
      <w:pPr>
        <w:spacing w:after="0" w:line="18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Grounded in Evidence Since Day One</w:t>
      </w:r>
    </w:p>
    <w:p>
      <w:pPr>
        <w:spacing w:after="0" w:line="224" w:lineRule="exact"/>
        <w:rPr>
          <w:sz w:val="20"/>
          <w:szCs w:val="20"/>
          <w:color w:val="auto"/>
        </w:rPr>
      </w:pPr>
    </w:p>
    <w:p>
      <w:pPr>
        <w:jc w:val="both"/>
        <w:ind w:left="360" w:firstLine="421"/>
        <w:spacing w:after="0" w:line="262" w:lineRule="auto"/>
        <w:rPr>
          <w:sz w:val="20"/>
          <w:szCs w:val="20"/>
          <w:color w:val="auto"/>
        </w:rPr>
      </w:pPr>
      <w:r>
        <w:rPr>
          <w:rFonts w:ascii="Times New Roman" w:cs="Times New Roman" w:eastAsia="Times New Roman" w:hAnsi="Times New Roman"/>
          <w:sz w:val="18"/>
          <w:szCs w:val="18"/>
          <w:color w:val="auto"/>
        </w:rPr>
        <w:t>In order to realize the full potential of our model, we sought to earn the trust of the existing healthcare ecosystem. Since our founding, we have worked to build bridges between the virtual and traditional (largely in-person) care communities through our commitment to delivering evidence-based care, publishing our outcomes, and earning accreditations and credentials.</w:t>
      </w:r>
    </w:p>
    <w:p>
      <w:pPr>
        <w:spacing w:after="0" w:line="200" w:lineRule="exact"/>
        <w:rPr>
          <w:sz w:val="20"/>
          <w:szCs w:val="20"/>
          <w:color w:val="auto"/>
        </w:rPr>
      </w:pPr>
    </w:p>
    <w:p>
      <w:pPr>
        <w:jc w:val="both"/>
        <w:ind w:left="1280" w:right="20" w:hanging="512"/>
        <w:spacing w:after="0" w:line="287" w:lineRule="auto"/>
        <w:tabs>
          <w:tab w:leader="none" w:pos="12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We Start with Science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foundation of each of our programs is an evidence-based intervention that exists in the in-person care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setting, such as the CDC’s Diabetes Prevention Program. We have taken—in collaboration with groups such as the CDC or ADA—the foundational designs of these programs and built upon them to create technology-enabled solutions able to reach patients at scale.</w:t>
      </w:r>
    </w:p>
    <w:p>
      <w:pPr>
        <w:spacing w:after="0" w:line="180" w:lineRule="exact"/>
        <w:rPr>
          <w:rFonts w:ascii="Times New Roman" w:cs="Times New Roman" w:eastAsia="Times New Roman" w:hAnsi="Times New Roman"/>
          <w:sz w:val="17"/>
          <w:szCs w:val="17"/>
          <w:color w:val="auto"/>
        </w:rPr>
      </w:pPr>
    </w:p>
    <w:p>
      <w:pPr>
        <w:jc w:val="both"/>
        <w:ind w:left="1280" w:hanging="512"/>
        <w:spacing w:after="0" w:line="265" w:lineRule="auto"/>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Deliver Outcomes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demonstrated clinical outcomes and economic value across our multi-condition platform,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29 published, peer-reviewed studies as of December 31, 2024. These quantified results and data allow us to improve our programs and serve as a key differentiator in both product development and sales and marketing efforts.</w:t>
      </w:r>
    </w:p>
    <w:p>
      <w:pPr>
        <w:spacing w:after="0" w:line="196" w:lineRule="exact"/>
        <w:rPr>
          <w:rFonts w:ascii="Times New Roman" w:cs="Times New Roman" w:eastAsia="Times New Roman" w:hAnsi="Times New Roman"/>
          <w:sz w:val="18"/>
          <w:szCs w:val="18"/>
          <w:color w:val="auto"/>
        </w:rPr>
      </w:pPr>
    </w:p>
    <w:p>
      <w:pPr>
        <w:jc w:val="both"/>
        <w:ind w:left="1280" w:hanging="512"/>
        <w:spacing w:after="0" w:line="252" w:lineRule="auto"/>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are Validated by Experts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virtual care should be subject to many of the same quality control expectations as traditional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in-person care. We have been at the forefront of seeking and achieving accreditations for our quality of care, which is exemplified by the fact that we have received recognition or accreditation by an independent third-party organization in the healthcare industry relevant to three out of four of our standalone programs. We have received full recognition from the CDC’s Diabetes Prevention Recognition Program for certain deployments of our Omada for Prevention &amp; Weight Health program, meaning that these deployments have met the rigorous standards for quality and the outcomes requirements set forth by the CDC for a diabetes prevention program. We have also received accreditations from the Association of Diabetes Care and Education Specialists for our Diabetes program, the National Committee for Quality Assurance for our type 2 Diabetes and combined Diabetes and Hypertension programs, and the Utilization Review Accreditation Commission for our MSK program.</w:t>
      </w:r>
    </w:p>
    <w:p>
      <w:pPr>
        <w:spacing w:after="0" w:line="18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Scaled, Diversified Go-to-Market Model</w:t>
      </w:r>
    </w:p>
    <w:p>
      <w:pPr>
        <w:spacing w:after="0" w:line="224" w:lineRule="exact"/>
        <w:rPr>
          <w:sz w:val="20"/>
          <w:szCs w:val="20"/>
          <w:color w:val="auto"/>
        </w:rPr>
      </w:pPr>
    </w:p>
    <w:p>
      <w:pPr>
        <w:jc w:val="both"/>
        <w:ind w:left="360" w:firstLine="421"/>
        <w:spacing w:after="0" w:line="253" w:lineRule="auto"/>
        <w:rPr>
          <w:sz w:val="20"/>
          <w:szCs w:val="20"/>
          <w:color w:val="auto"/>
        </w:rPr>
      </w:pPr>
      <w:r>
        <w:rPr>
          <w:rFonts w:ascii="Times New Roman" w:cs="Times New Roman" w:eastAsia="Times New Roman" w:hAnsi="Times New Roman"/>
          <w:sz w:val="18"/>
          <w:szCs w:val="18"/>
          <w:color w:val="auto"/>
        </w:rPr>
        <w:t>As of March 31, 2025, we had more than 2,000 customers and over 679,000 total members enrolled in one or more programs, and we had served over one million members since launch. We believe that the breadth of our success is based in part on our diverse, customer-centric go-to-market strategy and our multi-condition approach. Our customers and channel partners are increasingly looking for solutions that effectively serve their members at scale and can be easily integrated within their existing benefits ecosystems. Representative customers include Costco, Intermountain Health, Honda, and the Louisiana Office of Group Benefits. Our channel partner strategy also includes health plans, such as Cigna Healthcare, and two of the largest PBMs in the U.S., including Express Scripts by Evernorth.</w:t>
      </w:r>
    </w:p>
    <w:p>
      <w:pPr>
        <w:spacing w:after="0" w:line="30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0"/>
          </w:cols>
          <w:pgMar w:left="320" w:top="451" w:right="6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5865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25945" cy="586549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Competitive Advantage</w:t>
      </w:r>
    </w:p>
    <w:p>
      <w:pPr>
        <w:spacing w:after="0" w:line="224" w:lineRule="exact"/>
        <w:rPr>
          <w:sz w:val="20"/>
          <w:szCs w:val="20"/>
          <w:color w:val="auto"/>
        </w:rPr>
      </w:pPr>
    </w:p>
    <w:p>
      <w:pPr>
        <w:jc w:val="both"/>
        <w:ind w:left="360" w:firstLine="421"/>
        <w:spacing w:after="0" w:line="255" w:lineRule="auto"/>
        <w:rPr>
          <w:sz w:val="20"/>
          <w:szCs w:val="20"/>
          <w:color w:val="auto"/>
        </w:rPr>
      </w:pPr>
      <w:r>
        <w:rPr>
          <w:rFonts w:ascii="Times New Roman" w:cs="Times New Roman" w:eastAsia="Times New Roman" w:hAnsi="Times New Roman"/>
          <w:sz w:val="18"/>
          <w:szCs w:val="18"/>
          <w:color w:val="auto"/>
        </w:rPr>
        <w:t>Our human-led, technology-enabled care approach—Compassionate Intelligence—and our ability to offer multi-condition, contextually relevant care, are core to our success with members—the foundation of our competitive advantage. We believe our multi-condition platform and our differentiated experience for members also resonate with customers and channel partners as a significant advantage. In addition, we believe our commitment to high clinical standards, our customer-centric experience, and the sophistication of our compliance and security programs have attracted customers and channel partners over the years.</w:t>
      </w:r>
    </w:p>
    <w:p>
      <w:pPr>
        <w:spacing w:after="0" w:line="17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Compassionate Intelligence: Why Members Love Omada</w:t>
      </w:r>
    </w:p>
    <w:p>
      <w:pPr>
        <w:spacing w:after="0" w:line="224" w:lineRule="exact"/>
        <w:rPr>
          <w:sz w:val="20"/>
          <w:szCs w:val="20"/>
          <w:color w:val="auto"/>
        </w:rPr>
      </w:pPr>
    </w:p>
    <w:p>
      <w:pPr>
        <w:jc w:val="both"/>
        <w:ind w:left="360" w:firstLine="421"/>
        <w:spacing w:after="0" w:line="257" w:lineRule="auto"/>
        <w:rPr>
          <w:sz w:val="20"/>
          <w:szCs w:val="20"/>
          <w:color w:val="auto"/>
        </w:rPr>
      </w:pPr>
      <w:r>
        <w:rPr>
          <w:rFonts w:ascii="Times New Roman" w:cs="Times New Roman" w:eastAsia="Times New Roman" w:hAnsi="Times New Roman"/>
          <w:sz w:val="18"/>
          <w:szCs w:val="18"/>
          <w:color w:val="auto"/>
        </w:rPr>
        <w:t>Our Compassionate Intelligence care is designed to resonate with members. We intentionally constructed our technology platform to help facilitate a trusted relationship between our members and their Care Teams. This ongoing, consistent, human relationship can create a sense of connection as members and Care Teams get to know each other over time. Members appreciate the ability to reach out with questions, to be held accountable, and to have dedicated support at their fingertips.</w:t>
      </w:r>
    </w:p>
    <w:p>
      <w:pPr>
        <w:spacing w:after="0" w:line="16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Multi-Condition Platform: The Anti-Point Solution</w:t>
      </w:r>
    </w:p>
    <w:p>
      <w:pPr>
        <w:spacing w:after="0" w:line="198" w:lineRule="exact"/>
        <w:rPr>
          <w:sz w:val="20"/>
          <w:szCs w:val="20"/>
          <w:color w:val="auto"/>
        </w:rPr>
      </w:pPr>
    </w:p>
    <w:p>
      <w:pPr>
        <w:jc w:val="both"/>
        <w:ind w:left="360" w:firstLine="421"/>
        <w:spacing w:after="0" w:line="251" w:lineRule="auto"/>
        <w:rPr>
          <w:sz w:val="20"/>
          <w:szCs w:val="20"/>
          <w:color w:val="auto"/>
        </w:rPr>
      </w:pPr>
      <w:r>
        <w:rPr>
          <w:rFonts w:ascii="Times New Roman" w:cs="Times New Roman" w:eastAsia="Times New Roman" w:hAnsi="Times New Roman"/>
          <w:sz w:val="18"/>
          <w:szCs w:val="18"/>
          <w:color w:val="auto"/>
        </w:rPr>
        <w:t xml:space="preserve">According to data published in the Annals of Bioethics &amp; Clinical Applications, in 2022, approximately 40% of adults in the U.S. were living with two or more chronic conditions, which can leave many individuals to struggle with a healthcare system that treats each one of their issues separately. The CDC reported in 2023 that people with diabetes were more than twice as likely to experience depression; a 2019 study published in the </w:t>
      </w:r>
      <w:r>
        <w:rPr>
          <w:rFonts w:ascii="Times New Roman" w:cs="Times New Roman" w:eastAsia="Times New Roman" w:hAnsi="Times New Roman"/>
          <w:sz w:val="18"/>
          <w:szCs w:val="18"/>
          <w:i w:val="1"/>
          <w:iCs w:val="1"/>
          <w:color w:val="auto"/>
        </w:rPr>
        <w:t>Journal of Back and Musculoskeletal Rehabilitation</w:t>
      </w:r>
      <w:r>
        <w:rPr>
          <w:rFonts w:ascii="Times New Roman" w:cs="Times New Roman" w:eastAsia="Times New Roman" w:hAnsi="Times New Roman"/>
          <w:sz w:val="18"/>
          <w:szCs w:val="18"/>
          <w:color w:val="auto"/>
        </w:rPr>
        <w:t xml:space="preserve"> found that 58% of people with diabetes also experienced an MSK condition; and a 2021 study published in </w:t>
      </w:r>
      <w:r>
        <w:rPr>
          <w:rFonts w:ascii="Times New Roman" w:cs="Times New Roman" w:eastAsia="Times New Roman" w:hAnsi="Times New Roman"/>
          <w:sz w:val="18"/>
          <w:szCs w:val="18"/>
          <w:i w:val="1"/>
          <w:iCs w:val="1"/>
          <w:color w:val="auto"/>
        </w:rPr>
        <w:t>Endotext</w:t>
      </w:r>
      <w:r>
        <w:rPr>
          <w:rFonts w:ascii="Times New Roman" w:cs="Times New Roman" w:eastAsia="Times New Roman" w:hAnsi="Times New Roman"/>
          <w:sz w:val="18"/>
          <w:szCs w:val="18"/>
          <w:color w:val="auto"/>
        </w:rPr>
        <w:t xml:space="preserve"> found that approximately 74% of adults with diabetes also had hypertension. We have carefully selected the conditions that we treat in an effort to address significant areas of comorbidity in an integrated member experience with one provider. We are able to deliver care to members diagnosed with prediabetes, obesity, type 1 or type 2 diabetes, and hypertension; members taking GLP-1 therapy; and members who suffer from MSK conditions. Additionally, all members may receive additional support for behavioral health challenges from anxiety or stress to depression to promote overall wellbeing and support their physical and mental health.</w:t>
      </w:r>
    </w:p>
    <w:p>
      <w:pPr>
        <w:spacing w:after="0" w:line="17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Commitment to Outcomes</w:t>
      </w:r>
    </w:p>
    <w:p>
      <w:pPr>
        <w:spacing w:after="0" w:line="211" w:lineRule="exact"/>
        <w:rPr>
          <w:sz w:val="20"/>
          <w:szCs w:val="20"/>
          <w:color w:val="auto"/>
        </w:rPr>
      </w:pPr>
    </w:p>
    <w:p>
      <w:pPr>
        <w:jc w:val="both"/>
        <w:ind w:left="360" w:right="20" w:firstLine="421"/>
        <w:spacing w:after="0" w:line="253" w:lineRule="auto"/>
        <w:rPr>
          <w:sz w:val="20"/>
          <w:szCs w:val="20"/>
          <w:color w:val="auto"/>
        </w:rPr>
      </w:pPr>
      <w:r>
        <w:rPr>
          <w:rFonts w:ascii="Times New Roman" w:cs="Times New Roman" w:eastAsia="Times New Roman" w:hAnsi="Times New Roman"/>
          <w:sz w:val="18"/>
          <w:szCs w:val="18"/>
          <w:color w:val="auto"/>
        </w:rPr>
        <w:t>We consider our commitment to outcomes a core competitive advantage in selling to our customers and channel partners. Each Omada program is based on clinical guidelines that inform an evidence-based approach. Our programs are designed to reflect clinical best practices, tracked against validated industry metrics, and embraced by important industry stakeholders. In holding ourselves to many of the same quality standards as other healthcare providers, we strive to be a trusted member of the healthcare ecosystem at large, valued by our customers and channel partners alike. Through our 29 published, peer-reviewed studies as of December 31, 2024, we have established and validated the health impact of our programs and their value for customers and channel partners.</w:t>
      </w:r>
    </w:p>
    <w:p>
      <w:pPr>
        <w:spacing w:after="0" w:line="15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Flexible, Customer-Centric Experience</w:t>
      </w:r>
    </w:p>
    <w:p>
      <w:pPr>
        <w:spacing w:after="0" w:line="211" w:lineRule="exact"/>
        <w:rPr>
          <w:sz w:val="20"/>
          <w:szCs w:val="20"/>
          <w:color w:val="auto"/>
        </w:rPr>
      </w:pPr>
    </w:p>
    <w:p>
      <w:pPr>
        <w:jc w:val="both"/>
        <w:ind w:left="360" w:firstLine="421"/>
        <w:spacing w:after="0" w:line="257" w:lineRule="auto"/>
        <w:rPr>
          <w:sz w:val="20"/>
          <w:szCs w:val="20"/>
          <w:color w:val="auto"/>
        </w:rPr>
      </w:pPr>
      <w:r>
        <w:rPr>
          <w:rFonts w:ascii="Times New Roman" w:cs="Times New Roman" w:eastAsia="Times New Roman" w:hAnsi="Times New Roman"/>
          <w:sz w:val="18"/>
          <w:szCs w:val="18"/>
          <w:color w:val="auto"/>
        </w:rPr>
        <w:t>Our diversified go-to-market strategy and connectivity with employers, health plans, and PBMs have created a channel-agnostic and flexible sales approach. As the number of point solutions increases, employers are streamlining benefit strategies through their health plans and PBMs in addition to contracting directly with digital health companies. Our relationships with health plans, PBMs, and other channel partners give employers the flexibility to contract with us in the way they prefer.</w:t>
      </w:r>
    </w:p>
    <w:p>
      <w:pPr>
        <w:spacing w:after="0" w:line="30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320" w:top="451" w:right="6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64255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25945" cy="642556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Trusted to Deliver at Scale</w:t>
      </w:r>
    </w:p>
    <w:p>
      <w:pPr>
        <w:spacing w:after="0" w:line="211" w:lineRule="exact"/>
        <w:rPr>
          <w:sz w:val="20"/>
          <w:szCs w:val="20"/>
          <w:color w:val="auto"/>
        </w:rPr>
      </w:pPr>
    </w:p>
    <w:p>
      <w:pPr>
        <w:jc w:val="both"/>
        <w:ind w:left="360" w:firstLine="421"/>
        <w:spacing w:after="0" w:line="252" w:lineRule="auto"/>
        <w:rPr>
          <w:sz w:val="20"/>
          <w:szCs w:val="20"/>
          <w:color w:val="auto"/>
        </w:rPr>
      </w:pPr>
      <w:r>
        <w:rPr>
          <w:rFonts w:ascii="Times New Roman" w:cs="Times New Roman" w:eastAsia="Times New Roman" w:hAnsi="Times New Roman"/>
          <w:sz w:val="18"/>
          <w:szCs w:val="18"/>
          <w:color w:val="auto"/>
        </w:rPr>
        <w:t>Our customers and channel partners are sophisticated, and when partnering with new digital solutions, they thoughtfully evaluate potential risks and seek lasting partnerships. We believe that we have established ourselves as a trusted partner with a strong track record for both longevity and security. We have scaled to more than 2,000 customers as of March 31, 2025, and have served more than one million members since launch. As a healthcare provider and covered entity under the federal Health Insurance Portability and Accountability Act of 1996, as amended by the Health Information Technology for Economic and Clinical Health Act, and their implementing regulations (collectively, “HIPAA”), we value the trust of our customers, channel partners, and members. We have implemented safeguards designed to protect member privacy and to maintain high levels of data security and member safety.</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Growth Opportunities</w:t>
      </w:r>
    </w:p>
    <w:p>
      <w:pPr>
        <w:spacing w:after="0" w:line="211" w:lineRule="exact"/>
        <w:rPr>
          <w:sz w:val="20"/>
          <w:szCs w:val="20"/>
          <w:color w:val="auto"/>
        </w:rPr>
      </w:pPr>
    </w:p>
    <w:p>
      <w:pPr>
        <w:jc w:val="both"/>
        <w:ind w:left="360" w:right="20" w:firstLine="421"/>
        <w:spacing w:after="0" w:line="277" w:lineRule="auto"/>
        <w:rPr>
          <w:sz w:val="20"/>
          <w:szCs w:val="20"/>
          <w:color w:val="auto"/>
        </w:rPr>
      </w:pPr>
      <w:r>
        <w:rPr>
          <w:rFonts w:ascii="Times New Roman" w:cs="Times New Roman" w:eastAsia="Times New Roman" w:hAnsi="Times New Roman"/>
          <w:sz w:val="18"/>
          <w:szCs w:val="18"/>
          <w:color w:val="auto"/>
        </w:rPr>
        <w:t>We have several immediate and long-term growth opportunities that carry with them the potential to reach millions of new members and deliver greater impact at scale.</w:t>
      </w:r>
    </w:p>
    <w:p>
      <w:pPr>
        <w:spacing w:after="0" w:line="14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Expand Our Channel Partnerships and Grow Our Customer Base</w:t>
      </w:r>
    </w:p>
    <w:p>
      <w:pPr>
        <w:spacing w:after="0" w:line="224" w:lineRule="exact"/>
        <w:rPr>
          <w:sz w:val="20"/>
          <w:szCs w:val="20"/>
          <w:color w:val="auto"/>
        </w:rPr>
      </w:pPr>
    </w:p>
    <w:p>
      <w:pPr>
        <w:jc w:val="both"/>
        <w:ind w:left="360" w:firstLine="421"/>
        <w:spacing w:after="0" w:line="253" w:lineRule="auto"/>
        <w:rPr>
          <w:sz w:val="20"/>
          <w:szCs w:val="20"/>
          <w:color w:val="auto"/>
        </w:rPr>
      </w:pPr>
      <w:r>
        <w:rPr>
          <w:rFonts w:ascii="Times New Roman" w:cs="Times New Roman" w:eastAsia="Times New Roman" w:hAnsi="Times New Roman"/>
          <w:sz w:val="18"/>
          <w:szCs w:val="18"/>
          <w:color w:val="auto"/>
        </w:rPr>
        <w:t>We had more than 2,000 customers as of March 31, 2025, and we believe there is still a significant opportunity for us to grow our number of covered lives through existing channels. We also see opportunity with new channels and in lines of business where we have yet to place significant focus, such as Medicare Advantage and fully insured lines of business, and we believe there is potential for growth in our more nascent channels including health systems and government programs. Additionally, while Omada does not develop or prescribe GLP-1 therapies, we expect the attention and focus that GLP-1s bring to our industry, along with the launch of our GLP-1 Care Tracks to support individuals who take GLP-1 therapy, will help accelerate our growth.</w:t>
      </w:r>
    </w:p>
    <w:p>
      <w:pPr>
        <w:spacing w:after="0" w:line="18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Sell Multiple Programs Into Existing Customer Base</w:t>
      </w:r>
    </w:p>
    <w:p>
      <w:pPr>
        <w:spacing w:after="0" w:line="224" w:lineRule="exact"/>
        <w:rPr>
          <w:sz w:val="20"/>
          <w:szCs w:val="20"/>
          <w:color w:val="auto"/>
        </w:rPr>
      </w:pPr>
    </w:p>
    <w:p>
      <w:pPr>
        <w:jc w:val="both"/>
        <w:ind w:left="360" w:right="20" w:firstLine="421"/>
        <w:spacing w:after="0" w:line="257" w:lineRule="auto"/>
        <w:rPr>
          <w:sz w:val="20"/>
          <w:szCs w:val="20"/>
          <w:color w:val="auto"/>
        </w:rPr>
      </w:pPr>
      <w:r>
        <w:rPr>
          <w:rFonts w:ascii="Times New Roman" w:cs="Times New Roman" w:eastAsia="Times New Roman" w:hAnsi="Times New Roman"/>
          <w:sz w:val="18"/>
          <w:szCs w:val="18"/>
          <w:color w:val="auto"/>
        </w:rPr>
        <w:t>We have seen significant uptake of our multi-condition offering, both from existing customers and channel partners who initially entered into contracts for one program but later added others and from new customers and channel partners who enter into contracts for multi-condition solutions from day one. We believe there is still opportunity to continue multi-condition expansion. As of December 31, 2024, approximately 31% of our customers offered more than one Omada program, which leaves a sizable opportunity to sell additional programs.</w:t>
      </w:r>
    </w:p>
    <w:p>
      <w:pPr>
        <w:spacing w:after="0" w:line="17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Increase Member Enrollment</w:t>
      </w:r>
    </w:p>
    <w:p>
      <w:pPr>
        <w:spacing w:after="0" w:line="224" w:lineRule="exact"/>
        <w:rPr>
          <w:sz w:val="20"/>
          <w:szCs w:val="20"/>
          <w:color w:val="auto"/>
        </w:rPr>
      </w:pPr>
    </w:p>
    <w:p>
      <w:pPr>
        <w:jc w:val="both"/>
        <w:ind w:left="360" w:firstLine="421"/>
        <w:spacing w:after="0" w:line="252" w:lineRule="auto"/>
        <w:rPr>
          <w:sz w:val="20"/>
          <w:szCs w:val="20"/>
          <w:color w:val="auto"/>
        </w:rPr>
      </w:pPr>
      <w:r>
        <w:rPr>
          <w:rFonts w:ascii="Times New Roman" w:cs="Times New Roman" w:eastAsia="Times New Roman" w:hAnsi="Times New Roman"/>
          <w:sz w:val="18"/>
          <w:szCs w:val="18"/>
          <w:color w:val="auto"/>
        </w:rPr>
        <w:t>As of December 31, 2024, we estimate that 20 million individuals had benefits coverage for one or more Omada programs through their employers, health plans, PBMs, health systems, or other customers, where they have a clinical need. Having served over one million members since launch, there is still significant opportunity to enroll more members, and future efforts in a number of areas could increase enrollment rates. We are focused on achieving higher enrollment rates by helping more customers and channel partners adopt our outreach best practices, including enabling Omada-led outreach campaigns, implementing strategies to reach individuals with known risk, and evaluating new enrollment strategies and channels. We also have a strong outreach optimization engine, and we continuously work to iterate and improve our tactics to drive higher enrollment rates. As the general state of artificial intelligence and machine learning technology continues to evolve, we plan to evaluate new ways in which these technologies could further optimize our outreach strategies.</w:t>
      </w:r>
    </w:p>
    <w:p>
      <w:pPr>
        <w:spacing w:after="0" w:line="18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Enhance Member Engagement Within Existing Customer Base</w:t>
      </w:r>
    </w:p>
    <w:p>
      <w:pPr>
        <w:spacing w:after="0" w:line="224" w:lineRule="exact"/>
        <w:rPr>
          <w:sz w:val="20"/>
          <w:szCs w:val="20"/>
          <w:color w:val="auto"/>
        </w:rPr>
      </w:pPr>
    </w:p>
    <w:p>
      <w:pPr>
        <w:jc w:val="both"/>
        <w:ind w:left="360" w:firstLine="421"/>
        <w:spacing w:after="0" w:line="277" w:lineRule="auto"/>
        <w:rPr>
          <w:sz w:val="20"/>
          <w:szCs w:val="20"/>
          <w:color w:val="auto"/>
        </w:rPr>
      </w:pPr>
      <w:r>
        <w:rPr>
          <w:rFonts w:ascii="Times New Roman" w:cs="Times New Roman" w:eastAsia="Times New Roman" w:hAnsi="Times New Roman"/>
          <w:sz w:val="18"/>
          <w:szCs w:val="18"/>
          <w:color w:val="auto"/>
        </w:rPr>
        <w:t>Given the engagement-based pricing models that we offer for cardiometabolic programs, increased member engagement can drive significant growth going forward. In 2024, more than 55% of members still engaged with</w:t>
      </w:r>
    </w:p>
    <w:p>
      <w:pPr>
        <w:spacing w:after="0" w:line="2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320" w:top="451" w:right="6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6628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25945" cy="662876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360" w:right="20"/>
        <w:spacing w:after="0" w:line="277" w:lineRule="auto"/>
        <w:rPr>
          <w:sz w:val="20"/>
          <w:szCs w:val="20"/>
          <w:color w:val="auto"/>
        </w:rPr>
      </w:pPr>
      <w:r>
        <w:rPr>
          <w:rFonts w:ascii="Times New Roman" w:cs="Times New Roman" w:eastAsia="Times New Roman" w:hAnsi="Times New Roman"/>
          <w:sz w:val="18"/>
          <w:szCs w:val="18"/>
          <w:color w:val="auto"/>
        </w:rPr>
        <w:t>our cardiometabolic programs at least once per month after a year in the program. Our data, Care Teams, and technology power our ability to drive increased engagement, through frequent touchpoints, reminders, and progress tracking tools.</w:t>
      </w:r>
    </w:p>
    <w:p>
      <w:pPr>
        <w:spacing w:after="0" w:line="15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Future Innovation Horizons</w:t>
      </w:r>
    </w:p>
    <w:p>
      <w:pPr>
        <w:spacing w:after="0" w:line="224" w:lineRule="exact"/>
        <w:rPr>
          <w:sz w:val="20"/>
          <w:szCs w:val="20"/>
          <w:color w:val="auto"/>
        </w:rPr>
      </w:pPr>
    </w:p>
    <w:p>
      <w:pPr>
        <w:jc w:val="both"/>
        <w:ind w:left="360" w:firstLine="421"/>
        <w:spacing w:after="0" w:line="255" w:lineRule="auto"/>
        <w:rPr>
          <w:sz w:val="20"/>
          <w:szCs w:val="20"/>
          <w:color w:val="auto"/>
        </w:rPr>
      </w:pPr>
      <w:r>
        <w:rPr>
          <w:rFonts w:ascii="Times New Roman" w:cs="Times New Roman" w:eastAsia="Times New Roman" w:hAnsi="Times New Roman"/>
          <w:sz w:val="18"/>
          <w:szCs w:val="18"/>
          <w:color w:val="auto"/>
        </w:rPr>
        <w:t>We have a demonstrated history of launching new offerings (Omada for Diabetes and Omada for Hypertension in 2018) on our current infrastructure and new Care Tracks within existing products (GLP-1 Care Tracks). We also successfully added MSK care to our program offerings through an acquisition in 2020. Though our focus remains on continued progress in our current care areas, we will continue to monitor the needs of our customers and channel partners, and we believe we are well positioned to respond to their requirements organically or, where appropriate, to add new capabilities through partnerships and potential acquisitions.</w:t>
      </w: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224" w:lineRule="exact"/>
        <w:rPr>
          <w:sz w:val="20"/>
          <w:szCs w:val="20"/>
          <w:color w:val="auto"/>
        </w:rPr>
      </w:pPr>
    </w:p>
    <w:p>
      <w:pPr>
        <w:jc w:val="both"/>
        <w:ind w:left="360" w:firstLine="421"/>
        <w:spacing w:after="0" w:line="262" w:lineRule="auto"/>
        <w:rPr>
          <w:sz w:val="20"/>
          <w:szCs w:val="20"/>
          <w:color w:val="auto"/>
        </w:rPr>
      </w:pPr>
      <w:r>
        <w:rPr>
          <w:rFonts w:ascii="Times New Roman" w:cs="Times New Roman" w:eastAsia="Times New Roman" w:hAnsi="Times New Roman"/>
          <w:sz w:val="18"/>
          <w:szCs w:val="18"/>
          <w:color w:val="auto"/>
        </w:rPr>
        <w:t>Our business is subject to a number of risks of which you should be aware before making a decision to invest in our common stock. These risks are more fully described in the section titled “Risk Factors” immediately following this prospectus summary. These risks include, among others, the following:</w:t>
      </w:r>
    </w:p>
    <w:p>
      <w:pPr>
        <w:spacing w:after="0" w:line="204" w:lineRule="exact"/>
        <w:rPr>
          <w:sz w:val="20"/>
          <w:szCs w:val="20"/>
          <w:color w:val="auto"/>
        </w:rPr>
      </w:pPr>
    </w:p>
    <w:p>
      <w:pPr>
        <w:ind w:left="1280" w:right="20" w:hanging="512"/>
        <w:spacing w:after="0" w:line="277"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grown significantly in a short period of time. If we fail to manage our growth effectively, our business could be materially and adversely affected.</w:t>
      </w:r>
    </w:p>
    <w:p>
      <w:pPr>
        <w:spacing w:after="0" w:line="190" w:lineRule="exact"/>
        <w:rPr>
          <w:rFonts w:ascii="Times New Roman" w:cs="Times New Roman" w:eastAsia="Times New Roman" w:hAnsi="Times New Roman"/>
          <w:sz w:val="18"/>
          <w:szCs w:val="18"/>
          <w:color w:val="auto"/>
        </w:rPr>
      </w:pPr>
    </w:p>
    <w:p>
      <w:pPr>
        <w:ind w:left="1280" w:hanging="512"/>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we may not achieve or maintain profitability in the future.</w:t>
      </w:r>
    </w:p>
    <w:p>
      <w:pPr>
        <w:spacing w:after="0" w:line="247" w:lineRule="exact"/>
        <w:rPr>
          <w:rFonts w:ascii="Times New Roman" w:cs="Times New Roman" w:eastAsia="Times New Roman" w:hAnsi="Times New Roman"/>
          <w:sz w:val="18"/>
          <w:szCs w:val="18"/>
          <w:color w:val="auto"/>
        </w:rPr>
      </w:pPr>
    </w:p>
    <w:p>
      <w:pPr>
        <w:ind w:left="1280" w:right="20" w:hanging="512"/>
        <w:spacing w:after="0" w:line="277"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programs to achieve and maintain market acceptance could result in us achieving sales below our expectations, which would cause our business, financial condition, results of operations, and prospects to be materially and adversely affected.</w:t>
      </w:r>
    </w:p>
    <w:p>
      <w:pPr>
        <w:spacing w:after="0" w:line="190" w:lineRule="exact"/>
        <w:rPr>
          <w:rFonts w:ascii="Times New Roman" w:cs="Times New Roman" w:eastAsia="Times New Roman" w:hAnsi="Times New Roman"/>
          <w:sz w:val="18"/>
          <w:szCs w:val="18"/>
          <w:color w:val="auto"/>
        </w:rPr>
      </w:pPr>
    </w:p>
    <w:p>
      <w:pPr>
        <w:ind w:left="1280" w:right="20" w:hanging="512"/>
        <w:spacing w:after="0" w:line="277"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our programs is new, rapidly evolving, and increasingly competitive, as the healthcare industry in the U.S. is undergoing significant structural change, which makes it difficult to forecast demand for our programs.</w:t>
      </w:r>
    </w:p>
    <w:p>
      <w:pPr>
        <w:spacing w:after="0" w:line="190" w:lineRule="exact"/>
        <w:rPr>
          <w:rFonts w:ascii="Times New Roman" w:cs="Times New Roman" w:eastAsia="Times New Roman" w:hAnsi="Times New Roman"/>
          <w:sz w:val="18"/>
          <w:szCs w:val="18"/>
          <w:color w:val="auto"/>
        </w:rPr>
      </w:pPr>
    </w:p>
    <w:p>
      <w:pPr>
        <w:jc w:val="both"/>
        <w:ind w:left="1280" w:right="20" w:hanging="512"/>
        <w:spacing w:after="0" w:line="262"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very competitive industry, and if we fail to compete successfully against our existing or potential competitors, some of whom may have greater resources than us, our business, financial condition, results of operations, and prospects could be materially and adversely affected.</w:t>
      </w:r>
    </w:p>
    <w:p>
      <w:pPr>
        <w:spacing w:after="0" w:line="203" w:lineRule="exact"/>
        <w:rPr>
          <w:rFonts w:ascii="Times New Roman" w:cs="Times New Roman" w:eastAsia="Times New Roman" w:hAnsi="Times New Roman"/>
          <w:sz w:val="18"/>
          <w:szCs w:val="18"/>
          <w:color w:val="auto"/>
        </w:rPr>
      </w:pPr>
    </w:p>
    <w:p>
      <w:pPr>
        <w:ind w:left="1280" w:right="20" w:hanging="512"/>
        <w:spacing w:after="0" w:line="277"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solutions or other technological breakthroughs for the monitoring, treatment, or prevention of chronic conditions or technological developments may adversely affect demand for our programs.</w:t>
      </w:r>
    </w:p>
    <w:p>
      <w:pPr>
        <w:spacing w:after="0" w:line="190" w:lineRule="exact"/>
        <w:rPr>
          <w:rFonts w:ascii="Times New Roman" w:cs="Times New Roman" w:eastAsia="Times New Roman" w:hAnsi="Times New Roman"/>
          <w:sz w:val="18"/>
          <w:szCs w:val="18"/>
          <w:color w:val="auto"/>
        </w:rPr>
      </w:pPr>
    </w:p>
    <w:p>
      <w:pPr>
        <w:jc w:val="both"/>
        <w:ind w:left="1280" w:right="40" w:hanging="512"/>
        <w:spacing w:after="0" w:line="262"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our business relies, in part, on the growth and success of our customers and channel partners such as health plans, PBMs, and other resellers, and revenue from member enrollment, which are difficult to predict and are affected by factors outside of our control.</w:t>
      </w:r>
    </w:p>
    <w:p>
      <w:pPr>
        <w:spacing w:after="0" w:line="203" w:lineRule="exact"/>
        <w:rPr>
          <w:rFonts w:ascii="Times New Roman" w:cs="Times New Roman" w:eastAsia="Times New Roman" w:hAnsi="Times New Roman"/>
          <w:sz w:val="18"/>
          <w:szCs w:val="18"/>
          <w:color w:val="auto"/>
        </w:rPr>
      </w:pPr>
    </w:p>
    <w:p>
      <w:pPr>
        <w:jc w:val="both"/>
        <w:ind w:left="1280" w:right="20" w:hanging="512"/>
        <w:spacing w:after="0" w:line="285" w:lineRule="auto"/>
        <w:tabs>
          <w:tab w:leader="none" w:pos="12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number of individuals covered by employers, health plans, PBMs, health systems, government entities, or other existing or potential customers decreases, or the number of programs they cover decreases, our member enrollment may decline, and our revenue will likely decrease, which could materially and adversely affect our business, financial condition, results of operations, and prospects.</w:t>
      </w:r>
    </w:p>
    <w:p>
      <w:pPr>
        <w:spacing w:after="0" w:line="185" w:lineRule="exact"/>
        <w:rPr>
          <w:rFonts w:ascii="Times New Roman" w:cs="Times New Roman" w:eastAsia="Times New Roman" w:hAnsi="Times New Roman"/>
          <w:sz w:val="17"/>
          <w:szCs w:val="17"/>
          <w:color w:val="auto"/>
        </w:rPr>
      </w:pPr>
    </w:p>
    <w:p>
      <w:pPr>
        <w:jc w:val="both"/>
        <w:ind w:left="1280" w:right="20" w:hanging="512"/>
        <w:spacing w:after="0" w:line="262"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depends on member engagement in our programs and the clinical outcomes and cost savings of our offerings, and our failure to achieve and maintain meaningful member engagement, clinical outcomes, and/or cost savings could materially and adversely affect our business, financial condition, results of operations, and prospects.</w:t>
      </w:r>
    </w:p>
    <w:p>
      <w:pPr>
        <w:spacing w:after="0" w:line="2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320" w:top="451" w:right="6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639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25945" cy="639127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1280" w:hanging="512"/>
        <w:spacing w:after="0" w:line="257"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significant upfront costs in establishing and expanding our relationships with employers, health plans, PBMs, health systems, government entities, and other existing or potential customers and channel partners, and if we are unable to maintain and grow these relationships over time, we are likely to fail to recover these costs, which could have a material adverse effect on our business, financial condition, results of operations, and prospects.</w:t>
      </w:r>
    </w:p>
    <w:p>
      <w:pPr>
        <w:spacing w:after="0" w:line="208" w:lineRule="exact"/>
        <w:rPr>
          <w:rFonts w:ascii="Times New Roman" w:cs="Times New Roman" w:eastAsia="Times New Roman" w:hAnsi="Times New Roman"/>
          <w:sz w:val="18"/>
          <w:szCs w:val="18"/>
          <w:color w:val="auto"/>
        </w:rPr>
      </w:pPr>
    </w:p>
    <w:p>
      <w:pPr>
        <w:ind w:left="1280" w:hanging="512"/>
        <w:spacing w:after="0"/>
        <w:tabs>
          <w:tab w:leader="none" w:pos="12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substantial portion of our sales comes from or through a limited number of customers and channel partners that operate as resellers.</w:t>
      </w:r>
    </w:p>
    <w:p>
      <w:pPr>
        <w:spacing w:after="0" w:line="258" w:lineRule="exact"/>
        <w:rPr>
          <w:rFonts w:ascii="Times New Roman" w:cs="Times New Roman" w:eastAsia="Times New Roman" w:hAnsi="Times New Roman"/>
          <w:sz w:val="17"/>
          <w:szCs w:val="17"/>
          <w:color w:val="auto"/>
        </w:rPr>
      </w:pPr>
    </w:p>
    <w:p>
      <w:pPr>
        <w:ind w:left="1280" w:hanging="512"/>
        <w:spacing w:after="0" w:line="277"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and channel partners and increase member enrollment from new and existing customers and channel partners, our revenue growth could be slower than we expect, and our business may be adversely affected.</w:t>
      </w:r>
    </w:p>
    <w:p>
      <w:pPr>
        <w:spacing w:after="0" w:line="190" w:lineRule="exact"/>
        <w:rPr>
          <w:rFonts w:ascii="Times New Roman" w:cs="Times New Roman" w:eastAsia="Times New Roman" w:hAnsi="Times New Roman"/>
          <w:sz w:val="18"/>
          <w:szCs w:val="18"/>
          <w:color w:val="auto"/>
        </w:rPr>
      </w:pPr>
    </w:p>
    <w:p>
      <w:pPr>
        <w:jc w:val="both"/>
        <w:ind w:left="1280" w:hanging="512"/>
        <w:spacing w:after="0" w:line="262"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increase the size of our organization, including our Care Teams, and we may experience difficulties in managing growth and attracting talent. A deterioration in our relationships with our employees and other service providers could have an adverse impact on our business.</w:t>
      </w:r>
    </w:p>
    <w:p>
      <w:pPr>
        <w:spacing w:after="0" w:line="203" w:lineRule="exact"/>
        <w:rPr>
          <w:rFonts w:ascii="Times New Roman" w:cs="Times New Roman" w:eastAsia="Times New Roman" w:hAnsi="Times New Roman"/>
          <w:sz w:val="18"/>
          <w:szCs w:val="18"/>
          <w:color w:val="auto"/>
        </w:rPr>
      </w:pPr>
    </w:p>
    <w:p>
      <w:pPr>
        <w:jc w:val="both"/>
        <w:ind w:left="1280" w:hanging="512"/>
        <w:spacing w:after="0" w:line="255"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third-party suppliers for certain devices and other supplies that we deliver to members in connection with our programs, for cellular device connectivity, and for certain complementary healthcare services provided by external partners, such as prescriptions or physician referrals, and the loss of any of these suppliers or partners, or their inability to support our required volume, could materially and adversely affect our business, financial condition, results of operations, and prospects.</w:t>
      </w:r>
    </w:p>
    <w:p>
      <w:pPr>
        <w:spacing w:after="0" w:line="209" w:lineRule="exact"/>
        <w:rPr>
          <w:rFonts w:ascii="Times New Roman" w:cs="Times New Roman" w:eastAsia="Times New Roman" w:hAnsi="Times New Roman"/>
          <w:sz w:val="18"/>
          <w:szCs w:val="18"/>
          <w:color w:val="auto"/>
        </w:rPr>
      </w:pPr>
    </w:p>
    <w:p>
      <w:pPr>
        <w:ind w:left="1280" w:hanging="512"/>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 seasonality in our business, which may cause fluctuations in our financial results.</w:t>
      </w:r>
    </w:p>
    <w:p>
      <w:pPr>
        <w:spacing w:after="0" w:line="247" w:lineRule="exact"/>
        <w:rPr>
          <w:rFonts w:ascii="Times New Roman" w:cs="Times New Roman" w:eastAsia="Times New Roman" w:hAnsi="Times New Roman"/>
          <w:sz w:val="18"/>
          <w:szCs w:val="18"/>
          <w:color w:val="auto"/>
        </w:rPr>
      </w:pPr>
    </w:p>
    <w:p>
      <w:pPr>
        <w:ind w:left="1280" w:hanging="512"/>
        <w:spacing w:after="0" w:line="277"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widespread brand awareness cost-effectively or are subject to widespread negative media coverage, our business may suffer.</w:t>
      </w:r>
    </w:p>
    <w:p>
      <w:pPr>
        <w:spacing w:after="0" w:line="190" w:lineRule="exact"/>
        <w:rPr>
          <w:rFonts w:ascii="Times New Roman" w:cs="Times New Roman" w:eastAsia="Times New Roman" w:hAnsi="Times New Roman"/>
          <w:sz w:val="18"/>
          <w:szCs w:val="18"/>
          <w:color w:val="auto"/>
        </w:rPr>
      </w:pPr>
    </w:p>
    <w:p>
      <w:pPr>
        <w:jc w:val="both"/>
        <w:ind w:left="1280" w:hanging="512"/>
        <w:spacing w:after="0" w:line="262"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develop and release new programs and services or to develop and release successful enhancements to, new features for, and modifications to our existing programs, services, and platform, our business, financial condition, results of operations, and prospects could be materially and adversely affected.</w:t>
      </w:r>
    </w:p>
    <w:p>
      <w:pPr>
        <w:spacing w:after="0" w:line="203" w:lineRule="exact"/>
        <w:rPr>
          <w:rFonts w:ascii="Times New Roman" w:cs="Times New Roman" w:eastAsia="Times New Roman" w:hAnsi="Times New Roman"/>
          <w:sz w:val="18"/>
          <w:szCs w:val="18"/>
          <w:color w:val="auto"/>
        </w:rPr>
      </w:pPr>
    </w:p>
    <w:p>
      <w:pPr>
        <w:jc w:val="both"/>
        <w:ind w:left="1280" w:hanging="512"/>
        <w:spacing w:after="0" w:line="271" w:lineRule="auto"/>
        <w:tabs>
          <w:tab w:leader="none" w:pos="12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information technology (“IT”) systems and those of our affiliated professional entities, or those used by our third-party service providers, vendors, business partners, or other contractors or consultants, may fail or suffer cybersecurity incidents, data breaches, and other disruptions, which could result in a material disruption of our systems or programs, compromise confidential information related to our business or of our customers or channel partners, including protected health information (“PHI”) and other sensitive or personal information of employees, covered individuals, and members, or prevent us from accessing critical information, potentially exposing us to liability or otherwise materially and adversely affecting our business, financial condition, results of operations, and prospects.</w:t>
      </w:r>
    </w:p>
    <w:p>
      <w:pPr>
        <w:spacing w:after="0" w:line="198" w:lineRule="exact"/>
        <w:rPr>
          <w:rFonts w:ascii="Times New Roman" w:cs="Times New Roman" w:eastAsia="Times New Roman" w:hAnsi="Times New Roman"/>
          <w:sz w:val="17"/>
          <w:szCs w:val="17"/>
          <w:color w:val="auto"/>
        </w:rPr>
      </w:pPr>
    </w:p>
    <w:p>
      <w:pPr>
        <w:ind w:left="1280" w:hanging="512"/>
        <w:spacing w:after="0" w:line="277"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upon the interoperability of our programs and related connected devices across a number of devices, operating systems, and third-party applications that we do not control.</w:t>
      </w:r>
    </w:p>
    <w:p>
      <w:pPr>
        <w:spacing w:after="0" w:line="190" w:lineRule="exact"/>
        <w:rPr>
          <w:rFonts w:ascii="Times New Roman" w:cs="Times New Roman" w:eastAsia="Times New Roman" w:hAnsi="Times New Roman"/>
          <w:sz w:val="18"/>
          <w:szCs w:val="18"/>
          <w:color w:val="auto"/>
        </w:rPr>
      </w:pPr>
    </w:p>
    <w:p>
      <w:pPr>
        <w:ind w:left="1280" w:hanging="512"/>
        <w:spacing w:after="0" w:line="277"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regulated industry and changes in regulations or the implementation of existing regulations could affect our operations.</w:t>
      </w:r>
    </w:p>
    <w:p>
      <w:pPr>
        <w:spacing w:after="0" w:line="190" w:lineRule="exact"/>
        <w:rPr>
          <w:rFonts w:ascii="Times New Roman" w:cs="Times New Roman" w:eastAsia="Times New Roman" w:hAnsi="Times New Roman"/>
          <w:sz w:val="18"/>
          <w:szCs w:val="18"/>
          <w:color w:val="auto"/>
        </w:rPr>
      </w:pPr>
    </w:p>
    <w:p>
      <w:pPr>
        <w:ind w:left="1280" w:hanging="512"/>
        <w:spacing w:after="0" w:line="277"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and disclosure of personal information, including health information, is subject to federal and state privacy and security laws and regulations, and our or our affiliated professional entities’ actual or</w:t>
      </w:r>
    </w:p>
    <w:p>
      <w:pPr>
        <w:spacing w:after="0" w:line="2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320" w:top="451" w:right="6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60185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25945" cy="60185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1280" w:right="20"/>
        <w:spacing w:after="0" w:line="262" w:lineRule="auto"/>
        <w:rPr>
          <w:sz w:val="20"/>
          <w:szCs w:val="20"/>
          <w:color w:val="auto"/>
        </w:rPr>
      </w:pPr>
      <w:r>
        <w:rPr>
          <w:rFonts w:ascii="Times New Roman" w:cs="Times New Roman" w:eastAsia="Times New Roman" w:hAnsi="Times New Roman"/>
          <w:sz w:val="18"/>
          <w:szCs w:val="18"/>
          <w:color w:val="auto"/>
        </w:rPr>
        <w:t>perceived failure to comply with such laws and regulations or to adequately secure the personal information we hold could result in significant liability or reputational harm and, in turn, a material adverse effect on our business, financial condition, results of operations, and prospects.</w:t>
      </w:r>
    </w:p>
    <w:p>
      <w:pPr>
        <w:spacing w:after="0" w:line="204" w:lineRule="exact"/>
        <w:rPr>
          <w:sz w:val="20"/>
          <w:szCs w:val="20"/>
          <w:color w:val="auto"/>
        </w:rPr>
      </w:pPr>
    </w:p>
    <w:p>
      <w:pPr>
        <w:jc w:val="both"/>
        <w:ind w:left="1280" w:right="20" w:hanging="512"/>
        <w:spacing w:after="0" w:line="257"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affiliated professional entities fail to comply with federal and state healthcare regulatory laws, we could be subject to penalties, including, but not limited to, administrative, civil and criminal penalties, damages, fines, disgorgement, exclusion from participation in governmental healthcare programs, and the curtailment of our operations, any of which could materially and adversely affect our business, financial condition, results of operations, and prospects.</w:t>
      </w:r>
    </w:p>
    <w:p>
      <w:pPr>
        <w:spacing w:after="0" w:line="208" w:lineRule="exact"/>
        <w:rPr>
          <w:rFonts w:ascii="Times New Roman" w:cs="Times New Roman" w:eastAsia="Times New Roman" w:hAnsi="Times New Roman"/>
          <w:sz w:val="18"/>
          <w:szCs w:val="18"/>
          <w:color w:val="auto"/>
        </w:rPr>
      </w:pPr>
    </w:p>
    <w:p>
      <w:pPr>
        <w:jc w:val="both"/>
        <w:ind w:left="1280" w:right="20" w:hanging="512"/>
        <w:spacing w:after="0" w:line="262"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Food and Drug Administration (the “FDA”) may modify its enforcement policies with respect to medical software products, and our software applications may become subject to extensive regulatory requirements, which may increase the cost of conducting, or otherwise harm, our business.</w:t>
      </w:r>
    </w:p>
    <w:p>
      <w:pPr>
        <w:spacing w:after="0" w:line="203" w:lineRule="exact"/>
        <w:rPr>
          <w:rFonts w:ascii="Times New Roman" w:cs="Times New Roman" w:eastAsia="Times New Roman" w:hAnsi="Times New Roman"/>
          <w:sz w:val="18"/>
          <w:szCs w:val="18"/>
          <w:color w:val="auto"/>
        </w:rPr>
      </w:pPr>
    </w:p>
    <w:p>
      <w:pPr>
        <w:jc w:val="both"/>
        <w:ind w:left="1280" w:right="20" w:hanging="512"/>
        <w:spacing w:after="0" w:line="257"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relationships with affiliated professional entities, which we do not own, to provide physical therapy services, and our business would be adversely affected if those relationships were disrupted or if our arrangements with such affiliated professional entities or our customers or channel partners are found to violate state laws prohibiting the corporate practice of physical therapy or fee splitting.</w:t>
      </w:r>
    </w:p>
    <w:p>
      <w:pPr>
        <w:spacing w:after="0" w:line="208" w:lineRule="exact"/>
        <w:rPr>
          <w:rFonts w:ascii="Times New Roman" w:cs="Times New Roman" w:eastAsia="Times New Roman" w:hAnsi="Times New Roman"/>
          <w:sz w:val="18"/>
          <w:szCs w:val="18"/>
          <w:color w:val="auto"/>
        </w:rPr>
      </w:pPr>
    </w:p>
    <w:p>
      <w:pPr>
        <w:ind w:left="1280" w:right="40" w:hanging="512"/>
        <w:spacing w:after="0" w:line="277"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healthcare reforms or reductions in government spending may make it more difficult and costly to produce, market, and distribute our programs or to do so profitably.</w:t>
      </w:r>
    </w:p>
    <w:p>
      <w:pPr>
        <w:spacing w:after="0" w:line="190" w:lineRule="exact"/>
        <w:rPr>
          <w:rFonts w:ascii="Times New Roman" w:cs="Times New Roman" w:eastAsia="Times New Roman" w:hAnsi="Times New Roman"/>
          <w:sz w:val="18"/>
          <w:szCs w:val="18"/>
          <w:color w:val="auto"/>
        </w:rPr>
      </w:pPr>
    </w:p>
    <w:p>
      <w:pPr>
        <w:jc w:val="both"/>
        <w:ind w:left="1280" w:right="20" w:hanging="512"/>
        <w:spacing w:after="0" w:line="257"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If our remediation of the material weaknesses is not effective, or if we experience additional material weaknesses in the future or otherwise fail to maintain an effective system of internal controls in the future, we may not be able to accurately or timely report our results of operations or financial condition, which may adversely affect investor confidence in us and, as a result, the value of our common stock.</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224" w:lineRule="exact"/>
        <w:rPr>
          <w:sz w:val="20"/>
          <w:szCs w:val="20"/>
          <w:color w:val="auto"/>
        </w:rPr>
      </w:pPr>
    </w:p>
    <w:p>
      <w:pPr>
        <w:jc w:val="both"/>
        <w:ind w:left="360" w:right="20" w:firstLine="421"/>
        <w:spacing w:after="0" w:line="277" w:lineRule="auto"/>
        <w:rPr>
          <w:sz w:val="20"/>
          <w:szCs w:val="20"/>
          <w:color w:val="auto"/>
        </w:rPr>
      </w:pPr>
      <w:r>
        <w:rPr>
          <w:rFonts w:ascii="Times New Roman" w:cs="Times New Roman" w:eastAsia="Times New Roman" w:hAnsi="Times New Roman"/>
          <w:sz w:val="17"/>
          <w:szCs w:val="17"/>
          <w:color w:val="auto"/>
        </w:rPr>
        <w:t>We were incorporated under the laws of the State of Delaware on April 25, 2011. Our principal executive offices are located at 500 Sansome Street, Suite 200, San Francisco, California 94111, and our telephone number is (888) 987-8337. Our corporate website address is www.omadahealth.com. Information contained on, or accessible through, our website shall not be deemed incorporated into and is not a part of this prospectus or the registration statement of which it is a part. We have included our website in this prospectus solely as an inactive textual reference.</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4" w:lineRule="exact"/>
        <w:rPr>
          <w:sz w:val="20"/>
          <w:szCs w:val="20"/>
          <w:color w:val="auto"/>
        </w:rPr>
      </w:pPr>
    </w:p>
    <w:p>
      <w:pPr>
        <w:jc w:val="both"/>
        <w:ind w:left="360" w:firstLine="421"/>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We will remain an emerging growth company until the earliest of: (i) the last day of the fiscal year following the fifth anniversary of the consummation of this offering; (ii) the last day of the fiscal year in which we have total annual gross revenue of at least $1.235 billion; (iii) the last day of the fiscal year in which we are deemed to be a “large accelerated filer” as defined in Rule 12b-2 under the Securities Exchange Act of 1934, as amended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An emerging growth company may take advantage of specified reduced reporting</w:t>
      </w:r>
    </w:p>
    <w:p>
      <w:pPr>
        <w:spacing w:after="0" w:line="30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320" w:top="451" w:right="6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32867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25945" cy="328676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360"/>
        <w:spacing w:after="0" w:line="262" w:lineRule="auto"/>
        <w:rPr>
          <w:sz w:val="20"/>
          <w:szCs w:val="20"/>
          <w:color w:val="auto"/>
        </w:rPr>
      </w:pPr>
      <w:r>
        <w:rPr>
          <w:rFonts w:ascii="Times New Roman" w:cs="Times New Roman" w:eastAsia="Times New Roman" w:hAnsi="Times New Roman"/>
          <w:sz w:val="18"/>
          <w:szCs w:val="18"/>
          <w:color w:val="auto"/>
        </w:rPr>
        <w:t>requirements and is relieved of certain other significant requirements that are otherwise generally applicable to public companies. As a result, the information that we provide to our stockholders may be different than you might receive from other public reporting companies in which you hold equity interests.</w:t>
      </w:r>
    </w:p>
    <w:p>
      <w:pPr>
        <w:spacing w:after="0" w:line="177" w:lineRule="exact"/>
        <w:rPr>
          <w:sz w:val="20"/>
          <w:szCs w:val="20"/>
          <w:color w:val="auto"/>
        </w:rPr>
      </w:pPr>
    </w:p>
    <w:p>
      <w:pPr>
        <w:jc w:val="both"/>
        <w:ind w:left="360" w:right="20" w:firstLine="421"/>
        <w:spacing w:after="0" w:line="308" w:lineRule="auto"/>
        <w:rPr>
          <w:sz w:val="20"/>
          <w:szCs w:val="20"/>
          <w:color w:val="auto"/>
        </w:rPr>
      </w:pPr>
      <w:r>
        <w:rPr>
          <w:rFonts w:ascii="Times New Roman" w:cs="Times New Roman" w:eastAsia="Times New Roman" w:hAnsi="Times New Roman"/>
          <w:sz w:val="17"/>
          <w:szCs w:val="17"/>
          <w:color w:val="auto"/>
        </w:rPr>
        <w:t>As an emerging growth company, we have elected to take advantage of certain of the reduced disclosure obligations in the registration statement of which this prospectus is a part and may elect to take advantage of other reduced reporting requirements in future filings. In particular:</w:t>
      </w:r>
    </w:p>
    <w:p>
      <w:pPr>
        <w:spacing w:after="0" w:line="166" w:lineRule="exact"/>
        <w:rPr>
          <w:sz w:val="20"/>
          <w:szCs w:val="20"/>
          <w:color w:val="auto"/>
        </w:rPr>
      </w:pPr>
    </w:p>
    <w:p>
      <w:pPr>
        <w:ind w:left="1280" w:right="40" w:hanging="512"/>
        <w:spacing w:after="0" w:line="277"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present in this prospectus only two years of audited consolidated financial statements, plus any required unaudited financial statements, and related management’s discussion and analysis of financial condition and results of operations;</w:t>
      </w:r>
    </w:p>
    <w:p>
      <w:pPr>
        <w:spacing w:after="0" w:line="190" w:lineRule="exact"/>
        <w:rPr>
          <w:rFonts w:ascii="Times New Roman" w:cs="Times New Roman" w:eastAsia="Times New Roman" w:hAnsi="Times New Roman"/>
          <w:sz w:val="18"/>
          <w:szCs w:val="18"/>
          <w:color w:val="auto"/>
        </w:rPr>
      </w:pPr>
    </w:p>
    <w:p>
      <w:pPr>
        <w:ind w:left="1280" w:right="20" w:hanging="512"/>
        <w:spacing w:after="0" w:line="308" w:lineRule="auto"/>
        <w:tabs>
          <w:tab w:leader="none" w:pos="12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avail ourselves of the exemption from the requirement to obtain an attestation and report from our independent registered public accounting firm on the assessment of our internal control over financial reporting pursuant to the Sarbanes-Oxley Act of 2002;</w:t>
      </w:r>
    </w:p>
    <w:p>
      <w:pPr>
        <w:spacing w:after="0" w:line="166" w:lineRule="exact"/>
        <w:rPr>
          <w:rFonts w:ascii="Times New Roman" w:cs="Times New Roman" w:eastAsia="Times New Roman" w:hAnsi="Times New Roman"/>
          <w:sz w:val="17"/>
          <w:szCs w:val="17"/>
          <w:color w:val="auto"/>
        </w:rPr>
      </w:pPr>
    </w:p>
    <w:p>
      <w:pPr>
        <w:ind w:left="1280" w:hanging="512"/>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provide less extensive disclosure about our executive compensation arrangements; and</w:t>
      </w:r>
    </w:p>
    <w:p>
      <w:pPr>
        <w:spacing w:after="0" w:line="247" w:lineRule="exact"/>
        <w:rPr>
          <w:rFonts w:ascii="Times New Roman" w:cs="Times New Roman" w:eastAsia="Times New Roman" w:hAnsi="Times New Roman"/>
          <w:sz w:val="18"/>
          <w:szCs w:val="18"/>
          <w:color w:val="auto"/>
        </w:rPr>
      </w:pPr>
    </w:p>
    <w:p>
      <w:pPr>
        <w:ind w:left="1280" w:hanging="512"/>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require stockholder non-binding advisory votes on executive compensation or golden parachute arrangements.</w:t>
      </w:r>
    </w:p>
    <w:p>
      <w:pPr>
        <w:spacing w:after="0" w:line="220" w:lineRule="exact"/>
        <w:rPr>
          <w:sz w:val="20"/>
          <w:szCs w:val="20"/>
          <w:color w:val="auto"/>
        </w:rPr>
      </w:pPr>
    </w:p>
    <w:p>
      <w:pPr>
        <w:jc w:val="both"/>
        <w:ind w:left="360" w:firstLine="421"/>
        <w:spacing w:after="0" w:line="255"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for any other new or revised accounting standards during the period in which we remain an emerging growth company; however, we may adopt certain new or revised accounting standards early.</w:t>
      </w:r>
    </w:p>
    <w:p>
      <w:pPr>
        <w:spacing w:after="0" w:line="30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320" w:top="451" w:right="6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6493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25945" cy="649351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0880"/>
          </w:cols>
          <w:pgMar w:left="320" w:top="451" w:right="699" w:bottom="1440" w:gutter="0" w:footer="0" w:header="0"/>
        </w:sectPr>
      </w:pPr>
    </w:p>
    <w:p>
      <w:pPr>
        <w:spacing w:after="0" w:line="2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7,900,000 shares.</w:t>
      </w:r>
    </w:p>
    <w:p>
      <w:pPr>
        <w:spacing w:after="0" w:line="85" w:lineRule="exact"/>
        <w:rPr>
          <w:sz w:val="20"/>
          <w:szCs w:val="20"/>
          <w:color w:val="auto"/>
        </w:rPr>
      </w:pPr>
    </w:p>
    <w:p>
      <w:pPr>
        <w:sectPr>
          <w:pgSz w:w="11900" w:h="16838" w:orient="portrait"/>
          <w:cols w:equalWidth="0" w:num="2">
            <w:col w:w="5120" w:space="720"/>
            <w:col w:w="5040"/>
          </w:cols>
          <w:pgMar w:left="320" w:top="451" w:right="69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Underwriters’ option to purchase additional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1,185,000 shares.</w:t>
      </w:r>
    </w:p>
    <w:p>
      <w:pPr>
        <w:spacing w:after="0" w:line="85" w:lineRule="exact"/>
        <w:rPr>
          <w:sz w:val="20"/>
          <w:szCs w:val="20"/>
          <w:color w:val="auto"/>
        </w:rPr>
      </w:pPr>
    </w:p>
    <w:p>
      <w:pPr>
        <w:sectPr>
          <w:pgSz w:w="11900" w:h="16838" w:orient="portrait"/>
          <w:cols w:equalWidth="0" w:num="2">
            <w:col w:w="5120" w:space="720"/>
            <w:col w:w="5040"/>
          </w:cols>
          <w:pgMar w:left="320" w:top="451" w:right="69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Times New Roman" w:cs="Times New Roman" w:eastAsia="Times New Roman" w:hAnsi="Times New Roman"/>
          <w:sz w:val="18"/>
          <w:szCs w:val="18"/>
          <w:color w:val="auto"/>
        </w:rPr>
        <w:t>55,744,340 shares (or 56,929,340 shares if the underwriters exercise in full their option to purchase additional shares).</w:t>
      </w:r>
    </w:p>
    <w:p>
      <w:pPr>
        <w:spacing w:after="0" w:line="16" w:lineRule="exact"/>
        <w:rPr>
          <w:sz w:val="20"/>
          <w:szCs w:val="20"/>
          <w:color w:val="auto"/>
        </w:rPr>
      </w:pPr>
    </w:p>
    <w:p>
      <w:pPr>
        <w:sectPr>
          <w:pgSz w:w="11900" w:h="16838" w:orient="portrait"/>
          <w:cols w:equalWidth="0" w:num="2">
            <w:col w:w="5120" w:space="720"/>
            <w:col w:w="5040"/>
          </w:cols>
          <w:pgMar w:left="320" w:top="451" w:right="69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$133.2 million (or approximately $154.1 million if the underwriters exercise in full their option to purchase up to 1,185,000 additional shares of common stock), based on an assumed initial public offering price of $19.00 per share, which is the midpoint of the estimated price range set forth on the cover page of this prospectus, and after deducting estimated underwriting discounts and commissions and estimated offering expenses payable by us.</w:t>
      </w:r>
    </w:p>
    <w:p>
      <w:pPr>
        <w:spacing w:after="0" w:line="91" w:lineRule="exact"/>
        <w:rPr>
          <w:sz w:val="20"/>
          <w:szCs w:val="20"/>
          <w:color w:val="auto"/>
        </w:rPr>
      </w:pPr>
    </w:p>
    <w:p>
      <w:pPr>
        <w:sectPr>
          <w:pgSz w:w="11900" w:h="16838" w:orient="portrait"/>
          <w:cols w:equalWidth="0" w:num="2">
            <w:col w:w="5120" w:space="720"/>
            <w:col w:w="5040"/>
          </w:cols>
          <w:pgMar w:left="320" w:top="451" w:right="699" w:bottom="1440" w:gutter="0" w:footer="0" w:header="0"/>
          <w:type w:val="continuous"/>
        </w:sectPr>
      </w:pPr>
    </w:p>
    <w:p>
      <w:pPr>
        <w:ind w:left="5840"/>
        <w:spacing w:after="0"/>
        <w:rPr>
          <w:sz w:val="20"/>
          <w:szCs w:val="20"/>
          <w:color w:val="auto"/>
        </w:rPr>
      </w:pPr>
      <w:r>
        <w:rPr>
          <w:rFonts w:ascii="Times New Roman" w:cs="Times New Roman" w:eastAsia="Times New Roman" w:hAnsi="Times New Roman"/>
          <w:sz w:val="18"/>
          <w:szCs w:val="18"/>
          <w:color w:val="auto"/>
        </w:rPr>
        <w:t>We currently intend to use the net proceeds from this offering for</w:t>
      </w:r>
    </w:p>
    <w:p>
      <w:pPr>
        <w:spacing w:after="0" w:line="2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general  corporate  purposes,  including  working  capital,  operating</w:t>
      </w:r>
    </w:p>
    <w:p>
      <w:pPr>
        <w:spacing w:after="0" w:line="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expenses, and capital expenditures. We may also use a portion of the</w:t>
      </w:r>
    </w:p>
    <w:p>
      <w:pPr>
        <w:spacing w:after="0" w:line="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proceeds to repay outstanding borrowings under the MidCap Credit</w:t>
      </w:r>
    </w:p>
    <w:p>
      <w:pPr>
        <w:spacing w:after="0" w:line="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Agreement and/or to acquire complementary businesses, products,</w:t>
      </w:r>
    </w:p>
    <w:p>
      <w:pPr>
        <w:spacing w:after="0" w:line="7" w:lineRule="exact"/>
        <w:rPr>
          <w:sz w:val="20"/>
          <w:szCs w:val="20"/>
          <w:color w:val="auto"/>
        </w:rPr>
      </w:pPr>
    </w:p>
    <w:p>
      <w:pPr>
        <w:ind w:left="5840"/>
        <w:spacing w:after="0"/>
        <w:tabs>
          <w:tab w:leader="none" w:pos="6620" w:val="left"/>
          <w:tab w:leader="none" w:pos="6940" w:val="left"/>
          <w:tab w:leader="none" w:pos="8060" w:val="left"/>
          <w:tab w:leader="none" w:pos="8460" w:val="left"/>
          <w:tab w:leader="none" w:pos="9500" w:val="left"/>
          <w:tab w:leader="none" w:pos="10260" w:val="left"/>
        </w:tabs>
        <w:rPr>
          <w:sz w:val="20"/>
          <w:szCs w:val="20"/>
          <w:color w:val="auto"/>
        </w:rPr>
      </w:pPr>
      <w:r>
        <w:rPr>
          <w:rFonts w:ascii="Times New Roman" w:cs="Times New Roman" w:eastAsia="Times New Roman" w:hAnsi="Times New Roman"/>
          <w:sz w:val="18"/>
          <w:szCs w:val="18"/>
          <w:color w:val="auto"/>
        </w:rPr>
        <w:t>services,</w:t>
        <w:tab/>
        <w:t>or</w:t>
        <w:tab/>
        <w:t>technologies.</w:t>
        <w:tab/>
        <w:t>We</w:t>
        <w:tab/>
        <w:t>periodically</w:t>
        <w:tab/>
        <w:t>evaluate</w:t>
      </w:r>
      <w:r>
        <w:rPr>
          <w:sz w:val="20"/>
          <w:szCs w:val="20"/>
          <w:color w:val="auto"/>
        </w:rPr>
        <w:tab/>
      </w:r>
      <w:r>
        <w:rPr>
          <w:rFonts w:ascii="Times New Roman" w:cs="Times New Roman" w:eastAsia="Times New Roman" w:hAnsi="Times New Roman"/>
          <w:sz w:val="17"/>
          <w:szCs w:val="17"/>
          <w:color w:val="auto"/>
        </w:rPr>
        <w:t>strategic</w:t>
      </w:r>
    </w:p>
    <w:p>
      <w:pPr>
        <w:spacing w:after="0" w:line="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opportunities;  however,  we  have  no  current  understandings  or</w:t>
      </w:r>
    </w:p>
    <w:p>
      <w:pPr>
        <w:spacing w:after="0" w:line="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commitments to enter into any such acquisitions or make any such</w:t>
      </w:r>
    </w:p>
    <w:p>
      <w:pPr>
        <w:spacing w:after="0" w:line="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investments.</w:t>
      </w:r>
    </w:p>
    <w:p>
      <w:pPr>
        <w:spacing w:after="0" w:line="10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We will have broad discretion in the way that we use the net proceeds</w:t>
      </w:r>
    </w:p>
    <w:p>
      <w:pPr>
        <w:spacing w:after="0" w:line="2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of this offering. See the section titled “Use of Proceeds” for additional</w:t>
      </w:r>
    </w:p>
    <w:p>
      <w:pPr>
        <w:spacing w:after="0" w:line="1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information.</w:t>
      </w:r>
    </w:p>
    <w:p>
      <w:pPr>
        <w:sectPr>
          <w:pgSz w:w="11900" w:h="16838" w:orient="portrait"/>
          <w:cols w:equalWidth="0" w:num="1">
            <w:col w:w="10880"/>
          </w:cols>
          <w:pgMar w:left="320" w:top="451" w:right="699" w:bottom="1440" w:gutter="0" w:footer="0" w:header="0"/>
          <w:type w:val="continuous"/>
        </w:sectPr>
      </w:pP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You should read the section titled “Risk Factors” for a discussion of factors to consider carefully, together with all the other information included in this prospectus, before deciding to invest in our common stock.</w:t>
      </w:r>
    </w:p>
    <w:p>
      <w:pPr>
        <w:spacing w:after="0" w:line="35" w:lineRule="exact"/>
        <w:rPr>
          <w:sz w:val="20"/>
          <w:szCs w:val="20"/>
          <w:color w:val="auto"/>
        </w:rPr>
      </w:pPr>
    </w:p>
    <w:p>
      <w:pPr>
        <w:sectPr>
          <w:pgSz w:w="11900" w:h="16838" w:orient="portrait"/>
          <w:cols w:equalWidth="0" w:num="2">
            <w:col w:w="5120" w:space="720"/>
            <w:col w:w="5040"/>
          </w:cols>
          <w:pgMar w:left="320" w:top="451" w:right="69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Proposed Nasdaq Global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“OMDA”</w:t>
      </w:r>
    </w:p>
    <w:p>
      <w:pPr>
        <w:spacing w:after="0" w:line="200" w:lineRule="exact"/>
        <w:rPr>
          <w:sz w:val="20"/>
          <w:szCs w:val="20"/>
          <w:color w:val="auto"/>
        </w:rPr>
      </w:pPr>
    </w:p>
    <w:p>
      <w:pPr>
        <w:sectPr>
          <w:pgSz w:w="11900" w:h="16838" w:orient="portrait"/>
          <w:cols w:equalWidth="0" w:num="2">
            <w:col w:w="5120" w:space="720"/>
            <w:col w:w="5040"/>
          </w:cols>
          <w:pgMar w:left="320" w:top="451" w:right="699" w:bottom="1440" w:gutter="0" w:footer="0" w:header="0"/>
          <w:type w:val="continuous"/>
        </w:sectPr>
      </w:pPr>
    </w:p>
    <w:p>
      <w:pPr>
        <w:spacing w:after="0" w:line="32" w:lineRule="exact"/>
        <w:rPr>
          <w:sz w:val="20"/>
          <w:szCs w:val="20"/>
          <w:color w:val="auto"/>
        </w:rPr>
      </w:pPr>
    </w:p>
    <w:p>
      <w:pPr>
        <w:jc w:val="both"/>
        <w:ind w:left="360" w:firstLine="421"/>
        <w:spacing w:after="0" w:line="26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47,844,340 shares of our common stock outstanding as of March 31, 2025 and reflects the Preferred Stock Conversion, the Series B Warrant Exercise, and the Series D Warrant Exercise described below.</w:t>
      </w:r>
    </w:p>
    <w:p>
      <w:pPr>
        <w:spacing w:after="0" w:line="17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does not include:</w:t>
      </w:r>
    </w:p>
    <w:p>
      <w:pPr>
        <w:spacing w:after="0" w:line="247" w:lineRule="exact"/>
        <w:rPr>
          <w:sz w:val="20"/>
          <w:szCs w:val="20"/>
          <w:color w:val="auto"/>
        </w:rPr>
      </w:pPr>
    </w:p>
    <w:p>
      <w:pPr>
        <w:ind w:left="1280" w:right="20" w:hanging="512"/>
        <w:spacing w:after="0" w:line="277"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43,420 shares of our common stock issuable upon the exercise of outstanding warrants to purchase shares of common stock as of March 31, 2025, with a weighted-average exercise price of $3.24 per share;</w:t>
      </w:r>
    </w:p>
    <w:p>
      <w:pPr>
        <w:spacing w:after="0" w:line="190" w:lineRule="exact"/>
        <w:rPr>
          <w:rFonts w:ascii="Times New Roman" w:cs="Times New Roman" w:eastAsia="Times New Roman" w:hAnsi="Times New Roman"/>
          <w:sz w:val="18"/>
          <w:szCs w:val="18"/>
          <w:color w:val="auto"/>
        </w:rPr>
      </w:pPr>
    </w:p>
    <w:p>
      <w:pPr>
        <w:ind w:left="1280" w:right="20" w:hanging="512"/>
        <w:spacing w:after="0" w:line="277"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12,249,492 shares of our common stock issuable upon the exercise of outstanding stock options as of March 31, 2025, with a weighted-average exercise price of $7.31 per share;</w:t>
      </w:r>
    </w:p>
    <w:p>
      <w:pPr>
        <w:spacing w:after="0" w:line="2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80"/>
          </w:cols>
          <w:pgMar w:left="320" w:top="451" w:right="6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6102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25945" cy="610298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80" w:hanging="512"/>
        <w:spacing w:after="0" w:line="277" w:lineRule="auto"/>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262,461 shares of our common stock issuable upon the exercise of outstanding stock options granted subsequent to March 31, 2025, with a weighted-average exercise price of $12.72 per share; and</w:t>
      </w:r>
    </w:p>
    <w:p>
      <w:pPr>
        <w:spacing w:after="0" w:line="190" w:lineRule="exact"/>
        <w:rPr>
          <w:rFonts w:ascii="Times New Roman" w:cs="Times New Roman" w:eastAsia="Times New Roman" w:hAnsi="Times New Roman"/>
          <w:sz w:val="18"/>
          <w:szCs w:val="18"/>
          <w:color w:val="auto"/>
        </w:rPr>
      </w:pPr>
    </w:p>
    <w:p>
      <w:pPr>
        <w:ind w:left="1280" w:hanging="512"/>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6,166,772 shares of our common stock reserved for future issuance under our equity compensation plans, consisting of:</w:t>
      </w:r>
    </w:p>
    <w:p>
      <w:pPr>
        <w:spacing w:after="0" w:line="247" w:lineRule="exact"/>
        <w:rPr>
          <w:rFonts w:ascii="Times New Roman" w:cs="Times New Roman" w:eastAsia="Times New Roman" w:hAnsi="Times New Roman"/>
          <w:sz w:val="18"/>
          <w:szCs w:val="18"/>
          <w:color w:val="auto"/>
        </w:rPr>
      </w:pPr>
    </w:p>
    <w:p>
      <w:pPr>
        <w:jc w:val="both"/>
        <w:ind w:left="1700" w:hanging="411"/>
        <w:spacing w:after="0" w:line="253" w:lineRule="auto"/>
        <w:tabs>
          <w:tab w:leader="none" w:pos="17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5,045,541 shares of our common stock to be reserved for future issuance under our 2025 Incentive Award Plan (the “2025 Plan”), which will become effective on the date immediately prior to the date our registration statement relating to this offering becomes effective, from which we will grant restricted stock units (“RSUs”) covering approximately 629,458 shares of common stock concurrently with this offering (based on an assumed initial public offering price of $19.00 per share, which is the midpoint of the estimated price range set forth on the cover page of this prospectus), as well as any future increases in the number of shares of common stock reserved for issuance under the 2025 Plan; and</w:t>
      </w:r>
    </w:p>
    <w:p>
      <w:pPr>
        <w:spacing w:after="0" w:line="213" w:lineRule="exact"/>
        <w:rPr>
          <w:rFonts w:ascii="Times New Roman" w:cs="Times New Roman" w:eastAsia="Times New Roman" w:hAnsi="Times New Roman"/>
          <w:sz w:val="18"/>
          <w:szCs w:val="18"/>
          <w:color w:val="auto"/>
        </w:rPr>
      </w:pPr>
    </w:p>
    <w:p>
      <w:pPr>
        <w:jc w:val="both"/>
        <w:ind w:left="1700" w:hanging="411"/>
        <w:spacing w:after="0" w:line="257" w:lineRule="auto"/>
        <w:tabs>
          <w:tab w:leader="none" w:pos="17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1,121,231 shares of our common stock reserved for future issuance under our 2025 Employee Stock Purchase Plan (the “ESPP”), which will become effective on the date immediately prior to the date our registration statement relating to this offering becomes effective, as well as any future increases in the number of shares of common stock reserved for issuance under the ESPP.</w:t>
      </w:r>
    </w:p>
    <w:p>
      <w:pPr>
        <w:spacing w:after="0" w:line="182" w:lineRule="exact"/>
        <w:rPr>
          <w:sz w:val="20"/>
          <w:szCs w:val="20"/>
          <w:color w:val="auto"/>
        </w:rPr>
      </w:pPr>
    </w:p>
    <w:p>
      <w:pPr>
        <w:ind w:left="360" w:firstLine="421"/>
        <w:spacing w:after="0" w:line="277" w:lineRule="auto"/>
        <w:rPr>
          <w:sz w:val="20"/>
          <w:szCs w:val="20"/>
          <w:color w:val="auto"/>
        </w:rPr>
      </w:pPr>
      <w:r>
        <w:rPr>
          <w:rFonts w:ascii="Times New Roman" w:cs="Times New Roman" w:eastAsia="Times New Roman" w:hAnsi="Times New Roman"/>
          <w:sz w:val="18"/>
          <w:szCs w:val="18"/>
          <w:color w:val="auto"/>
        </w:rPr>
        <w:t>Unless otherwise indicated, all information contained in this prospectus, including the number of shares of common stock that will be outstanding after this offering, assumes or gives effect to:</w:t>
      </w:r>
    </w:p>
    <w:p>
      <w:pPr>
        <w:spacing w:after="0" w:line="190" w:lineRule="exact"/>
        <w:rPr>
          <w:sz w:val="20"/>
          <w:szCs w:val="20"/>
          <w:color w:val="auto"/>
        </w:rPr>
      </w:pPr>
    </w:p>
    <w:p>
      <w:pPr>
        <w:ind w:left="1280" w:hanging="512"/>
        <w:spacing w:after="0"/>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filing, and effectiveness of our restated certificate of incorporation immediately prior to the completion of this offering;</w:t>
      </w:r>
    </w:p>
    <w:p>
      <w:pPr>
        <w:spacing w:after="0" w:line="247" w:lineRule="exact"/>
        <w:rPr>
          <w:rFonts w:ascii="Times New Roman" w:cs="Times New Roman" w:eastAsia="Times New Roman" w:hAnsi="Times New Roman"/>
          <w:sz w:val="18"/>
          <w:szCs w:val="18"/>
          <w:color w:val="auto"/>
        </w:rPr>
      </w:pPr>
    </w:p>
    <w:p>
      <w:pPr>
        <w:jc w:val="both"/>
        <w:ind w:left="1280" w:hanging="512"/>
        <w:spacing w:after="0" w:line="262"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the outstanding shares of our Series A, Series B, Series C, Series C-1, Series D, Series D-1, and Series E redeemable convertible preferred stock as of March 31, 2025 into an aggregate of 39,406,221 shares of our common stock, the conversion of which will occur immediately prior to the completion of this offering (the “Preferred Stock Conversion”);</w:t>
      </w:r>
    </w:p>
    <w:p>
      <w:pPr>
        <w:spacing w:after="0" w:line="203" w:lineRule="exact"/>
        <w:rPr>
          <w:rFonts w:ascii="Times New Roman" w:cs="Times New Roman" w:eastAsia="Times New Roman" w:hAnsi="Times New Roman"/>
          <w:sz w:val="18"/>
          <w:szCs w:val="18"/>
          <w:color w:val="auto"/>
        </w:rPr>
      </w:pPr>
    </w:p>
    <w:p>
      <w:pPr>
        <w:jc w:val="both"/>
        <w:ind w:left="1280" w:hanging="512"/>
        <w:spacing w:after="0" w:line="262"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cashless exercise of all outstanding warrants to acquire shares of our Series B redeemable convertible preferred stock on May 19, 2025, and the conversion of the 92,194 shares issued upon such exercise into 30,731 shares of our common stock, the conversion of which will occur immediately prior to the completion of this offering (the “Series B Warrant Exercise”);</w:t>
      </w:r>
    </w:p>
    <w:p>
      <w:pPr>
        <w:spacing w:after="0" w:line="203" w:lineRule="exact"/>
        <w:rPr>
          <w:rFonts w:ascii="Times New Roman" w:cs="Times New Roman" w:eastAsia="Times New Roman" w:hAnsi="Times New Roman"/>
          <w:sz w:val="18"/>
          <w:szCs w:val="18"/>
          <w:color w:val="auto"/>
        </w:rPr>
      </w:pPr>
    </w:p>
    <w:p>
      <w:pPr>
        <w:jc w:val="both"/>
        <w:ind w:left="1280" w:hanging="512"/>
        <w:spacing w:after="0" w:line="255"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cashless exercise of outstanding warrants to acquire shares of our Series D redeemable convertible preferred stock immediately prior to the completion of this offering and the conversion of the 135,143 shares issued upon such exercise, assuming an initial public offering price of $19.00 per share, which is the midpoint of the estimated price range set forth on the cover page of this prospectus, into 45,047 shares of our common stock, the conversion of which will occur immediately prior to the completion of this offering (the “Series D Warrant Exercise”);</w:t>
      </w:r>
    </w:p>
    <w:p>
      <w:pPr>
        <w:spacing w:after="0" w:line="209" w:lineRule="exact"/>
        <w:rPr>
          <w:rFonts w:ascii="Times New Roman" w:cs="Times New Roman" w:eastAsia="Times New Roman" w:hAnsi="Times New Roman"/>
          <w:sz w:val="18"/>
          <w:szCs w:val="18"/>
          <w:color w:val="auto"/>
        </w:rPr>
      </w:pPr>
    </w:p>
    <w:p>
      <w:pPr>
        <w:ind w:left="1280" w:hanging="512"/>
        <w:spacing w:after="0"/>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one-for-three reverse stock split of our common stock effected on May 27, 2025;</w:t>
      </w:r>
    </w:p>
    <w:p>
      <w:pPr>
        <w:spacing w:after="0" w:line="247" w:lineRule="exact"/>
        <w:rPr>
          <w:rFonts w:ascii="Times New Roman" w:cs="Times New Roman" w:eastAsia="Times New Roman" w:hAnsi="Times New Roman"/>
          <w:sz w:val="18"/>
          <w:szCs w:val="18"/>
          <w:color w:val="auto"/>
        </w:rPr>
      </w:pPr>
    </w:p>
    <w:p>
      <w:pPr>
        <w:ind w:left="1280" w:hanging="512"/>
        <w:spacing w:after="0" w:line="277"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outstanding warrants or options subsequent to March 31, 2025, except in connection with the Series B Warrant Exercise and the Series D Warrant Exercise; and</w:t>
      </w:r>
    </w:p>
    <w:p>
      <w:pPr>
        <w:spacing w:after="0" w:line="190" w:lineRule="exact"/>
        <w:rPr>
          <w:rFonts w:ascii="Times New Roman" w:cs="Times New Roman" w:eastAsia="Times New Roman" w:hAnsi="Times New Roman"/>
          <w:sz w:val="18"/>
          <w:szCs w:val="18"/>
          <w:color w:val="auto"/>
        </w:rPr>
      </w:pPr>
    </w:p>
    <w:p>
      <w:pPr>
        <w:ind w:left="1280" w:hanging="512"/>
        <w:spacing w:after="0"/>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by the underwriters of their option to purchase up to 1,185,000 additional shares of our common stock.</w:t>
      </w:r>
    </w:p>
    <w:p>
      <w:pPr>
        <w:spacing w:after="0" w:line="34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80"/>
          </w:cols>
          <w:pgMar w:left="320" w:top="451" w:right="6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66713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25945" cy="667131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224" w:lineRule="exact"/>
        <w:rPr>
          <w:sz w:val="20"/>
          <w:szCs w:val="20"/>
          <w:color w:val="auto"/>
        </w:rPr>
      </w:pPr>
    </w:p>
    <w:p>
      <w:pPr>
        <w:jc w:val="both"/>
        <w:ind w:left="360" w:right="180" w:firstLine="421"/>
        <w:spacing w:after="0" w:line="249" w:lineRule="auto"/>
        <w:rPr>
          <w:sz w:val="20"/>
          <w:szCs w:val="20"/>
          <w:color w:val="auto"/>
        </w:rPr>
      </w:pPr>
      <w:r>
        <w:rPr>
          <w:rFonts w:ascii="Times New Roman" w:cs="Times New Roman" w:eastAsia="Times New Roman" w:hAnsi="Times New Roman"/>
          <w:sz w:val="18"/>
          <w:szCs w:val="18"/>
          <w:color w:val="auto"/>
        </w:rPr>
        <w:t>The following tables summarize our consolidated financial data for the periods and as of the dates indicated. The following summary consolidated statements of operations and comprehensive loss data for the years ended December 31, 2023 and 2024 and consolidated balance sheet data as of December 31, 2024, except for pro forma and pro forma as adjusted amounts, have been derived from our audited consolidated financial statements and the related notes included elsewhere in this prospectus. The following summary condensed consolidated statements of operations and comprehensive loss data for the three months ended March 31, 2024 and 2025, and the condensed consolidated balance sheet data as of March 31, 2025, except for pro forma and pro forma as adjusted amounts, have been derived from our unaudited condensed consolidated financial statements and the related notes included elsewhere in this prospectus. Our audited consolidated financial statements included elsewhere in this prospectus have been prepared in accordance with U.S. generally accepted accounting principles (“GAAP”). Our unaudited condensed consolidated financial statements were prepared on a basis consistent with our audited consolidated financial statements and include, in management’s opinion, all adjustments, consisting only of normal recurring adjustments, that they consider necessary for a fair presentation of the financial information set forth in those statements. Our historical results are not necessarily indicative of the results that may be expected for any period in the future, and results for the three months ended March 31, 2025 are not necessarily indicative of results to be expected for the year ended December 31, 2025. You should read the following summary consolidated financial data together with our audited consolidated financial statements and unaudited condensed consolidated financial statements and, in each case, the related notes included elsewhere in this prospectus and the section titled “Management’s Discussion and Analysis of Financial Condition and Results of Operations.” The summary consolidated financial data included in this section are not intended to replace the consolidated financial statements and the related notes included elsewhere in this prospectus.</w:t>
      </w:r>
    </w:p>
    <w:p>
      <w:pPr>
        <w:spacing w:after="0" w:line="217"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1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4"/>
                <w:szCs w:val="14"/>
                <w:color w:val="auto"/>
              </w:rPr>
            </w:pPr>
          </w:p>
        </w:tc>
        <w:tc>
          <w:tcPr>
            <w:tcW w:w="2480" w:type="dxa"/>
            <w:vAlign w:val="bottom"/>
            <w:gridSpan w:val="6"/>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0"/>
        </w:trPr>
        <w:tc>
          <w:tcPr>
            <w:tcW w:w="1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080" w:type="dxa"/>
            <w:vAlign w:val="bottom"/>
            <w:tcBorders>
              <w:top w:val="single" w:sz="8" w:color="auto"/>
            </w:tcBorders>
            <w:gridSpan w:val="2"/>
          </w:tcPr>
          <w:p>
            <w:pPr>
              <w:jc w:val="right"/>
              <w:ind w:right="4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20" w:type="dxa"/>
            <w:vAlign w:val="bottom"/>
            <w:tcBorders>
              <w:top w:val="single" w:sz="8" w:color="auto"/>
            </w:tcBorders>
          </w:tcPr>
          <w:p>
            <w:pPr>
              <w:jc w:val="right"/>
              <w:ind w:right="12"/>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620" w:type="dxa"/>
            <w:vAlign w:val="bottom"/>
          </w:tcPr>
          <w:p>
            <w:pPr>
              <w:spacing w:after="0"/>
              <w:rPr>
                <w:sz w:val="12"/>
                <w:szCs w:val="12"/>
                <w:color w:val="auto"/>
              </w:rPr>
            </w:pPr>
          </w:p>
        </w:tc>
        <w:tc>
          <w:tcPr>
            <w:tcW w:w="220" w:type="dxa"/>
            <w:vAlign w:val="bottom"/>
            <w:tcBorders>
              <w:top w:val="single" w:sz="8" w:color="auto"/>
            </w:tcBorders>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280" w:type="dxa"/>
            <w:vAlign w:val="bottom"/>
            <w:tcBorders>
              <w:top w:val="single" w:sz="8" w:color="auto"/>
            </w:tcBorders>
            <w:gridSpan w:val="2"/>
          </w:tcPr>
          <w:p>
            <w:pPr>
              <w:jc w:val="right"/>
              <w:ind w:right="7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260" w:type="dxa"/>
            <w:vAlign w:val="bottom"/>
            <w:tcBorders>
              <w:top w:val="single" w:sz="8" w:color="auto"/>
            </w:tcBorders>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40" w:type="dxa"/>
            <w:vAlign w:val="bottom"/>
            <w:tcBorders>
              <w:top w:val="single" w:sz="8" w:color="auto"/>
            </w:tcBorders>
          </w:tcPr>
          <w:p>
            <w:pPr>
              <w:jc w:val="right"/>
              <w:ind w:right="32"/>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2025    </w:t>
            </w:r>
          </w:p>
        </w:tc>
        <w:tc>
          <w:tcPr>
            <w:tcW w:w="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80" w:type="dxa"/>
            <w:vAlign w:val="bottom"/>
          </w:tcPr>
          <w:p>
            <w:pPr>
              <w:spacing w:after="0"/>
              <w:rPr>
                <w:sz w:val="10"/>
                <w:szCs w:val="10"/>
                <w:color w:val="auto"/>
              </w:rPr>
            </w:pPr>
          </w:p>
        </w:tc>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w:t>
            </w: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gridSpan w:val="3"/>
          </w:tcPr>
          <w:p>
            <w:pPr>
              <w:jc w:val="center"/>
              <w:ind w:left="334"/>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(in thousands, except per-share amounts)</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8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 Data</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114,531</w:t>
            </w: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157,789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31,904</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Hardware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8,253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12,011</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3,191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80" w:type="dxa"/>
            <w:vAlign w:val="bottom"/>
          </w:tcPr>
          <w:p>
            <w:pPr>
              <w:spacing w:after="0"/>
              <w:rPr>
                <w:sz w:val="19"/>
                <w:szCs w:val="19"/>
                <w:color w:val="auto"/>
              </w:rPr>
            </w:pPr>
          </w:p>
        </w:tc>
        <w:tc>
          <w:tcPr>
            <w:tcW w:w="5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122,784</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169,800</w:t>
            </w:r>
          </w:p>
        </w:tc>
        <w:tc>
          <w:tcPr>
            <w:tcW w:w="6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35,095</w:t>
            </w:r>
          </w:p>
        </w:tc>
        <w:tc>
          <w:tcPr>
            <w:tcW w:w="6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36,735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42,520</w:t>
            </w:r>
          </w:p>
        </w:tc>
        <w:tc>
          <w:tcPr>
            <w:tcW w:w="22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10,296</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Hardware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16,078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24,403</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7,451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80" w:type="dxa"/>
            <w:vAlign w:val="bottom"/>
          </w:tcPr>
          <w:p>
            <w:pPr>
              <w:spacing w:after="0"/>
              <w:rPr>
                <w:sz w:val="19"/>
                <w:szCs w:val="19"/>
                <w:color w:val="auto"/>
              </w:rPr>
            </w:pPr>
          </w:p>
        </w:tc>
        <w:tc>
          <w:tcPr>
            <w:tcW w:w="5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revenue</w:t>
            </w: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52,813</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66,923</w:t>
            </w:r>
          </w:p>
        </w:tc>
        <w:tc>
          <w:tcPr>
            <w:tcW w:w="6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17,747</w:t>
            </w:r>
          </w:p>
        </w:tc>
        <w:tc>
          <w:tcPr>
            <w:tcW w:w="6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69,971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102,877</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17,348</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8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33,738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35,923</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8,896</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66,249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68,053</w:t>
            </w:r>
          </w:p>
        </w:tc>
        <w:tc>
          <w:tcPr>
            <w:tcW w:w="22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17,196</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35,981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42,555</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9,249</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80" w:type="dxa"/>
            <w:vAlign w:val="bottom"/>
          </w:tcPr>
          <w:p>
            <w:pPr>
              <w:spacing w:after="0"/>
              <w:rPr>
                <w:sz w:val="19"/>
                <w:szCs w:val="19"/>
                <w:color w:val="auto"/>
              </w:rPr>
            </w:pPr>
          </w:p>
        </w:tc>
        <w:tc>
          <w:tcPr>
            <w:tcW w:w="5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135,968</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146,531</w:t>
            </w:r>
          </w:p>
        </w:tc>
        <w:tc>
          <w:tcPr>
            <w:tcW w:w="6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35,341</w:t>
            </w:r>
          </w:p>
        </w:tc>
        <w:tc>
          <w:tcPr>
            <w:tcW w:w="6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(65,997)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(43,654)</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(17,993)</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4,705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4,506</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1,130</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(5,775)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(805)</w:t>
            </w:r>
          </w:p>
        </w:tc>
        <w:tc>
          <w:tcPr>
            <w:tcW w:w="22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(529)</w:t>
            </w:r>
          </w:p>
        </w:tc>
        <w:tc>
          <w:tcPr>
            <w:tcW w:w="2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375</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3,483</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976</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8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(67,511)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(47,137)</w:t>
            </w:r>
          </w:p>
        </w:tc>
        <w:tc>
          <w:tcPr>
            <w:tcW w:w="6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(18,969)</w:t>
            </w:r>
          </w:p>
        </w:tc>
        <w:tc>
          <w:tcPr>
            <w:tcW w:w="6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80" w:type="dxa"/>
            <w:vAlign w:val="bottom"/>
            <w:tcBorders>
              <w:bottom w:val="single" w:sz="8" w:color="auto"/>
            </w:tcBorders>
          </w:tcPr>
          <w:p>
            <w:pPr>
              <w:spacing w:after="0"/>
              <w:rPr>
                <w:sz w:val="14"/>
                <w:szCs w:val="14"/>
                <w:color w:val="auto"/>
              </w:rPr>
            </w:pPr>
          </w:p>
        </w:tc>
        <w:tc>
          <w:tcPr>
            <w:tcW w:w="5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w w:val="99"/>
              </w:rPr>
              <w:t>14</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61963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25945" cy="619633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40" w:type="dxa"/>
            <w:vAlign w:val="bottom"/>
            <w:gridSpan w:val="7"/>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4"/>
                <w:szCs w:val="14"/>
                <w:color w:val="auto"/>
              </w:rPr>
            </w:pPr>
          </w:p>
        </w:tc>
        <w:tc>
          <w:tcPr>
            <w:tcW w:w="23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0"/>
        </w:trPr>
        <w:tc>
          <w:tcPr>
            <w:tcW w:w="5020" w:type="dxa"/>
            <w:vAlign w:val="bottom"/>
          </w:tcPr>
          <w:p>
            <w:pPr>
              <w:spacing w:after="0"/>
              <w:rPr>
                <w:sz w:val="12"/>
                <w:szCs w:val="12"/>
                <w:color w:val="auto"/>
              </w:rPr>
            </w:pPr>
          </w:p>
        </w:tc>
        <w:tc>
          <w:tcPr>
            <w:tcW w:w="24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940" w:type="dxa"/>
            <w:vAlign w:val="bottom"/>
            <w:tcBorders>
              <w:top w:val="single" w:sz="8" w:color="auto"/>
            </w:tcBorders>
            <w:gridSpan w:val="2"/>
          </w:tcPr>
          <w:p>
            <w:pPr>
              <w:jc w:val="right"/>
              <w:ind w:right="342"/>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00" w:type="dxa"/>
            <w:vAlign w:val="bottom"/>
            <w:tcBorders>
              <w:top w:val="single" w:sz="8" w:color="auto"/>
            </w:tcBorders>
          </w:tcPr>
          <w:p>
            <w:pPr>
              <w:jc w:val="right"/>
              <w:ind w:right="14"/>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640" w:type="dxa"/>
            <w:vAlign w:val="bottom"/>
            <w:gridSpan w:val="2"/>
          </w:tcPr>
          <w:p>
            <w:pPr>
              <w:spacing w:after="0"/>
              <w:rPr>
                <w:sz w:val="12"/>
                <w:szCs w:val="12"/>
                <w:color w:val="auto"/>
              </w:rPr>
            </w:pPr>
          </w:p>
        </w:tc>
        <w:tc>
          <w:tcPr>
            <w:tcW w:w="220" w:type="dxa"/>
            <w:vAlign w:val="bottom"/>
            <w:tcBorders>
              <w:top w:val="single" w:sz="8" w:color="auto"/>
            </w:tcBorders>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300" w:type="dxa"/>
            <w:vAlign w:val="bottom"/>
            <w:tcBorders>
              <w:top w:val="single" w:sz="8" w:color="auto"/>
            </w:tcBorders>
            <w:gridSpan w:val="2"/>
          </w:tcPr>
          <w:p>
            <w:pPr>
              <w:jc w:val="right"/>
              <w:ind w:right="662"/>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260" w:type="dxa"/>
            <w:vAlign w:val="bottom"/>
            <w:tcBorders>
              <w:top w:val="single" w:sz="8" w:color="auto"/>
            </w:tcBorders>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40" w:type="dxa"/>
            <w:vAlign w:val="bottom"/>
            <w:tcBorders>
              <w:top w:val="single" w:sz="8" w:color="auto"/>
            </w:tcBorders>
          </w:tcPr>
          <w:p>
            <w:pPr>
              <w:jc w:val="right"/>
              <w:ind w:right="34"/>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2025 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w:t>
            </w:r>
          </w:p>
        </w:tc>
        <w:tc>
          <w:tcPr>
            <w:tcW w:w="2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3"/>
          </w:tcPr>
          <w:p>
            <w:pPr>
              <w:jc w:val="center"/>
              <w:ind w:left="359"/>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0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20" w:type="dxa"/>
            <w:vAlign w:val="bottom"/>
            <w:gridSpan w:val="8"/>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(in thousands, except per-share amounts)</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 Data</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(67,511</w:t>
            </w:r>
          </w:p>
        </w:tc>
        <w:tc>
          <w:tcPr>
            <w:tcW w:w="3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(47,137</w:t>
            </w:r>
          </w:p>
        </w:tc>
        <w:tc>
          <w:tcPr>
            <w:tcW w:w="6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(18,969</w:t>
            </w:r>
          </w:p>
        </w:tc>
        <w:tc>
          <w:tcPr>
            <w:tcW w:w="64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7"/>
                <w:szCs w:val="17"/>
                <w:color w:val="auto"/>
              </w:rPr>
              <w:t>Net loss per share—basic and diluted</w:t>
            </w:r>
            <w:r>
              <w:rPr>
                <w:rFonts w:ascii="Times New Roman" w:cs="Times New Roman" w:eastAsia="Times New Roman" w:hAnsi="Times New Roman"/>
                <w:sz w:val="24"/>
                <w:szCs w:val="24"/>
                <w:color w:val="auto"/>
                <w:vertAlign w:val="superscript"/>
              </w:rPr>
              <w:t>(1)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(9.52)</w:t>
            </w:r>
          </w:p>
        </w:tc>
        <w:tc>
          <w:tcPr>
            <w:tcW w:w="5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(6.11)</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02"/>
              <w:spacing w:after="0"/>
              <w:rPr>
                <w:sz w:val="20"/>
                <w:szCs w:val="20"/>
                <w:color w:val="auto"/>
              </w:rPr>
            </w:pPr>
            <w:r>
              <w:rPr>
                <w:rFonts w:ascii="Times New Roman" w:cs="Times New Roman" w:eastAsia="Times New Roman" w:hAnsi="Times New Roman"/>
                <w:sz w:val="18"/>
                <w:szCs w:val="18"/>
                <w:color w:val="auto"/>
              </w:rPr>
              <w:t>(2.53)</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line="247" w:lineRule="exact"/>
              <w:rPr>
                <w:sz w:val="20"/>
                <w:szCs w:val="20"/>
                <w:color w:val="auto"/>
              </w:rPr>
            </w:pPr>
            <w:r>
              <w:rPr>
                <w:rFonts w:ascii="Times New Roman" w:cs="Times New Roman" w:eastAsia="Times New Roman" w:hAnsi="Times New Roman"/>
                <w:sz w:val="18"/>
                <w:szCs w:val="18"/>
                <w:color w:val="auto"/>
              </w:rPr>
              <w:t>Weighted-average shares outstanding—basic and diluted</w:t>
            </w:r>
            <w:r>
              <w:rPr>
                <w:rFonts w:ascii="Times New Roman" w:cs="Times New Roman" w:eastAsia="Times New Roman" w:hAnsi="Times New Roman"/>
                <w:sz w:val="26"/>
                <w:szCs w:val="26"/>
                <w:color w:val="auto"/>
                <w:vertAlign w:val="superscript"/>
              </w:rPr>
              <w:t>(1)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2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7,721</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7"/>
                <w:szCs w:val="17"/>
                <w:color w:val="auto"/>
              </w:rPr>
              <w:t>Pro forma net loss per share—basic and diluted</w:t>
            </w:r>
            <w:r>
              <w:rPr>
                <w:rFonts w:ascii="Times New Roman" w:cs="Times New Roman" w:eastAsia="Times New Roman" w:hAnsi="Times New Roman"/>
                <w:sz w:val="24"/>
                <w:szCs w:val="24"/>
                <w:color w:val="auto"/>
                <w:vertAlign w:val="superscript"/>
              </w:rPr>
              <w:t>(2)</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 forma weighted-average shares outstanding—basic and</w:t>
            </w: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020" w:type="dxa"/>
            <w:vAlign w:val="bottom"/>
          </w:tcPr>
          <w:p>
            <w:pPr>
              <w:ind w:left="180"/>
              <w:spacing w:after="0" w:line="232"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6"/>
                <w:szCs w:val="26"/>
                <w:color w:val="auto"/>
                <w:vertAlign w:val="superscript"/>
              </w:rPr>
              <w:t>(2)</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47,203</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47,723</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760" w:right="200" w:hanging="406"/>
        <w:spacing w:after="0" w:line="230" w:lineRule="auto"/>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16 to our audited consolidated financial statements and Note 13 to our unaudited condensed consolidated financial statements included elsewhere in this prospectus for an explanation of the calculation of our basic and diluted net loss per share and the weighted-average number of shares used in the computation of the per-share amounts.</w:t>
      </w:r>
    </w:p>
    <w:p>
      <w:pPr>
        <w:spacing w:after="0" w:line="1" w:lineRule="exact"/>
        <w:rPr>
          <w:rFonts w:ascii="Times New Roman" w:cs="Times New Roman" w:eastAsia="Times New Roman" w:hAnsi="Times New Roman"/>
          <w:sz w:val="14"/>
          <w:szCs w:val="14"/>
          <w:color w:val="auto"/>
        </w:rPr>
      </w:pPr>
    </w:p>
    <w:p>
      <w:pPr>
        <w:jc w:val="both"/>
        <w:ind w:left="760" w:right="200" w:hanging="406"/>
        <w:spacing w:after="0" w:line="227" w:lineRule="auto"/>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 forma net loss per share, basic and diluted, for the year ended December 31, 2024 and for the three months ended March 31, 2025 is calculated by giving effect to the Preferred Stock Conversion, the Series B Warrant Exercise, and the Series D Warrant Exercise, as if the shares resulting from the Preferred Stock Conversion, the Series B Warrant Exercise, and the Series D Warrant Exercise were outstanding as of the beginning of the period presented. The following table summarizes our pro forma net loss per share for the year ended December 31, 2024 and for the three months ended March 31, 2025:</w:t>
      </w:r>
    </w:p>
    <w:p>
      <w:pPr>
        <w:spacing w:after="0" w:line="18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5"/>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00" w:type="dxa"/>
            <w:vAlign w:val="bottom"/>
          </w:tcPr>
          <w:p>
            <w:pPr>
              <w:spacing w:after="0"/>
              <w:rPr>
                <w:sz w:val="13"/>
                <w:szCs w:val="13"/>
                <w:color w:val="auto"/>
              </w:rPr>
            </w:pPr>
          </w:p>
        </w:tc>
        <w:tc>
          <w:tcPr>
            <w:tcW w:w="16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  December 31, 2024 </w:t>
            </w:r>
          </w:p>
        </w:tc>
        <w:tc>
          <w:tcPr>
            <w:tcW w:w="500" w:type="dxa"/>
            <w:vAlign w:val="bottom"/>
          </w:tcPr>
          <w:p>
            <w:pPr>
              <w:spacing w:after="0"/>
              <w:rPr>
                <w:sz w:val="14"/>
                <w:szCs w:val="14"/>
                <w:color w:val="auto"/>
              </w:rPr>
            </w:pPr>
          </w:p>
        </w:tc>
        <w:tc>
          <w:tcPr>
            <w:tcW w:w="16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154"/>
        </w:trPr>
        <w:tc>
          <w:tcPr>
            <w:tcW w:w="18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840" w:type="dxa"/>
            <w:vAlign w:val="bottom"/>
            <w:tcBorders>
              <w:top w:val="single" w:sz="8" w:color="auto"/>
            </w:tcBorders>
            <w:gridSpan w:val="8"/>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(in thousands, except per-share amounts)</w:t>
            </w: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5"/>
          </w:tcPr>
          <w:p>
            <w:pPr>
              <w:jc w:val="right"/>
              <w:ind w:right="349"/>
              <w:spacing w:after="0"/>
              <w:rPr>
                <w:sz w:val="20"/>
                <w:szCs w:val="20"/>
                <w:color w:val="auto"/>
              </w:rPr>
            </w:pPr>
            <w:r>
              <w:rPr>
                <w:rFonts w:ascii="Times New Roman" w:cs="Times New Roman" w:eastAsia="Times New Roman" w:hAnsi="Times New Roman"/>
                <w:sz w:val="18"/>
                <w:szCs w:val="18"/>
                <w:color w:val="auto"/>
              </w:rPr>
              <w:t>(47,137)</w:t>
            </w:r>
          </w:p>
        </w:tc>
        <w:tc>
          <w:tcPr>
            <w:tcW w:w="820" w:type="dxa"/>
            <w:vAlign w:val="bottom"/>
            <w:gridSpan w:val="2"/>
          </w:tcPr>
          <w:p>
            <w:pPr>
              <w:jc w:val="center"/>
              <w:ind w:left="19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62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Pro forma adjustment related to the elimination of the redeemable convertible</w:t>
            </w: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80" w:type="dxa"/>
            <w:vAlign w:val="bottom"/>
          </w:tcPr>
          <w:p>
            <w:pPr>
              <w:spacing w:after="0"/>
              <w:rPr>
                <w:sz w:val="20"/>
                <w:szCs w:val="20"/>
                <w:color w:val="auto"/>
              </w:rPr>
            </w:pPr>
          </w:p>
        </w:tc>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warrant liabilities—Series B</w:t>
            </w: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349"/>
              <w:spacing w:after="0"/>
              <w:rPr>
                <w:sz w:val="20"/>
                <w:szCs w:val="20"/>
                <w:color w:val="auto"/>
              </w:rPr>
            </w:pPr>
            <w:r>
              <w:rPr>
                <w:rFonts w:ascii="Times New Roman" w:cs="Times New Roman" w:eastAsia="Times New Roman" w:hAnsi="Times New Roman"/>
                <w:sz w:val="18"/>
                <w:szCs w:val="18"/>
                <w:color w:val="auto"/>
              </w:rPr>
              <w:t>(18)</w:t>
            </w: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62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Pro forma adjustment related to the elimination of the redeemable convertible</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80" w:type="dxa"/>
            <w:vAlign w:val="bottom"/>
          </w:tcPr>
          <w:p>
            <w:pPr>
              <w:spacing w:after="0"/>
              <w:rPr>
                <w:sz w:val="20"/>
                <w:szCs w:val="20"/>
                <w:color w:val="auto"/>
              </w:rPr>
            </w:pPr>
          </w:p>
        </w:tc>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warrant liabilities—Series D</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3"/>
          </w:tcPr>
          <w:p>
            <w:pPr>
              <w:jc w:val="right"/>
              <w:ind w:right="349"/>
              <w:spacing w:after="0"/>
              <w:rPr>
                <w:sz w:val="20"/>
                <w:szCs w:val="20"/>
                <w:color w:val="auto"/>
              </w:rPr>
            </w:pPr>
            <w:r>
              <w:rPr>
                <w:rFonts w:ascii="Times New Roman" w:cs="Times New Roman" w:eastAsia="Times New Roman" w:hAnsi="Times New Roman"/>
                <w:sz w:val="18"/>
                <w:szCs w:val="18"/>
                <w:color w:val="auto"/>
              </w:rPr>
              <w:t>(180)</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5"/>
            <w:shd w:val="clear" w:color="auto" w:fill="CCEEFF"/>
          </w:tcPr>
          <w:p>
            <w:pPr>
              <w:jc w:val="right"/>
              <w:ind w:right="349"/>
              <w:spacing w:after="0"/>
              <w:rPr>
                <w:sz w:val="20"/>
                <w:szCs w:val="20"/>
                <w:color w:val="auto"/>
              </w:rPr>
            </w:pPr>
            <w:r>
              <w:rPr>
                <w:rFonts w:ascii="Times New Roman" w:cs="Times New Roman" w:eastAsia="Times New Roman" w:hAnsi="Times New Roman"/>
                <w:sz w:val="18"/>
                <w:szCs w:val="18"/>
                <w:color w:val="auto"/>
              </w:rPr>
              <w:t>(47,335)</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(9,057)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80" w:type="dxa"/>
            <w:vAlign w:val="bottom"/>
          </w:tcPr>
          <w:p>
            <w:pPr>
              <w:spacing w:after="0"/>
              <w:rPr>
                <w:sz w:val="18"/>
                <w:szCs w:val="18"/>
                <w:color w:val="auto"/>
              </w:rPr>
            </w:pPr>
          </w:p>
        </w:tc>
        <w:tc>
          <w:tcPr>
            <w:tcW w:w="62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outstanding—basic and diluted</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9"/>
              <w:spacing w:after="0"/>
              <w:rPr>
                <w:sz w:val="20"/>
                <w:szCs w:val="20"/>
                <w:color w:val="auto"/>
              </w:rPr>
            </w:pPr>
            <w:r>
              <w:rPr>
                <w:rFonts w:ascii="Times New Roman" w:cs="Times New Roman" w:eastAsia="Times New Roman" w:hAnsi="Times New Roman"/>
                <w:sz w:val="18"/>
                <w:szCs w:val="18"/>
                <w:color w:val="auto"/>
                <w:w w:val="98"/>
              </w:rPr>
              <w:t>7,721</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Pro forma adjustment to reflect the Preferred Stock Conversion</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5"/>
          </w:tcPr>
          <w:p>
            <w:pPr>
              <w:jc w:val="right"/>
              <w:ind w:right="409"/>
              <w:spacing w:after="0"/>
              <w:rPr>
                <w:sz w:val="20"/>
                <w:szCs w:val="20"/>
                <w:color w:val="auto"/>
              </w:rPr>
            </w:pPr>
            <w:r>
              <w:rPr>
                <w:rFonts w:ascii="Times New Roman" w:cs="Times New Roman" w:eastAsia="Times New Roman" w:hAnsi="Times New Roman"/>
                <w:sz w:val="18"/>
                <w:szCs w:val="18"/>
                <w:color w:val="auto"/>
              </w:rPr>
              <w:t>39,406</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adjustment to reflect the Series B Warrant Exercise</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9"/>
              <w:spacing w:after="0"/>
              <w:rPr>
                <w:sz w:val="20"/>
                <w:szCs w:val="20"/>
                <w:color w:val="auto"/>
              </w:rPr>
            </w:pPr>
            <w:r>
              <w:rPr>
                <w:rFonts w:ascii="Times New Roman" w:cs="Times New Roman" w:eastAsia="Times New Roman" w:hAnsi="Times New Roman"/>
                <w:sz w:val="18"/>
                <w:szCs w:val="18"/>
                <w:color w:val="auto"/>
              </w:rPr>
              <w:t>31</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Pro forma adjustment to reflect the Series D Warrant Exercise</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409"/>
              <w:spacing w:after="0"/>
              <w:rPr>
                <w:sz w:val="20"/>
                <w:szCs w:val="20"/>
                <w:color w:val="auto"/>
              </w:rPr>
            </w:pPr>
            <w:r>
              <w:rPr>
                <w:rFonts w:ascii="Times New Roman" w:cs="Times New Roman" w:eastAsia="Times New Roman" w:hAnsi="Times New Roman"/>
                <w:sz w:val="18"/>
                <w:szCs w:val="18"/>
                <w:color w:val="auto"/>
              </w:rPr>
              <w:t>45</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weighted-average shares outstanding—basic and diluted</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5"/>
            <w:shd w:val="clear" w:color="auto" w:fill="CCEEFF"/>
          </w:tcPr>
          <w:p>
            <w:pPr>
              <w:jc w:val="right"/>
              <w:ind w:right="409"/>
              <w:spacing w:after="0"/>
              <w:rPr>
                <w:sz w:val="20"/>
                <w:szCs w:val="20"/>
                <w:color w:val="auto"/>
              </w:rPr>
            </w:pPr>
            <w:r>
              <w:rPr>
                <w:rFonts w:ascii="Times New Roman" w:cs="Times New Roman" w:eastAsia="Times New Roman" w:hAnsi="Times New Roman"/>
                <w:sz w:val="18"/>
                <w:szCs w:val="18"/>
                <w:color w:val="auto"/>
              </w:rPr>
              <w:t>47,203</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 forma net loss per share—basic and diluted</w:t>
            </w: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80" w:type="dxa"/>
            <w:vAlign w:val="bottom"/>
          </w:tcPr>
          <w:p>
            <w:pPr>
              <w:spacing w:after="0"/>
              <w:rPr>
                <w:sz w:val="18"/>
                <w:szCs w:val="18"/>
                <w:color w:val="auto"/>
              </w:rPr>
            </w:pPr>
          </w:p>
        </w:tc>
        <w:tc>
          <w:tcPr>
            <w:tcW w:w="62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1"/>
              </w:rPr>
              <w:t>(1.00)</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1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5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4"/>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8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1500" w:type="dxa"/>
            <w:vAlign w:val="bottom"/>
            <w:tcBorders>
              <w:top w:val="single" w:sz="8" w:color="auto"/>
            </w:tcBorders>
            <w:gridSpan w:val="3"/>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top w:val="single" w:sz="8" w:color="auto"/>
            </w:tcBorders>
            <w:gridSpan w:val="2"/>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20" w:type="dxa"/>
            <w:vAlign w:val="bottom"/>
            <w:tcBorders>
              <w:top w:val="single" w:sz="8" w:color="auto"/>
            </w:tcBorders>
            <w:gridSpan w:val="2"/>
          </w:tcPr>
          <w:p>
            <w:pPr>
              <w:jc w:val="right"/>
              <w:ind w:right="223"/>
              <w:spacing w:after="0" w:line="116" w:lineRule="exact"/>
              <w:rPr>
                <w:sz w:val="20"/>
                <w:szCs w:val="20"/>
                <w:color w:val="auto"/>
              </w:rPr>
            </w:pPr>
            <w:r>
              <w:rPr>
                <w:rFonts w:ascii="Times New Roman" w:cs="Times New Roman" w:eastAsia="Times New Roman" w:hAnsi="Times New Roman"/>
                <w:sz w:val="13"/>
                <w:szCs w:val="13"/>
                <w:b w:val="1"/>
                <w:bCs w:val="1"/>
                <w:color w:val="auto"/>
              </w:rPr>
              <w:t>Pro</w:t>
            </w:r>
          </w:p>
        </w:tc>
        <w:tc>
          <w:tcPr>
            <w:tcW w:w="1080" w:type="dxa"/>
            <w:vAlign w:val="bottom"/>
            <w:tcBorders>
              <w:top w:val="single" w:sz="8" w:color="auto"/>
            </w:tcBorders>
            <w:gridSpan w:val="3"/>
          </w:tcPr>
          <w:p>
            <w:pPr>
              <w:jc w:val="right"/>
              <w:ind w:right="200"/>
              <w:spacing w:after="0" w:line="116"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2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Forma</w:t>
            </w:r>
            <w:r>
              <w:rPr>
                <w:rFonts w:ascii="Times New Roman" w:cs="Times New Roman" w:eastAsia="Times New Roman" w:hAnsi="Times New Roman"/>
                <w:sz w:val="10"/>
                <w:szCs w:val="10"/>
                <w:b w:val="1"/>
                <w:bCs w:val="1"/>
                <w:color w:val="auto"/>
              </w:rPr>
              <w:t>(1)</w:t>
            </w:r>
          </w:p>
        </w:tc>
        <w:tc>
          <w:tcPr>
            <w:tcW w:w="128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0"/>
                <w:szCs w:val="10"/>
                <w:b w:val="1"/>
                <w:bCs w:val="1"/>
                <w:color w:val="auto"/>
              </w:rPr>
              <w:t>(2)(3)</w:t>
            </w: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6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3"/>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620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4"/>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76,392</w:t>
            </w:r>
          </w:p>
        </w:tc>
        <w:tc>
          <w:tcPr>
            <w:tcW w:w="900" w:type="dxa"/>
            <w:vAlign w:val="bottom"/>
            <w:gridSpan w:val="3"/>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$ 59,397</w:t>
            </w:r>
          </w:p>
        </w:tc>
        <w:tc>
          <w:tcPr>
            <w:tcW w:w="82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$ 59,397</w:t>
            </w:r>
          </w:p>
        </w:tc>
        <w:tc>
          <w:tcPr>
            <w:tcW w:w="440" w:type="dxa"/>
            <w:vAlign w:val="bottom"/>
            <w:shd w:val="clear" w:color="auto" w:fill="CCEEFF"/>
          </w:tcPr>
          <w:p>
            <w:pPr>
              <w:jc w:val="right"/>
              <w:ind w:right="20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191,386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620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Working capital</w:t>
            </w:r>
            <w:r>
              <w:rPr>
                <w:rFonts w:ascii="Times New Roman" w:cs="Times New Roman" w:eastAsia="Times New Roman" w:hAnsi="Times New Roman"/>
                <w:sz w:val="24"/>
                <w:szCs w:val="24"/>
                <w:color w:val="auto"/>
                <w:vertAlign w:val="superscript"/>
              </w:rPr>
              <w:t>(4)</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59,106</w:t>
            </w:r>
          </w:p>
        </w:tc>
        <w:tc>
          <w:tcPr>
            <w:tcW w:w="900" w:type="dxa"/>
            <w:vAlign w:val="bottom"/>
            <w:gridSpan w:val="3"/>
          </w:tcPr>
          <w:p>
            <w:pPr>
              <w:jc w:val="right"/>
              <w:ind w:right="9"/>
              <w:spacing w:after="0"/>
              <w:rPr>
                <w:sz w:val="20"/>
                <w:szCs w:val="20"/>
                <w:color w:val="auto"/>
              </w:rPr>
            </w:pPr>
            <w:r>
              <w:rPr>
                <w:rFonts w:ascii="Times New Roman" w:cs="Times New Roman" w:eastAsia="Times New Roman" w:hAnsi="Times New Roman"/>
                <w:sz w:val="18"/>
                <w:szCs w:val="18"/>
                <w:color w:val="auto"/>
              </w:rPr>
              <w:t>53,326</w:t>
            </w:r>
          </w:p>
        </w:tc>
        <w:tc>
          <w:tcPr>
            <w:tcW w:w="820" w:type="dxa"/>
            <w:vAlign w:val="bottom"/>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53,326</w:t>
            </w:r>
          </w:p>
        </w:tc>
        <w:tc>
          <w:tcPr>
            <w:tcW w:w="4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185,809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150,892</w:t>
            </w:r>
          </w:p>
        </w:tc>
        <w:tc>
          <w:tcPr>
            <w:tcW w:w="900" w:type="dxa"/>
            <w:vAlign w:val="bottom"/>
            <w:gridSpan w:val="3"/>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141,182</w:t>
            </w:r>
          </w:p>
        </w:tc>
        <w:tc>
          <w:tcPr>
            <w:tcW w:w="82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141,182</w:t>
            </w:r>
          </w:p>
        </w:tc>
        <w:tc>
          <w:tcPr>
            <w:tcW w:w="44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267,481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80" w:type="dxa"/>
            <w:vAlign w:val="bottom"/>
            <w:tcBorders>
              <w:bottom w:val="single" w:sz="8" w:color="auto"/>
            </w:tcBorders>
          </w:tcPr>
          <w:p>
            <w:pPr>
              <w:spacing w:after="0"/>
              <w:rPr>
                <w:sz w:val="14"/>
                <w:szCs w:val="14"/>
                <w:color w:val="auto"/>
              </w:rPr>
            </w:pPr>
          </w:p>
        </w:tc>
        <w:tc>
          <w:tcPr>
            <w:tcW w:w="6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6380" w:type="dxa"/>
            <w:vAlign w:val="bottom"/>
            <w:gridSpan w:val="2"/>
          </w:tcPr>
          <w:p>
            <w:pPr>
              <w:jc w:val="right"/>
              <w:ind w:right="751"/>
              <w:spacing w:after="0"/>
              <w:rPr>
                <w:sz w:val="20"/>
                <w:szCs w:val="20"/>
                <w:color w:val="auto"/>
              </w:rPr>
            </w:pPr>
            <w:r>
              <w:rPr>
                <w:rFonts w:ascii="Times New Roman" w:cs="Times New Roman" w:eastAsia="Times New Roman" w:hAnsi="Times New Roman"/>
                <w:sz w:val="18"/>
                <w:szCs w:val="18"/>
                <w:color w:val="auto"/>
              </w:rPr>
              <w:t>15</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59505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25945" cy="595058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6000" w:type="dxa"/>
            <w:vAlign w:val="bottom"/>
          </w:tcPr>
          <w:p>
            <w:pPr>
              <w:spacing w:after="0"/>
              <w:rPr>
                <w:sz w:val="14"/>
                <w:szCs w:val="14"/>
                <w:color w:val="auto"/>
              </w:rPr>
            </w:pP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840" w:type="dxa"/>
            <w:vAlign w:val="bottom"/>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0" w:type="dxa"/>
            <w:vAlign w:val="bottom"/>
          </w:tcPr>
          <w:p>
            <w:pPr>
              <w:spacing w:after="0"/>
              <w:rPr>
                <w:sz w:val="1"/>
                <w:szCs w:val="1"/>
                <w:color w:val="auto"/>
              </w:rPr>
            </w:pPr>
          </w:p>
        </w:tc>
      </w:tr>
      <w:tr>
        <w:trPr>
          <w:trHeight w:val="116"/>
        </w:trPr>
        <w:tc>
          <w:tcPr>
            <w:tcW w:w="6000" w:type="dxa"/>
            <w:vAlign w:val="bottom"/>
          </w:tcPr>
          <w:p>
            <w:pPr>
              <w:spacing w:after="0"/>
              <w:rPr>
                <w:sz w:val="10"/>
                <w:szCs w:val="10"/>
                <w:color w:val="auto"/>
              </w:rPr>
            </w:pPr>
          </w:p>
        </w:tc>
        <w:tc>
          <w:tcPr>
            <w:tcW w:w="15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80" w:type="dxa"/>
            <w:vAlign w:val="bottom"/>
            <w:vMerge w:val="restart"/>
          </w:tcPr>
          <w:p>
            <w:pPr>
              <w:spacing w:after="0"/>
              <w:rPr>
                <w:sz w:val="10"/>
                <w:szCs w:val="10"/>
                <w:color w:val="auto"/>
              </w:rPr>
            </w:pPr>
          </w:p>
        </w:tc>
        <w:tc>
          <w:tcPr>
            <w:tcW w:w="860" w:type="dxa"/>
            <w:vAlign w:val="bottom"/>
            <w:tcBorders>
              <w:top w:val="single" w:sz="8" w:color="auto"/>
            </w:tcBorders>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00" w:type="dxa"/>
            <w:vAlign w:val="bottom"/>
            <w:tcBorders>
              <w:top w:val="single" w:sz="8" w:color="auto"/>
            </w:tcBorders>
          </w:tcPr>
          <w:p>
            <w:pPr>
              <w:jc w:val="right"/>
              <w:ind w:right="317"/>
              <w:spacing w:after="0" w:line="116" w:lineRule="exact"/>
              <w:rPr>
                <w:sz w:val="20"/>
                <w:szCs w:val="20"/>
                <w:color w:val="auto"/>
              </w:rPr>
            </w:pPr>
            <w:r>
              <w:rPr>
                <w:rFonts w:ascii="Times New Roman" w:cs="Times New Roman" w:eastAsia="Times New Roman" w:hAnsi="Times New Roman"/>
                <w:sz w:val="13"/>
                <w:szCs w:val="13"/>
                <w:b w:val="1"/>
                <w:bCs w:val="1"/>
                <w:color w:val="auto"/>
              </w:rPr>
              <w:t>Pro</w:t>
            </w:r>
          </w:p>
        </w:tc>
        <w:tc>
          <w:tcPr>
            <w:tcW w:w="980" w:type="dxa"/>
            <w:vAlign w:val="bottom"/>
            <w:tcBorders>
              <w:top w:val="single" w:sz="8" w:color="auto"/>
            </w:tcBorders>
          </w:tcPr>
          <w:p>
            <w:pPr>
              <w:jc w:val="right"/>
              <w:ind w:right="55"/>
              <w:spacing w:after="0" w:line="116"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60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Forma</w:t>
            </w:r>
            <w:r>
              <w:rPr>
                <w:rFonts w:ascii="Times New Roman" w:cs="Times New Roman" w:eastAsia="Times New Roman" w:hAnsi="Times New Roman"/>
                <w:sz w:val="10"/>
                <w:szCs w:val="10"/>
                <w:b w:val="1"/>
                <w:bCs w:val="1"/>
                <w:color w:val="auto"/>
              </w:rPr>
              <w:t>(1)</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0"/>
                <w:szCs w:val="10"/>
                <w:b w:val="1"/>
                <w:bCs w:val="1"/>
                <w:color w:val="auto"/>
              </w:rPr>
              <w:t>(2)(3)</w:t>
            </w:r>
          </w:p>
        </w:tc>
        <w:tc>
          <w:tcPr>
            <w:tcW w:w="0" w:type="dxa"/>
            <w:vAlign w:val="bottom"/>
          </w:tcPr>
          <w:p>
            <w:pPr>
              <w:spacing w:after="0"/>
              <w:rPr>
                <w:sz w:val="1"/>
                <w:szCs w:val="1"/>
                <w:color w:val="auto"/>
              </w:rPr>
            </w:pPr>
          </w:p>
        </w:tc>
      </w:tr>
      <w:tr>
        <w:trPr>
          <w:trHeight w:val="180"/>
        </w:trPr>
        <w:tc>
          <w:tcPr>
            <w:tcW w:w="6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15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000" w:type="dxa"/>
            <w:vAlign w:val="bottom"/>
            <w:vMerge w:val="continue"/>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2"/>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29,771</w:t>
            </w:r>
          </w:p>
        </w:tc>
        <w:tc>
          <w:tcPr>
            <w:tcW w:w="8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29,868</w:t>
            </w:r>
          </w:p>
        </w:tc>
        <w:tc>
          <w:tcPr>
            <w:tcW w:w="9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29,868</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29,868</w:t>
            </w:r>
          </w:p>
        </w:tc>
        <w:tc>
          <w:tcPr>
            <w:tcW w:w="0" w:type="dxa"/>
            <w:vAlign w:val="bottom"/>
          </w:tcPr>
          <w:p>
            <w:pPr>
              <w:spacing w:after="0"/>
              <w:rPr>
                <w:sz w:val="1"/>
                <w:szCs w:val="1"/>
                <w:color w:val="auto"/>
              </w:rPr>
            </w:pPr>
          </w:p>
        </w:tc>
      </w:tr>
      <w:tr>
        <w:trPr>
          <w:trHeight w:val="21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 non-current</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2,252</w:t>
            </w:r>
          </w:p>
        </w:tc>
        <w:tc>
          <w:tcPr>
            <w:tcW w:w="8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2,772</w:t>
            </w:r>
          </w:p>
        </w:tc>
        <w:tc>
          <w:tcPr>
            <w:tcW w:w="90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356</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86,261</w:t>
            </w:r>
          </w:p>
        </w:tc>
        <w:tc>
          <w:tcPr>
            <w:tcW w:w="8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82,197</w:t>
            </w:r>
          </w:p>
        </w:tc>
        <w:tc>
          <w:tcPr>
            <w:tcW w:w="9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79,781</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79,287</w:t>
            </w:r>
          </w:p>
        </w:tc>
        <w:tc>
          <w:tcPr>
            <w:tcW w:w="0" w:type="dxa"/>
            <w:vAlign w:val="bottom"/>
          </w:tcPr>
          <w:p>
            <w:pPr>
              <w:spacing w:after="0"/>
              <w:rPr>
                <w:sz w:val="1"/>
                <w:szCs w:val="1"/>
                <w:color w:val="auto"/>
              </w:rPr>
            </w:pPr>
          </w:p>
        </w:tc>
      </w:tr>
      <w:tr>
        <w:trPr>
          <w:trHeight w:val="21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449,034</w:t>
            </w:r>
          </w:p>
        </w:tc>
        <w:tc>
          <w:tcPr>
            <w:tcW w:w="8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449,034</w:t>
            </w:r>
          </w:p>
        </w:tc>
        <w:tc>
          <w:tcPr>
            <w:tcW w:w="90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59,555</w:t>
            </w:r>
          </w:p>
        </w:tc>
        <w:tc>
          <w:tcPr>
            <w:tcW w:w="8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63,357</w:t>
            </w:r>
          </w:p>
        </w:tc>
        <w:tc>
          <w:tcPr>
            <w:tcW w:w="9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514,376</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641,161</w:t>
            </w:r>
          </w:p>
        </w:tc>
        <w:tc>
          <w:tcPr>
            <w:tcW w:w="0" w:type="dxa"/>
            <w:vAlign w:val="bottom"/>
          </w:tcPr>
          <w:p>
            <w:pPr>
              <w:spacing w:after="0"/>
              <w:rPr>
                <w:sz w:val="1"/>
                <w:szCs w:val="1"/>
                <w:color w:val="auto"/>
              </w:rPr>
            </w:pPr>
          </w:p>
        </w:tc>
      </w:tr>
      <w:tr>
        <w:trPr>
          <w:trHeight w:val="21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(443,966)</w:t>
            </w: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(453,414)</w:t>
            </w: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(453,023)</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(453,023)</w:t>
            </w: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(384,403)</w:t>
            </w:r>
          </w:p>
        </w:tc>
        <w:tc>
          <w:tcPr>
            <w:tcW w:w="8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(390,049)</w:t>
            </w:r>
          </w:p>
        </w:tc>
        <w:tc>
          <w:tcPr>
            <w:tcW w:w="9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61,401</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188,194</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760" w:right="20" w:hanging="406"/>
        <w:spacing w:after="0" w:line="230" w:lineRule="auto"/>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column above reflects (a) the Preferred Stock Conversion, (b) the Series B Warrant Exercise, (c) the Series D Warrant Exercise, and (d) the filing and effectiveness of our restated certificate of incorporation, which will become effective immediately prior to the completion of this offering.</w:t>
      </w:r>
    </w:p>
    <w:p>
      <w:pPr>
        <w:spacing w:after="0" w:line="1" w:lineRule="exact"/>
        <w:rPr>
          <w:rFonts w:ascii="Times New Roman" w:cs="Times New Roman" w:eastAsia="Times New Roman" w:hAnsi="Times New Roman"/>
          <w:sz w:val="14"/>
          <w:szCs w:val="14"/>
          <w:color w:val="auto"/>
        </w:rPr>
      </w:pPr>
    </w:p>
    <w:p>
      <w:pPr>
        <w:jc w:val="both"/>
        <w:ind w:left="760" w:right="20" w:hanging="406"/>
        <w:spacing w:after="0" w:line="219" w:lineRule="auto"/>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as adjusted column above gives effect to (a) the pro forma adjustments set forth in (1) above and (b) our receipt of estimated net proceeds from the sale of shares of common stock that we are offering at an assumed initial public offering price of $19.00 per share, which is the midpoint of the estimated price range set forth on the cover page of this prospectus, after deducting estimated underwriting discounts and commissions and estimated offering expenses payable by us.</w:t>
      </w:r>
    </w:p>
    <w:p>
      <w:pPr>
        <w:jc w:val="both"/>
        <w:ind w:left="760" w:right="20" w:hanging="406"/>
        <w:spacing w:after="0" w:line="219" w:lineRule="auto"/>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as adjusted information above is illustrative only and will depend on the actual initial public offering price and other terms of this offering determined at pricing. Each $1.00 increase or decrease in the assumed initial public offering price of $19.00 per share of our common stock, which is the midpoint of the estimated price range set forth on the cover page of this prospectus, would increase or decrease, as applicable, each of our pro forma as adjusted cash and cash equivalents, working capital, total assets, and total stockholders’ equity (deficit) by approximately $7.3 million, assuming the number of shares offered by us, as set forth on the cover page of this prospectus, remains the same, and after deducting estimated underwriting discounts and commissions and estimated offering expenses payable by us. Similarly, each increase or decrease of 1.0 million shares in the number of shares of common stock offered by us would increase or decrease, as applicable, each of our pro forma as adjusted cash and cash equivalents, working capital, total assets, and total stockholders’ equity (deficit) by approximately $17.7 million, assuming the assumed initial public offering price of $19.00 per share of our common stock, which is the midpoint of the estimated price range set forth on the cover page of this prospectus, remains the same, and after deducting estimated underwriting discounts and commissions and estimated offering expenses payable by us.</w:t>
      </w:r>
    </w:p>
    <w:p>
      <w:pPr>
        <w:jc w:val="both"/>
        <w:ind w:left="760" w:right="20" w:hanging="406"/>
        <w:spacing w:after="0" w:line="229" w:lineRule="auto"/>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capital is defined as current assets less current liabilities. See our audited consolidated financial statements and unaudited condensed consolidated financial statements and, in each case, the related notes included elsewhere in this prospectus for further details regarding our current assets and current liabilities as of December 31, 2024 and as of March 31, 2025.</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Key Metric</w:t>
      </w:r>
    </w:p>
    <w:p>
      <w:pPr>
        <w:spacing w:after="0" w:line="224" w:lineRule="exact"/>
        <w:rPr>
          <w:sz w:val="20"/>
          <w:szCs w:val="20"/>
          <w:color w:val="auto"/>
        </w:rPr>
      </w:pPr>
    </w:p>
    <w:p>
      <w:pPr>
        <w:jc w:val="both"/>
        <w:ind w:left="360" w:right="20" w:firstLine="421"/>
        <w:spacing w:after="0" w:line="277" w:lineRule="auto"/>
        <w:rPr>
          <w:sz w:val="20"/>
          <w:szCs w:val="20"/>
          <w:color w:val="auto"/>
        </w:rPr>
      </w:pPr>
      <w:r>
        <w:rPr>
          <w:rFonts w:ascii="Times New Roman" w:cs="Times New Roman" w:eastAsia="Times New Roman" w:hAnsi="Times New Roman"/>
          <w:sz w:val="18"/>
          <w:szCs w:val="18"/>
          <w:color w:val="auto"/>
        </w:rPr>
        <w:t>We monitor the following key metric to help us evaluate our business, measure our performance, identify trends affecting our business, formulate business plans, and make strategic decisions.</w:t>
      </w:r>
    </w:p>
    <w:p>
      <w:pPr>
        <w:spacing w:after="0" w:line="184"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6400" w:type="dxa"/>
            <w:vAlign w:val="bottom"/>
          </w:tcPr>
          <w:p>
            <w:pPr>
              <w:spacing w:after="0"/>
              <w:rPr>
                <w:sz w:val="14"/>
                <w:szCs w:val="14"/>
                <w:color w:val="auto"/>
              </w:rPr>
            </w:pPr>
          </w:p>
        </w:tc>
        <w:tc>
          <w:tcPr>
            <w:tcW w:w="1760" w:type="dxa"/>
            <w:vAlign w:val="bottom"/>
            <w:gridSpan w:val="5"/>
          </w:tcPr>
          <w:p>
            <w:pPr>
              <w:jc w:val="center"/>
              <w:ind w:left="503"/>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As of March 31,</w:t>
            </w:r>
          </w:p>
        </w:tc>
      </w:tr>
      <w:tr>
        <w:trPr>
          <w:trHeight w:val="140"/>
        </w:trPr>
        <w:tc>
          <w:tcPr>
            <w:tcW w:w="64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3"/>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00"/>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3"/>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0"/>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2"/>
                <w:szCs w:val="12"/>
                <w:color w:val="auto"/>
              </w:rPr>
            </w:pPr>
          </w:p>
        </w:tc>
      </w:tr>
      <w:tr>
        <w:trPr>
          <w:trHeight w:val="20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Members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299,000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572,000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461,000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679,000</w:t>
            </w:r>
          </w:p>
        </w:tc>
        <w:tc>
          <w:tcPr>
            <w:tcW w:w="60" w:type="dxa"/>
            <w:vAlign w:val="bottom"/>
            <w:shd w:val="clear" w:color="auto" w:fill="CCEEFF"/>
          </w:tcPr>
          <w:p>
            <w:pPr>
              <w:spacing w:after="0"/>
              <w:rPr>
                <w:sz w:val="18"/>
                <w:szCs w:val="18"/>
                <w:color w:val="auto"/>
              </w:rPr>
            </w:pPr>
          </w:p>
        </w:tc>
      </w:tr>
    </w:tbl>
    <w:p>
      <w:pPr>
        <w:spacing w:after="0" w:line="195" w:lineRule="exact"/>
        <w:rPr>
          <w:sz w:val="20"/>
          <w:szCs w:val="20"/>
          <w:color w:val="auto"/>
        </w:rPr>
      </w:pPr>
    </w:p>
    <w:p>
      <w:pPr>
        <w:jc w:val="both"/>
        <w:ind w:left="360" w:right="20" w:firstLine="421"/>
        <w:spacing w:after="0" w:line="277" w:lineRule="auto"/>
        <w:rPr>
          <w:sz w:val="20"/>
          <w:szCs w:val="20"/>
          <w:color w:val="auto"/>
        </w:rPr>
      </w:pPr>
      <w:r>
        <w:rPr>
          <w:rFonts w:ascii="Times New Roman" w:cs="Times New Roman" w:eastAsia="Times New Roman" w:hAnsi="Times New Roman"/>
          <w:sz w:val="18"/>
          <w:szCs w:val="18"/>
          <w:color w:val="auto"/>
        </w:rPr>
        <w:t>For additional information about our key metric, including for information about how we calculate the number of members, see the section titled “Management’s Discussion and Analysis of Financial Condition and Results of Operations—Key Metric.”</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4" w:lineRule="exact"/>
        <w:rPr>
          <w:sz w:val="20"/>
          <w:szCs w:val="20"/>
          <w:color w:val="auto"/>
        </w:rPr>
      </w:pPr>
    </w:p>
    <w:p>
      <w:pPr>
        <w:jc w:val="both"/>
        <w:ind w:left="360" w:firstLine="421"/>
        <w:spacing w:after="0" w:line="257" w:lineRule="auto"/>
        <w:rPr>
          <w:sz w:val="20"/>
          <w:szCs w:val="20"/>
          <w:color w:val="auto"/>
        </w:rPr>
      </w:pPr>
      <w:r>
        <w:rPr>
          <w:rFonts w:ascii="Times New Roman" w:cs="Times New Roman" w:eastAsia="Times New Roman" w:hAnsi="Times New Roman"/>
          <w:sz w:val="18"/>
          <w:szCs w:val="18"/>
          <w:color w:val="auto"/>
        </w:rPr>
        <w:t>We use certain financial measures not calculated in accordance with GAAP to supplement the financial information in our audited consolidated financial statements and unaudited condensed consolidated financial statements, which are presented in accordance with GAAP. These non-GAAP financial measures include non-GAAP gross profit, non-GAAP gross margin, non-GAAP operating expenses, non-GAAP operating expenses</w:t>
      </w:r>
    </w:p>
    <w:p>
      <w:pPr>
        <w:spacing w:after="0" w:line="30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0"/>
          </w:cols>
          <w:pgMar w:left="320" w:top="451" w:right="6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51612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25945" cy="516128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360" w:right="20"/>
        <w:spacing w:after="0" w:line="277" w:lineRule="auto"/>
        <w:rPr>
          <w:sz w:val="20"/>
          <w:szCs w:val="20"/>
          <w:color w:val="auto"/>
        </w:rPr>
      </w:pPr>
      <w:r>
        <w:rPr>
          <w:rFonts w:ascii="Times New Roman" w:cs="Times New Roman" w:eastAsia="Times New Roman" w:hAnsi="Times New Roman"/>
          <w:sz w:val="18"/>
          <w:szCs w:val="18"/>
          <w:color w:val="auto"/>
        </w:rPr>
        <w:t>margin, adjusted EBITDA, and adjusted EBITDA margin. We use these non-GAAP financial measures for financial and operational decision-making and as a means to assist us in evaluating period-to-period comparisons.</w:t>
      </w:r>
    </w:p>
    <w:p>
      <w:pPr>
        <w:spacing w:after="0" w:line="163" w:lineRule="exact"/>
        <w:rPr>
          <w:sz w:val="20"/>
          <w:szCs w:val="20"/>
          <w:color w:val="auto"/>
        </w:rPr>
      </w:pPr>
    </w:p>
    <w:p>
      <w:pPr>
        <w:jc w:val="both"/>
        <w:ind w:left="360" w:firstLine="421"/>
        <w:spacing w:after="0" w:line="251" w:lineRule="auto"/>
        <w:rPr>
          <w:sz w:val="20"/>
          <w:szCs w:val="20"/>
          <w:color w:val="auto"/>
        </w:rPr>
      </w:pPr>
      <w:r>
        <w:rPr>
          <w:rFonts w:ascii="Times New Roman" w:cs="Times New Roman" w:eastAsia="Times New Roman" w:hAnsi="Times New Roman"/>
          <w:sz w:val="18"/>
          <w:szCs w:val="18"/>
          <w:color w:val="auto"/>
        </w:rPr>
        <w:t>We define non-GAAP gross profit as gross profit, excluding share-based compensation expense, amortization of intangible assets, and depreciation and amortization, and non-GAAP gross margin as gross margin, excluding share-based compensation expense, amortization of intangible assets, and depreciation and amortization. We define non-GAAP operating expenses as total operating expenses reported on our consolidated statements of operations, excluding share-based compensation expense, amortization of intangible assets, depreciation and amortization, and loss on disposal of property and equipment, and non-GAAP operating expenses margin as non-GAAP operating expenses divided by GAAP total revenue reported on our consolidated statements of operations. We define adjusted EBITDA as net loss and comprehensive loss reported on our consolidated statements of operations, excluding the impact of interest expense, interest income, change in fair value of warrant liabilities, loss on debt extinguishment, provision for income taxes, share-based compensation expense, amortization of intangible assets, depreciation and amortization, and loss on disposal of property and equipment, and adjusted EBITDA margin as adjusted EBITDA divided by GAAP total revenue reported on our consolidated statements of operations.</w:t>
      </w:r>
    </w:p>
    <w:p>
      <w:pPr>
        <w:spacing w:after="0" w:line="207"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gridSpan w:val="5"/>
          </w:tcPr>
          <w:p>
            <w:pPr>
              <w:jc w:val="right"/>
              <w:ind w:right="1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4"/>
                <w:szCs w:val="14"/>
                <w:color w:val="auto"/>
              </w:rPr>
            </w:pPr>
          </w:p>
        </w:tc>
        <w:tc>
          <w:tcPr>
            <w:tcW w:w="27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0"/>
        </w:trPr>
        <w:tc>
          <w:tcPr>
            <w:tcW w:w="41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714"/>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72"/>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754"/>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32"/>
              <w:spacing w:after="0" w:line="141"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260" w:type="dxa"/>
            <w:vAlign w:val="bottom"/>
          </w:tcPr>
          <w:p>
            <w:pPr>
              <w:spacing w:after="0"/>
              <w:rPr>
                <w:sz w:val="12"/>
                <w:szCs w:val="12"/>
                <w:color w:val="auto"/>
              </w:rPr>
            </w:pPr>
          </w:p>
        </w:tc>
      </w:tr>
      <w:tr>
        <w:trPr>
          <w:trHeight w:val="140"/>
        </w:trPr>
        <w:tc>
          <w:tcPr>
            <w:tcW w:w="4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960" w:type="dxa"/>
            <w:vAlign w:val="bottom"/>
            <w:gridSpan w:val="5"/>
          </w:tcPr>
          <w:p>
            <w:pPr>
              <w:jc w:val="right"/>
              <w:ind w:right="694"/>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4"/>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gross profit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69,971</w:t>
            </w:r>
          </w:p>
        </w:tc>
        <w:tc>
          <w:tcPr>
            <w:tcW w:w="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102,877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17,348</w:t>
            </w:r>
          </w:p>
        </w:tc>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31,900</w:t>
            </w:r>
          </w:p>
        </w:tc>
      </w:tr>
      <w:tr>
        <w:trPr>
          <w:trHeight w:val="21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73,825</w:t>
            </w:r>
          </w:p>
        </w:tc>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107,257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18,371</w:t>
            </w:r>
          </w:p>
        </w:tc>
        <w:tc>
          <w:tcPr>
            <w:tcW w:w="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33,118</w:t>
            </w:r>
          </w:p>
        </w:tc>
      </w:tr>
      <w:tr>
        <w:trPr>
          <w:trHeight w:val="214"/>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gross margin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57.0%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60.6%</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49.4%</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w:t>
            </w:r>
          </w:p>
        </w:tc>
      </w:tr>
      <w:tr>
        <w:trPr>
          <w:trHeight w:val="21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margin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60.1%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63.2%</w:t>
            </w:r>
          </w:p>
        </w:tc>
        <w:tc>
          <w:tcPr>
            <w:tcW w:w="220" w:type="dxa"/>
            <w:vAlign w:val="bottom"/>
          </w:tcPr>
          <w:p>
            <w:pPr>
              <w:spacing w:after="0"/>
              <w:rPr>
                <w:sz w:val="18"/>
                <w:szCs w:val="18"/>
                <w:color w:val="auto"/>
              </w:rPr>
            </w:pPr>
          </w:p>
        </w:tc>
        <w:tc>
          <w:tcPr>
            <w:tcW w:w="124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52.3%</w:t>
            </w:r>
          </w:p>
        </w:tc>
        <w:tc>
          <w:tcPr>
            <w:tcW w:w="6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w:t>
            </w:r>
          </w:p>
        </w:tc>
      </w:tr>
      <w:tr>
        <w:trPr>
          <w:trHeight w:val="214"/>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operating expenses</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12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135,968</w:t>
            </w:r>
          </w:p>
        </w:tc>
        <w:tc>
          <w:tcPr>
            <w:tcW w:w="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146,531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24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w w:val="94"/>
              </w:rPr>
              <w:t>   35,341</w:t>
            </w:r>
          </w:p>
        </w:tc>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    </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40,296</w:t>
            </w:r>
          </w:p>
        </w:tc>
      </w:tr>
      <w:tr>
        <w:trPr>
          <w:trHeight w:val="21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12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126,483</w:t>
            </w:r>
          </w:p>
        </w:tc>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136,686</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32,370</w:t>
            </w:r>
          </w:p>
        </w:tc>
        <w:tc>
          <w:tcPr>
            <w:tcW w:w="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37,336</w:t>
            </w:r>
          </w:p>
        </w:tc>
      </w:tr>
      <w:tr>
        <w:trPr>
          <w:trHeight w:val="214"/>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operating expenses margin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110.7%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86.3%</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100.7%</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73.3%</w:t>
            </w:r>
          </w:p>
        </w:tc>
      </w:tr>
      <w:tr>
        <w:trPr>
          <w:trHeight w:val="21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expenses margin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103.0%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80.5%</w:t>
            </w:r>
          </w:p>
        </w:tc>
        <w:tc>
          <w:tcPr>
            <w:tcW w:w="220" w:type="dxa"/>
            <w:vAlign w:val="bottom"/>
          </w:tcPr>
          <w:p>
            <w:pPr>
              <w:spacing w:after="0"/>
              <w:rPr>
                <w:sz w:val="18"/>
                <w:szCs w:val="18"/>
                <w:color w:val="auto"/>
              </w:rPr>
            </w:pPr>
          </w:p>
        </w:tc>
        <w:tc>
          <w:tcPr>
            <w:tcW w:w="124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92.2%</w:t>
            </w:r>
          </w:p>
        </w:tc>
        <w:tc>
          <w:tcPr>
            <w:tcW w:w="6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w:t>
            </w:r>
          </w:p>
        </w:tc>
      </w:tr>
      <w:tr>
        <w:trPr>
          <w:trHeight w:val="214"/>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and comprehensive loss</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(67,511)</w:t>
            </w:r>
          </w:p>
        </w:tc>
        <w:tc>
          <w:tcPr>
            <w:tcW w:w="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(47,137)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(18,969)</w:t>
            </w:r>
          </w:p>
        </w:tc>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(9,448)</w:t>
            </w:r>
          </w:p>
        </w:tc>
      </w:tr>
      <w:tr>
        <w:trPr>
          <w:trHeight w:val="21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(52,658)</w:t>
            </w:r>
          </w:p>
        </w:tc>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(29,429)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(13,999)</w:t>
            </w:r>
          </w:p>
        </w:tc>
        <w:tc>
          <w:tcPr>
            <w:tcW w:w="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(4,218)</w:t>
            </w:r>
          </w:p>
        </w:tc>
      </w:tr>
      <w:tr>
        <w:trPr>
          <w:trHeight w:val="214"/>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and comprehensive loss margin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(55.0)%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(27.8)%</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(54.1)%</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r>
      <w:tr>
        <w:trPr>
          <w:trHeight w:val="23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(42.9)%</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Pr>
          <w:p>
            <w:pPr>
              <w:spacing w:after="0"/>
              <w:rPr>
                <w:sz w:val="20"/>
                <w:szCs w:val="20"/>
                <w:color w:val="auto"/>
              </w:rPr>
            </w:pPr>
          </w:p>
        </w:tc>
        <w:tc>
          <w:tcPr>
            <w:tcW w:w="124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(39.9)%</w:t>
            </w:r>
          </w:p>
        </w:tc>
        <w:tc>
          <w:tcPr>
            <w:tcW w:w="6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r>
    </w:tbl>
    <w:p>
      <w:pPr>
        <w:spacing w:after="0" w:line="176" w:lineRule="exact"/>
        <w:rPr>
          <w:sz w:val="20"/>
          <w:szCs w:val="20"/>
          <w:color w:val="auto"/>
        </w:rPr>
      </w:pPr>
    </w:p>
    <w:p>
      <w:pPr>
        <w:jc w:val="both"/>
        <w:ind w:left="360" w:right="20" w:firstLine="421"/>
        <w:spacing w:after="0" w:line="262" w:lineRule="auto"/>
        <w:rPr>
          <w:sz w:val="20"/>
          <w:szCs w:val="20"/>
          <w:color w:val="auto"/>
        </w:rPr>
      </w:pPr>
      <w:r>
        <w:rPr>
          <w:rFonts w:ascii="Times New Roman" w:cs="Times New Roman" w:eastAsia="Times New Roman" w:hAnsi="Times New Roman"/>
          <w:sz w:val="18"/>
          <w:szCs w:val="18"/>
          <w:color w:val="auto"/>
        </w:rPr>
        <w:t>The non-GAAP financial measures are presented for supplemental informational purposes only and should not be considered a substitute for financial information presented in accordance with GAAP and may be different from similarly-titled non-GAAP measures used by other companies.</w:t>
      </w:r>
    </w:p>
    <w:p>
      <w:pPr>
        <w:spacing w:after="0" w:line="177" w:lineRule="exact"/>
        <w:rPr>
          <w:sz w:val="20"/>
          <w:szCs w:val="20"/>
          <w:color w:val="auto"/>
        </w:rPr>
      </w:pPr>
    </w:p>
    <w:p>
      <w:pPr>
        <w:jc w:val="both"/>
        <w:ind w:left="360" w:firstLine="421"/>
        <w:spacing w:after="0" w:line="262" w:lineRule="auto"/>
        <w:rPr>
          <w:sz w:val="20"/>
          <w:szCs w:val="20"/>
          <w:color w:val="auto"/>
        </w:rPr>
      </w:pPr>
      <w:r>
        <w:rPr>
          <w:rFonts w:ascii="Times New Roman" w:cs="Times New Roman" w:eastAsia="Times New Roman" w:hAnsi="Times New Roman"/>
          <w:sz w:val="18"/>
          <w:szCs w:val="18"/>
          <w:color w:val="auto"/>
        </w:rPr>
        <w:t>For additional information about these non-GAAP financial measures, including their limitations, and reconciliations of the non-GAAP financial measures to the most directly comparable financial measures stated in accordance with GAAP, see the section titled “Management’s Discussion and Analysis of Financial Condition and Results of Operations—Non-GAAP Financial Measures.”</w:t>
      </w:r>
    </w:p>
    <w:p>
      <w:pPr>
        <w:spacing w:after="0" w:line="2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320" w:top="451" w:right="6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2"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prospectus, including our audited consolidated financial statements and unaudited condensed consolidated financial statements and, in each case, the related notes and “Management’s Discussion and Analysis of Financial Condition and Results of Operations,” before deciding whether to invest in our common stock. The occurrence of any of the events or developments described below could have a material adverse effect on our business, financial condition, results of operations, and prospects. In such an event, the market price of our common stock could decline, and you may lose all or part of your investment. Additional risks and uncertainties not presently known to us or that we currently believe are not material may also impair our business, financial condition, results of operations, and prospects.</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220"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grown significantly in a short period of time. If we fail to manage our growth effectively, our business could be materially and adversely affected.</w:t>
      </w:r>
    </w:p>
    <w:p>
      <w:pPr>
        <w:spacing w:after="0" w:line="159"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7"/>
          <w:szCs w:val="17"/>
          <w:color w:val="auto"/>
        </w:rPr>
        <w:t>We were organized in 2011 and began offering Omada for Prevention &amp; Weight Health in 2012. Accordingly, we have a limited operating history, which makes an evaluation of our future prospects difficult. Our results of operations have fluctuated in the past, and we expect our future quarterly and annual results of operations to fluctuate as we focus on increasing the demand for our programs. We may need to make business decisions that could adversely affect our results of operations and prospects, such as modifications to our pricing strategy, business structure, or operations.</w:t>
      </w:r>
    </w:p>
    <w:p>
      <w:pPr>
        <w:spacing w:after="0" w:line="166"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We have experienced recent rapid growth. This growth has placed significant demands on our management and financial, operational, technological, and other resources, and we expect that any future growth will continue to place significant demands on our management and other resources and will require us to continue developing and improving our financial, operational, and other internal controls. In particular, continued growth increases the challenges involved in a number of areas, including recruiting and retaining sufficient skilled personnel, providing adequate training and supervision to maintain our high quality standards, and preserving our culture and values. We may not be able to address these challenges in a cost-effective manner, or at all. As we grow, we may also need to invest significant resources to improve and expand our technological systems, including reworking any existing technology and/or documenting existing features, and we may not be able to do so in a cost-effective manner or at all. If we are unable to efficiently update or further improve our technology infrastructure, we may need to hire additional personnel, including Care Team members, to support our programs and any future growth, which could limit our ability to achieve economies of scale. If we do not effectively manage our growth, we may not be able to execute on our business plan, respond to competitive pressures, take advantage of market opportunities, satisfy requirements from our customers and channel partners, or maintain high-quality offerings, and our business, financial condition, results of operations, and prospects could be materially and adversely affected.</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may not achieve or maintain profitability in the future.</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have incurred net losses since our inception, and we may incur net losses in the future. For the years ended December 31, 2023 and 2024, we incurred net losses of $67.5 million and $47.1 million, respectively. As of December 31, 2024, we had an accumulated deficit of $444.0 million. For the three months ended March 31, 2024 and 2025, we incurred net losses of $19.0 million and $9.4 million, respectively. As of March 31, 2025, we had an accumulated deficit of $453.4 million. We also expect our operating expenses to increase in future periods, and if our revenue growth does not increase to more than offset these anticipated increases in our operating expenses, we may not be able to achieve or maintain profitability, and our business, financial condition, results of operations, and prospects will be harmed. Since inception, we have spent, and intend to continue to spend, significant funds to develop our programs, to develop our customer support resources, to scale our offerings, and to recruit and retain key talent. Some of these investments may not yield the revenue gains we</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1"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18"/>
          <w:szCs w:val="18"/>
          <w:color w:val="auto"/>
        </w:rPr>
        <w:t>anticipate and reduce our operating margin. If our investments are not successful, and if we are unable to successfully develop, commercialize, and market our programs to customers and channel partners, our ability to increase revenue may be adversely affected. In addition to the expected costs to grow our business, we also expect to incur significant additional legal, accounting, and other expenses as a newly public company. If we fail to increase our revenue to exceed the increases in our operating expenses, we will not be able to achieve or maintain profitability in the future.</w:t>
      </w:r>
    </w:p>
    <w:p>
      <w:pPr>
        <w:spacing w:after="0" w:line="178"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failure of our programs to achieve and maintain market acceptance could result in us achieving sales below our expectations, which would cause our business, financial condition, results of operations, and prospects to be materially and adversely affected.</w:t>
      </w:r>
    </w:p>
    <w:p>
      <w:pPr>
        <w:spacing w:after="0" w:line="15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Our current business strategy is highly dependent on our programs achieving and maintaining market acceptance. Market acceptance and adoption of our programs depend on our achieving and maintaining meaningful member engagement, clinical outcomes, and costs savings, and on educating employers, health plans, PBMs, health systems, government entities, and other customers and channel partners as to the distinct features, ease-of-use, and other perceived benefits of our programs as compared to competitive solutions and programs. If we are not successful in demonstrating to existing and potential customers and channel partners the benefits of our programs, or if we are not able to achieve the support of employers, health plans, PBMs, health systems, government entities, and other existing or potential customers or channel partners for our programs, our sales may decline, or we may fail to increase our sales in line with our forecasts.</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Achieving and maintaining market acceptance of our programs could be negatively impacted by many factors, including:</w:t>
      </w:r>
    </w:p>
    <w:p>
      <w:pPr>
        <w:spacing w:after="0" w:line="247" w:lineRule="exact"/>
        <w:rPr>
          <w:sz w:val="20"/>
          <w:szCs w:val="20"/>
          <w:color w:val="auto"/>
        </w:rPr>
      </w:pPr>
    </w:p>
    <w:p>
      <w:pPr>
        <w:jc w:val="both"/>
        <w:ind w:left="1140" w:right="20" w:hanging="539"/>
        <w:spacing w:after="0" w:line="262"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programs to achieve wide acceptance among people living with or at risk for chronic conditions, employers, health plans, PBMs, health systems, government entities, other existing or potential customers and channel partners, and key opinion leaders in the treatment community;</w:t>
      </w:r>
    </w:p>
    <w:p>
      <w:pPr>
        <w:spacing w:after="0" w:line="203" w:lineRule="exact"/>
        <w:rPr>
          <w:rFonts w:ascii="Times New Roman" w:cs="Times New Roman" w:eastAsia="Times New Roman" w:hAnsi="Times New Roman"/>
          <w:sz w:val="18"/>
          <w:szCs w:val="18"/>
          <w:color w:val="auto"/>
        </w:rPr>
      </w:pPr>
    </w:p>
    <w:p>
      <w:pPr>
        <w:jc w:val="both"/>
        <w:ind w:left="1140" w:right="20" w:hanging="539"/>
        <w:spacing w:after="0" w:line="262"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evidence or peer-reviewed publication of clinical evidence supporting the efficacy, ease-of-use, cost-savings, safety, or other perceived benefits of our current or future programs or features, or perceived lack of compelling evidence, over competitive offerings or other currently available methodologies;</w:t>
      </w:r>
    </w:p>
    <w:p>
      <w:pPr>
        <w:spacing w:after="0" w:line="203"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associated with the use of our programs or similar solutions or technologies generally, including perceived risks regarding patient confidentiality, data privacy, artificial intelligence (“AI”), and cybersecurity;</w:t>
      </w:r>
    </w:p>
    <w:p>
      <w:pPr>
        <w:spacing w:after="0" w:line="190"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competitive solutions or other advancements in healthcare or drugs and the rate of acceptance of those solutions and advancements as compared to our programs; and</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and financial studies relating to chronic condition programs or similar competitive solutions.</w:t>
      </w:r>
    </w:p>
    <w:p>
      <w:pPr>
        <w:spacing w:after="0" w:line="220" w:lineRule="exact"/>
        <w:rPr>
          <w:sz w:val="20"/>
          <w:szCs w:val="20"/>
          <w:color w:val="auto"/>
        </w:rPr>
      </w:pPr>
    </w:p>
    <w:p>
      <w:pPr>
        <w:jc w:val="both"/>
        <w:ind w:left="180" w:firstLine="436"/>
        <w:spacing w:after="0" w:line="285" w:lineRule="auto"/>
        <w:rPr>
          <w:sz w:val="20"/>
          <w:szCs w:val="20"/>
          <w:color w:val="auto"/>
        </w:rPr>
      </w:pPr>
      <w:r>
        <w:rPr>
          <w:rFonts w:ascii="Times New Roman" w:cs="Times New Roman" w:eastAsia="Times New Roman" w:hAnsi="Times New Roman"/>
          <w:sz w:val="17"/>
          <w:szCs w:val="17"/>
          <w:color w:val="auto"/>
        </w:rPr>
        <w:t>In addition, our programs may be perceived by employers, health plans, PBMs, health systems, government entities, and other existing or potential customers and channel partners or our current or prospective members to be more complicated or less effective than other healthcare approaches. People may be unwilling to change their current health regimens, and existing or potential customers may be unwilling to change their benefits practices.</w:t>
      </w:r>
    </w:p>
    <w:p>
      <w:pPr>
        <w:spacing w:after="0" w:line="155"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market for our programs is new, rapidly evolving, and increasingly competitive, as the healthcare industry in the U.S. is undergoing significant structural change, which makes it difficult to forecast demand for our programs.</w:t>
      </w:r>
    </w:p>
    <w:p>
      <w:pPr>
        <w:spacing w:after="0" w:line="159"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virtual care market is relatively new, unproven, and rapidly evolving, and it is uncertain whether it will achieve and sustain high levels of demand, customer acceptance, and market adoption. The COVID-19 pandemic</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51"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64" w:lineRule="auto"/>
        <w:rPr>
          <w:sz w:val="20"/>
          <w:szCs w:val="20"/>
          <w:color w:val="auto"/>
        </w:rPr>
      </w:pPr>
      <w:r>
        <w:rPr>
          <w:rFonts w:ascii="Times New Roman" w:cs="Times New Roman" w:eastAsia="Times New Roman" w:hAnsi="Times New Roman"/>
          <w:sz w:val="17"/>
          <w:szCs w:val="17"/>
          <w:color w:val="auto"/>
        </w:rPr>
        <w:t>increased utilization of virtual-first care services, but long-term demand for virtual care is uncertain. Our future financial performance will depend in part on growth in this market and on our ability to adapt to emerging demands of our customers and channel partners. It is difficult to predict the future growth rate and size of our target market. The forecasts that we use to anticipate expected growth for our business and revenue rely on assumptions and metrics that are difficult to estimate accurately, including but not limited to anticipated enrollment rates, our number of enrolled members, our ability to secure and retain business from new customers and channel partners or to secure additional business from additional customers and channel partners, the anticipated timing of securing that business, member engagement levels in our programs, and member outcomes from our programs, and our assumptions and estimates may not be accurate. In addition, the estimates of market opportunity and forecasts of market growth included in this prospectus may prove to be inaccurate, and even if the market in which we compete achieves the forecasted growth, our business could fail to grow at similar rates, if at all. Negative publicity concerning our programs or our market as a whole could limit market acceptance of our programs. If our existing or potential customers, channel partners, and members do not perceive the benefits of our programs, or if our programs do not drive member enrollment, then our market may not develop at all, or it may develop more slowly than we expect. Our success will depend to a substantial extent on the willingness of existing and potential customers to increase their coverage of and support for our programs and our ability to demonstrate the value of our programs to our existing and potential customers and channel partners. If these entities do not recognize or acknowledge the benefits of our programs or if we are unable to reduce healthcare costs or drive positive health outcomes, then the market for our programs might not develop at all, or it might develop more slowly than we expect. Similarly, negative publicity or negative customer or member sentiment regarding patient confidentiality, data privacy, AI, and cybersecurity in the context of technology-enabled healthcare or concerns experienced by us or our competitors could limit market acceptance of our programs. We face additional risks related to cybersecurity. See the risk factor titled “</w:t>
      </w:r>
      <w:r>
        <w:rPr>
          <w:rFonts w:ascii="Times New Roman" w:cs="Times New Roman" w:eastAsia="Times New Roman" w:hAnsi="Times New Roman"/>
          <w:sz w:val="17"/>
          <w:szCs w:val="17"/>
          <w:i w:val="1"/>
          <w:iCs w:val="1"/>
          <w:color w:val="auto"/>
        </w:rPr>
        <w:t>Our information technology (“IT”) systems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those of our affiliated professional entities, or those used by our third-party service providers, vendors, business partners, or other contractors or consultants, may fail or suffer cybersecurity incidents, data breaches, and other disruptions, which could result in a material disruption of our systems or programs, compromise confidential information related to our business or of our customers or channel partners, including protected health information (“PHI”) and other sensitive or personal information of employees, covered individuals, and members, or prevent us from accessing critical information, potentially exposing us to liability or otherwise materially and adversely affecting our business, financial condition, results of operations, and prospects</w:t>
      </w:r>
      <w:r>
        <w:rPr>
          <w:rFonts w:ascii="Times New Roman" w:cs="Times New Roman" w:eastAsia="Times New Roman" w:hAnsi="Times New Roman"/>
          <w:sz w:val="17"/>
          <w:szCs w:val="17"/>
          <w:color w:val="auto"/>
        </w:rPr>
        <w:t>” and other risks under the section titled “—Risks Relating to Cybersecurity, Information Systems, and Intellectual Property.”</w:t>
      </w:r>
    </w:p>
    <w:p>
      <w:pPr>
        <w:spacing w:after="0" w:line="39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The healthcare industry in the U.S. is undergoing significant structural change and is rapidly evolving. We believe demand for our programs has been driven in large part by rapidly growing costs in the traditional healthcare system, the movement toward patient-centricity and more personalized healthcare, and advances in technology. Widespread acceptance of personalized healthcare is critical to our future growth and success. A reduction in the growth of personalized healthcare could reduce the demand for our programs and result in a lower revenue growth rate or decreased revenue. Additionally, we sell our programs using innovative pricing models, primarily charging for members who enroll and engage rather than at a population level, and the adoption of these models is still relatively new, especially in the healthcare industry. If companies do not shift to these types of models and these models do not achieve widespread adoption, or if there is a reduction in demand for products and services using models such as these, our business, financial condition, results of operations, and prospects could be materially and adversely affected.</w:t>
      </w:r>
    </w:p>
    <w:p>
      <w:pPr>
        <w:spacing w:after="0" w:line="185"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Additionally, if healthcare benefits trends shift or entirely new technologies, treatments, or drugs are developed that replace existing offerings, our existing or future programs could be rendered obsolete, and our business could be adversely affected. In addition, we may experience difficulties with software development, industry standards, design, or marketing that could delay or prevent our development, introduction, or implementation of new or enhanced programs.</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51"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operate in a very competitive industry, and if we fail to compete successfully against our existing or potential competitors, some of whom may have greater resources than us, our business, financial condition, results of operations, and prospects could be materially and adversely affected.</w:t>
      </w:r>
    </w:p>
    <w:p>
      <w:pPr>
        <w:spacing w:after="0" w:line="159" w:lineRule="exact"/>
        <w:rPr>
          <w:sz w:val="20"/>
          <w:szCs w:val="20"/>
          <w:color w:val="auto"/>
        </w:rPr>
      </w:pPr>
    </w:p>
    <w:p>
      <w:pPr>
        <w:jc w:val="both"/>
        <w:ind w:left="180" w:firstLine="436"/>
        <w:spacing w:after="0" w:line="265" w:lineRule="auto"/>
        <w:rPr>
          <w:sz w:val="20"/>
          <w:szCs w:val="20"/>
          <w:color w:val="auto"/>
        </w:rPr>
      </w:pPr>
      <w:r>
        <w:rPr>
          <w:rFonts w:ascii="Times New Roman" w:cs="Times New Roman" w:eastAsia="Times New Roman" w:hAnsi="Times New Roman"/>
          <w:sz w:val="17"/>
          <w:szCs w:val="17"/>
          <w:color w:val="auto"/>
        </w:rPr>
        <w:t>While our market is in an early stage of development, it is evolving rapidly and becoming increasingly competitive, and we expect it to attract increased competition. We currently face competition from a range of digital health companies, including direct competition from competitors offering cardiometabolic programs, such as Hello Heart Inc., Lark Technologies, Inc., Livongo (via Teladoc Health, Inc.), Onduo LLC, Vida Health, Inc., and Virta Health Corp.; competitors offering only MSK programs, such as Hinge Health, Inc. and SWORD Health, Inc.; and those that offer both cardiometabolic and MSK programs, such as DarioHealth Corp. In some cases, our competitors also include enterprise companies that are focused on or may enter the healthcare industry generally, including initiatives and partnerships launched by these large companies, and those that offer point solutions for a single chronic condition. These companies, which may offer their solutions at lower prices, are continuing to develop additional products and becoming more sophisticated and effective. In addition, large, well-financed healthcare providers and health plans have in some cases developed their own platforms or tools and may provide these solutions at discounted prices. Competition from specialized software providers or device manufacturers, which may facilitate the collection of data but offer limited interpretation, feedback, or guidance, and other parties will result in continued pricing pressures, which are likely to lead to price declines in certain product areas, which could negatively impact our sales, profitability, and market share. Consumer technology companies may also offer solutions that feature health coaching, health advice, or other health services that may affect the demand for our programs. In addition, healthcare providers may choose not to implement a digital health solution at all and instead may continue to rely on traditional, in-person approaches to healthcare. Moreover, our programs and systems are designed to comply with rules and regulations applicable to healthcare providers, and as a result, we must enter into contracts that appropriately reflect the obligations of a healthcare provider, including data privacy and healthcare regulatory requirements. We compete with wellness vendors whose products and services are not designed to comply with these rules and regulations and therefore may be preferred by potential customers and channel partners who view our programs and related healthcare provider requirements as overly complex or otherwise undesirable. The loss of potential customers and channel partners as a result of our status as a healthcare provider may have a material and adverse effect on our business, financial condition, results of operations, and prospects.</w:t>
      </w:r>
    </w:p>
    <w:p>
      <w:pPr>
        <w:spacing w:after="0" w:line="389"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Some of our competitors may have, or new competitors or alliances may emerge that have, greater name and brand recognition, greater market share, a larger customer base, more or larger channel partner relationships, more widely adopted proprietary technologies, greater marketing expertise, larger sales forces, longer operating histories, or significantly greater resources than we do and may be able to offer solutions similar to ours at a more attractive price than we can, or may be acquired by third parties with greater available resources. In addition, our competitors have established, and may in the future establish, cooperative relationships with vendors of complementary products, technologies, or services to increase the availability of their solutions in the marketplace. Our competitors could also be better positioned to serve certain markets, which could create additional price pressure. As a result, our competitors may be able to respond more quickly and effectively than we can to new or changing opportunities, technologies, standards, or requirements from customers and channel partners and may have the ability to initiate or withstand substantial price competition. In light of these factors, even if our programs are more effective than those of our competitors, existing or potential customers and channel partners may accept competitive solutions in lieu of purchasing our programs. If we are unable to successfully compete, our business, financial condition, results of operations, and prospects could be materially and adversely affected.</w:t>
      </w:r>
    </w:p>
    <w:p>
      <w:pPr>
        <w:spacing w:after="0" w:line="189"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Competitive solutions or other technological breakthroughs for the monitoring, treatment, or prevention of chronic conditions or technological developments may adversely affect demand for our programs.</w:t>
      </w:r>
    </w:p>
    <w:p>
      <w:pPr>
        <w:spacing w:after="0" w:line="159"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Our ability to achieve our strategic objectives will depend, among other things, on our ability to develop and commercialize programs for the monitoring, treatment, and prevention of chronic conditions that offer distinct</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1"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features, are easy-to-use, provide measurable and meaningful cost savings to customers and channel partners, and are more appealing than available alternatives. Our competitors, as well as a number of other companies, within and outside the healthcare industry, are pursuing new delivery devices, delivery technologies, sensing technologies, procedures, drugs, and other therapies and services for the monitoring, treatment, and prevention of chronic conditions. Any technological breakthroughs in monitoring, treatment, or prevention could reduce the potential market for our programs, which would significantly reduce our sales.</w:t>
      </w:r>
    </w:p>
    <w:p>
      <w:pPr>
        <w:spacing w:after="0" w:line="18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The introduction by competitors of solutions that claim to be superior to our programs may create market confusion, which may make it difficult for potential customers and channel partners to differentiate the benefits of our programs over competitive products. In addition, the entry of multiple new products may lead some of our competitors to employ pricing strategies that could adversely affect the pricing of our programs. If a competitor develops a product that competes with or is perceived to be superior to our programs, or if a competitor employs strategies that place downward pressure on pricing within our industry, our sales may decline significantly or may not increase in line with our forecasts, either of which would materially and adversely affect our business, financial condition, results of operations, and prospects.</w:t>
      </w:r>
    </w:p>
    <w:p>
      <w:pPr>
        <w:spacing w:after="0" w:line="183"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growth of our business relies, in part, on the growth and success of our customers and channel partners such as health plans, PBMs, and other resellers, and revenue from member enrollment, which are difficult to predict and are affected by factors outside of our control.</w:t>
      </w:r>
    </w:p>
    <w:p>
      <w:pPr>
        <w:spacing w:after="0" w:line="159"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We enter into agreements with our customers and channel partners under which our fees are dependent in part upon the number of covered individuals that are enrolled in our programs each month. If the number of members covered for our programs by one or more of our customers or channel partners were to be reduced, such decrease would lead to a decrease in our revenue. The growth forecasts of our customers and channel partners are also subject to significant uncertainty and are based on assumptions and estimates that may prove to be inaccurate, and member enrollment in our programs could fail to grow at anticipated rates, or at all.</w:t>
      </w:r>
    </w:p>
    <w:p>
      <w:pPr>
        <w:spacing w:after="0" w:line="183"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In addition, some fees are subject to repayment pursuant to performance guarantees if certain clinical outcomes or other performance criteria are not met, which in some cases depend on the behavior of our members, such as their continued engagement with our programs, and other factors not entirely within our control. These clinical performance guarantees vary by program and track outcomes that are relevant to the specific condition. For example, most clinical performance guarantees for our Omada for Prevention &amp; Weight Loss program measure percentage weight loss; most clinical performance guarantees for Omada for Diabetes measure reduction in A1C; most clinical performance guarantees for Omada for Hypertension measure reduction in blood pressure; and most clinical performance guarantees for Omada for MSK measure cost savings associated with the program, reductions in a member’s intent to seek surgery, or reductions in pain.</w:t>
      </w:r>
    </w:p>
    <w:p>
      <w:pPr>
        <w:spacing w:after="0" w:line="18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Additionally, we generally enter into non-exclusive agreements with our channel partners, including health plans, PBMs, and other resellers, which rely in part on their customer sales, which are affected by factors outside of our control. Where channel partners do offer our programs exclusively, those channel partners may nevertheless choose to terminate those agreements or choose to no longer offer our programs exclusively. If the number of customers represented by one or more of our channel partners were to be reduced by a material amount or if our channel partners were to refer their customers to our competitors, such decreases may lead to a decrease in our total number of customers, member enrollment rate, and in our revenue, which could materially and adversely affect our business, financial condition, results of operations, and prospects. In addition, growth forecasts of our channel partners are subject to significant uncertainty and are based on assumptions and estimates that may prove to be inaccurate.</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1"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80"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the number of individuals covered by employers, health plans, PBMs, health systems, government entities, or other existing or potential customers decreases, or the number of programs they cover decreases, our member enrollment may decline, and our revenue will likely decrease, which could materially and adversely affect our business, financial condition, results of operations, and prospects.</w:t>
      </w:r>
    </w:p>
    <w:p>
      <w:pPr>
        <w:spacing w:after="0" w:line="173"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Our fees are generally dependent in part upon the number of covered individuals that are enrolled in our programs each month. Various factors may lead to a decrease in the number of individuals covered by our customers and channel partners and the number of programs they cover, including, but not limited to, the following:</w:t>
      </w:r>
    </w:p>
    <w:p>
      <w:pPr>
        <w:spacing w:after="0" w:line="204" w:lineRule="exact"/>
        <w:rPr>
          <w:sz w:val="20"/>
          <w:szCs w:val="20"/>
          <w:color w:val="auto"/>
        </w:rPr>
      </w:pPr>
    </w:p>
    <w:p>
      <w:pPr>
        <w:ind w:left="1140" w:hanging="539"/>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attrition of individuals covered by our customers;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customers or channel partners to adopt or maintain effective business practices;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nature or operations of our customers or channel partners;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acceptance of our programs for existing and new chronic conditions by covered individuals;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development and release of new programs;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features and functionality that are lower-cost alternatives introduced by us or our competitors;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including the scope of government-sponsored healthcare;</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changes and developments within the markets we serve;</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and</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prevalence of different types of chronic conditions.</w:t>
      </w:r>
    </w:p>
    <w:p>
      <w:pPr>
        <w:spacing w:after="0" w:line="220"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If the number of individuals covered by employers, health plans, PBMs, health systems, government entities, or other existing or potential customers decreases, or the number of programs they cover decreases, for any reason, our member enrollment may decline. We also seek to collect member cost-sharing amounts, such as copayments, co-insurance, or deductibles, directly from some members in connection with our MSK program, which we may be unable to collect. Any of these events could cause our revenue to decrease, which could materially and adversely affect our business, financial condition, results of operations, and prospects.</w:t>
      </w:r>
    </w:p>
    <w:p>
      <w:pPr>
        <w:spacing w:after="0" w:line="179" w:lineRule="exact"/>
        <w:rPr>
          <w:sz w:val="20"/>
          <w:szCs w:val="20"/>
          <w:color w:val="auto"/>
        </w:rPr>
      </w:pPr>
    </w:p>
    <w:p>
      <w:pPr>
        <w:jc w:val="both"/>
        <w:ind w:left="1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revenue depends on member engagement in our programs and the clinical outcomes and cost savings of our offerings, and our failure to achieve and maintain meaningful member engagement, clinical outcomes, and/or cost savings could materially and adversely affect our business, financial condition, results of operations, and prospects.</w:t>
      </w:r>
    </w:p>
    <w:p>
      <w:pPr>
        <w:spacing w:after="0" w:line="173"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Member engagement in our programs and the clinical outcomes and cost savings of our offerings affect the market acceptance and adoption of our programs. Most of our customers and channel partners pay fees to us based on member enrollment and/or engagement with our programs, and our contracts generally may provide that we are obligated to repay a portion of our fees if our programs fail to deliver certain member engagement, clinical outcomes, or cost savings. If we are unable to demonstrate positive clinical outcomes for our members, including if claims analyses or other studies fail to support the efficacy of our programs, we may receive less revenue from outcomes-based pricing models or be obligated to repay certain fees under our service-level agreements or performance guarantees, and existing and potential customers and channel partners may decide not to cover our programs at desirable prices or at all. In many cases, we incur high upfront costs to secure customers and channel partners, implement our programs, enroll members, and deliver our programs to those members, and our ability to recover those costs over time depends on sustained member engagement, positive clinical</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1"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53" w:lineRule="auto"/>
        <w:rPr>
          <w:sz w:val="20"/>
          <w:szCs w:val="20"/>
          <w:color w:val="auto"/>
        </w:rPr>
      </w:pPr>
      <w:r>
        <w:rPr>
          <w:rFonts w:ascii="Times New Roman" w:cs="Times New Roman" w:eastAsia="Times New Roman" w:hAnsi="Times New Roman"/>
          <w:sz w:val="18"/>
          <w:szCs w:val="18"/>
          <w:color w:val="auto"/>
        </w:rPr>
        <w:t>outcomes, and meaningful cost savings. As we scale delivery of our programs, we may experience difficulty in achieving and maintaining desired levels of member engagement, clinical outcomes, and cost savings for our customers and channel partners, and, as a result, our past performance may not be indicative of our ability to achieve positive member engagement, clinical outcomes, and cost savings in future periods. We assume the risk that the cost of providing our programs will exceed the compensation we receive. If we fail to achieve or maintain meaningful member engagement, clinical outcomes, and cost savings for our customers and channel partners, our business, financial condition, results of operations, and prospects could be materially and adversely affected.</w:t>
      </w:r>
    </w:p>
    <w:p>
      <w:pPr>
        <w:spacing w:after="0" w:line="183" w:lineRule="exact"/>
        <w:rPr>
          <w:sz w:val="20"/>
          <w:szCs w:val="20"/>
          <w:color w:val="auto"/>
        </w:rPr>
      </w:pPr>
    </w:p>
    <w:p>
      <w:pPr>
        <w:jc w:val="both"/>
        <w:ind w:left="18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upfront costs in establishing and expanding our relationships with employers, health plans, PBMs, health systems, government entities, and other existing and potential customers and channel partners, and if we are unable to maintain and grow these relationships over time, we are likely to fail to recover these costs, which could have a material adverse effect on our business, financial condition, results of operations, and prospects.</w:t>
      </w:r>
    </w:p>
    <w:p>
      <w:pPr>
        <w:spacing w:after="0" w:line="179" w:lineRule="exact"/>
        <w:rPr>
          <w:sz w:val="20"/>
          <w:szCs w:val="20"/>
          <w:color w:val="auto"/>
        </w:rPr>
      </w:pPr>
    </w:p>
    <w:p>
      <w:pPr>
        <w:jc w:val="both"/>
        <w:ind w:left="180" w:firstLine="436"/>
        <w:spacing w:after="0" w:line="267" w:lineRule="auto"/>
        <w:rPr>
          <w:sz w:val="20"/>
          <w:szCs w:val="20"/>
          <w:color w:val="auto"/>
        </w:rPr>
      </w:pPr>
      <w:r>
        <w:rPr>
          <w:rFonts w:ascii="Times New Roman" w:cs="Times New Roman" w:eastAsia="Times New Roman" w:hAnsi="Times New Roman"/>
          <w:sz w:val="17"/>
          <w:szCs w:val="17"/>
          <w:color w:val="auto"/>
        </w:rPr>
        <w:t>We devote significant resources to establish and expand upon our relationships with employers, health plans, PBMs, health systems, government entities, and other existing and potential customers and channel partners to offer and implement our programs. This is particularly so in the case of large organizations, including health plans and PBMs, and government entities, that often request or require specific features, functions, or integrations unique to their particular business processes. Accordingly, our results of operations will depend in substantial part on our ability to enroll individuals covered by our customers and channel partners to participate in our programs, deliver a successful experience for customers, channel partners, and members, and persuade existing and potential customers and channel partners to maintain and grow their relationship with us over time. Additionally, as our business grows, our costs in acquiring customers and channel partners could outpace our build-up of recurring revenue, and we may be unable to reduce our total operating costs through economies of scale such that we are unable to achieve profitability. If we fail to achieve appropriate economies of scale, if our investments in these relationships fail to materialize, or if we fail to manage or anticipate the evolution and demand of our billing model, our enrollment rate may decrease, and our business, financial condition, results of operations, and prospects could be materially and adversely affected.</w:t>
      </w:r>
    </w:p>
    <w:p>
      <w:pPr>
        <w:spacing w:after="0" w:line="176"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We incur significant upfront costs in establishing our relationships with members, and if we are unable to maintain member engagement over time, we are likely to fail to recover these costs, which could have a material adverse effect on our business, financial condition, results of operations, and prospects.</w:t>
      </w:r>
    </w:p>
    <w:p>
      <w:pPr>
        <w:spacing w:after="0" w:line="177"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devote significant resources to securing access to customers, channel partners, and their covered individuals, informing covered individuals that our programs are available to them, and enrolling covered individuals as members in our programs. We also incur significant upfront costs in providing devices and supplies to members upon enrollment in our programs. Accordingly, our results of operations and prospects will depend in substantial part on our ability to deliver a successful experience for members and maintain member engagement over time. Additionally, as our business grows, our upfront member acquisition and enrollment costs could outpace our build-up of recurring revenue, and we may be unable to reduce our total operating costs through economies of scale such that we are unable to achieve profitability. If we fail to achieve appropriate economies of scale, fail to maintain sufficient member engagement, or fail to manage or anticipate the evolution and demand of our billing model, our business, financial condition, results of operations, and prospects could be materially and adversely affected.</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 substantial portion of our sales comes from or through a limited number of customers and channel partners that operate as resellers.</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Historically, we have relied on a limited number of customers, including employers, health plans, PBMs, health systems, government entities, and other entities that pay for the cost of our programs, and channel partners, including health plans and PBMs, for a substantial portion of our total sales. Our customers include</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51"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65" w:lineRule="auto"/>
        <w:rPr>
          <w:sz w:val="20"/>
          <w:szCs w:val="20"/>
          <w:color w:val="auto"/>
        </w:rPr>
      </w:pPr>
      <w:r>
        <w:rPr>
          <w:rFonts w:ascii="Times New Roman" w:cs="Times New Roman" w:eastAsia="Times New Roman" w:hAnsi="Times New Roman"/>
          <w:sz w:val="17"/>
          <w:szCs w:val="17"/>
          <w:color w:val="auto"/>
        </w:rPr>
        <w:t>employers that cover our programs for their employees and their dependents and health systems that cover our programs for patients, among other types of customers. In addition, our channel partners, which include certain of the health plans, PBMs, and other entities that we work with, operate as resellers of our programs to their employer customers or other end customers. Some of the health plans and PBMs we work with as channel partners also cover our programs directly, for a portion of their own members, as our customers. Sales from or through our top five health plan and PBM partners, including any sales to these entities as customers and sales through these entities as channel partners, represented 68% and 69% of our revenue for the years ended December 31, 2023 and 2024, respectively, and 67% and 73% of our revenue for the three months ended March 31, 2024 and 2025, respectively. As of and for the year ended December 31, 2023, we had one health plan or PBM that accounted for 28% of our accounts receivable, net and 36% of our revenue, and a second health plan or PBM that accounted for 22% of our accounts receivable, net and 19% of our revenue. As of and for the year ended December 31, 2024, we had one health plan or PBM that accounted for 29% of our accounts receivable, net and 36% of our revenue, and a second health plan or PBM that accounted for 28% of our accounts receivable, net and 19% of our revenue. As of and for the three months ended March 31, 2024, we had one health plan or PBM that accounted for 28% of our accounts receivable, net and 37% of our revenue, and a second health plan or PBM that accounted for 22% of our accounts receivable, net and 17% of our revenue. As of and for the three months ended March 31, 2025, we had one health plan or PBM that accounted for 24% of our accounts receivable, net and 31% of our revenue, and a second health plan or PBM that accounted for 35% of our accounts receivable, net and 29% of our revenue. Each of these health plans or PBMs are affiliates of The Cigna Group.</w:t>
      </w:r>
    </w:p>
    <w:p>
      <w:pPr>
        <w:spacing w:after="0" w:line="18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In general, our customers and channel partners work with us on a non-exclusive basis. If we are unable to establish, maintain, or grow these relationships over time or if customers or channel partners refer business to our competitors instead, we are likely to fail to recover these costs and our results of operations and prospects will suffer. The loss of any of our key customers or channel partners could negatively impact our revenue as we work to obtain new customers or establish replacement channel partner relationships. Contracts with our key customers and channel partners may be terminated before their term expires for various reasons, subject to certain conditions. For example, most of our contracts are terminable for convenience by our customers and channel partners, subject to a notice period. Certain contracts may be terminated immediately by the customer or channel partner if we go bankrupt, if we lose applicable licenses or are suspended or debarred from participation in government-funded healthcare programs, or if we fail to comply with certain specified laws.</w:t>
      </w:r>
    </w:p>
    <w:p>
      <w:pPr>
        <w:spacing w:after="0" w:line="185"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We could also lose customers if those customers contract for our programs through a health plan or other channel partner and subsequently elect to migrate to a new health plan or channel partner with which we do not have an existing contractual relationship for certain programs or at all or are not able to establish a new contractual relationship. Additionally, mergers and acquisitions involving us, our customers, our channel partners, or their competitors could lead to cancellation or non-renewal of our contracts with those customers or channel partners or by the acquiring or combining companies, thereby reducing the number of our existing and potential customers, channel partners, and members. Acquisitions involving our customers or channel partners could also lead to a loss of customers, channel partners, or members if we are not contracted, or are unable to obtain a contract, with the acquiring company or its benefit providers or channel partners. In order to grow our business, we anticipate that we will continue to depend on our relationships with third parties, including our channel partners. Identifying channel partners and negotiating and documenting relationships with them requires significant time and resources. Our competitors may be effective in providing incentives to third parties to favor their products or services or to prevent or reduce enrollments in, or utilization of, our programs. If we are unsuccessful in establishing or maintaining our relationships with third parties, our ability to compete in the marketplace or to grow our revenue could be impaired, and our results of operations and prospects may suffer. Even if we are successful, these relationships may not result in increased use of our programs by customers, channel partners, or members or increased revenue.</w:t>
      </w:r>
    </w:p>
    <w:p>
      <w:pPr>
        <w:spacing w:after="0" w:line="1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80"/>
          </w:cols>
          <w:pgMar w:left="320" w:top="451"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and channel partners and increase member enrollment from new and existing customers and channel partners, our revenue growth could be slower than we expect, and our business may be adversely affected.</w:t>
      </w:r>
    </w:p>
    <w:p>
      <w:pPr>
        <w:spacing w:after="0" w:line="159"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We generate, and expect to continue to generate, revenue from member enrollment and engagement in our programs. As a result, widespread acceptance and use of virtual-first care for chronic conditions in general, and our platform in particular, is critical to our future growth and success. If the market fails to grow or grows more slowly than we currently anticipate, demand for our programs could be negatively affected.</w:t>
      </w:r>
    </w:p>
    <w:p>
      <w:pPr>
        <w:spacing w:after="0" w:line="177"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Our ability to achieve significant growth in revenue in the future will depend, in large part, upon our ability to attract new customers and channel partners. If we fail to attract new customers and channel partners and fail to maintain and expand new relationships, our revenue may grow more slowly than we expect, may not grow at all, or may decline, and our business may be adversely affected. Once we enter into an agreement with a customer or channel partner, our revenue will depend on the number of covered individuals we successfully enroll as members and their ongoing engagement in the programs. Demand for virtual-first care for chronic conditions in general, and our platform in particular, is affected by a number of factors, many of which are beyond our control. Some of these potential factors include:</w:t>
      </w:r>
    </w:p>
    <w:p>
      <w:pPr>
        <w:spacing w:after="0" w:line="214" w:lineRule="exact"/>
        <w:rPr>
          <w:sz w:val="20"/>
          <w:szCs w:val="20"/>
          <w:color w:val="auto"/>
        </w:rPr>
      </w:pPr>
    </w:p>
    <w:p>
      <w:pPr>
        <w:ind w:left="1140" w:hanging="539"/>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of our programs and the adoption of technology in healthcare generally;</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products and services that compete with ours;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adoption and use;</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features and program experience;</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and cybersecurity; and</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220"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Our future revenue growth also depends upon increasing member enrollment with existing customers and channel partners. If we are not successful in increasing member enrollment in the programs currently contracted for by our customers and channel partners (or future programs our customers or channel partners contract for over time), or if our customers or channel partners do not renew their agreements or renew their agreements with us at lower prices or on less favorable terms, our revenue may grow more slowly than expected, may not grow at all, or may decline.</w:t>
      </w:r>
    </w:p>
    <w:p>
      <w:pPr>
        <w:spacing w:after="0" w:line="182"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Customer and channel partner renewals may decline or fluctuate as a result of a number of factors, including the breadth of early deployment of our programs, meaningful reductions in our customers’ spending levels, changes in their business models and use cases, the actual or perceived clinical outcomes or cost savings of our programs, satisfaction or dissatisfaction with our programs among our customers and channel partners, our pricing or pricing structure, the pricing or capabilities of products or services offered by our competitors, or the effects of economic conditions. Any prolonged shutdown of a significant portion of global economic activity or a downturn in the global or domestic economy, including as a result of a pandemic or public health threat (such as the COVID-19 pandemic), would adversely affect the industries in which our customers and channel partners operate, which could adversely affect their willingness or ability to renew their agreements with us. If our customers or channel partners do not renew their agreements with us, or renew on terms less favorable to us, our revenue may decline.</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320" w:top="451"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Potential members’ failure to enroll after a customer or channel partner enters into an agreement with us could materially and adversely affect our business, financial condition, results of operations, and prospects.</w:t>
      </w:r>
    </w:p>
    <w:p>
      <w:pPr>
        <w:spacing w:after="0" w:line="159" w:lineRule="exact"/>
        <w:rPr>
          <w:sz w:val="20"/>
          <w:szCs w:val="20"/>
          <w:color w:val="auto"/>
        </w:rPr>
      </w:pPr>
    </w:p>
    <w:p>
      <w:pPr>
        <w:jc w:val="both"/>
        <w:ind w:left="180" w:firstLine="436"/>
        <w:spacing w:after="0" w:line="249" w:lineRule="auto"/>
        <w:rPr>
          <w:sz w:val="20"/>
          <w:szCs w:val="20"/>
          <w:color w:val="auto"/>
        </w:rPr>
      </w:pPr>
      <w:r>
        <w:rPr>
          <w:rFonts w:ascii="Times New Roman" w:cs="Times New Roman" w:eastAsia="Times New Roman" w:hAnsi="Times New Roman"/>
          <w:sz w:val="18"/>
          <w:szCs w:val="18"/>
          <w:color w:val="auto"/>
        </w:rPr>
        <w:t>We believe our future success will depend in part on our ability to increase both the speed and success of member enrollment, by improving our member outreach, engagement, and enrollment methodology, hiring and training qualified professionals, and increasing our ability to integrate into large-scale, complex technology environments. In some cases, customers and channel partners initially enter into an agreement with us for one or more of our programs, but, for a variety of potential reasons, covered individuals fail to ultimately enroll at the expected volume. For example, the conditions that our programs address may be less prevalent among the covered individuals than we expect and/or our customers and channel partners may provide limited contact information for outreach campaigns or otherwise not adequately enable or permit outreach campaigns to covered individuals generally or at our preferred timing. In addition, we rely on email outreach to enroll covered individuals, and from time to time, the interfaces, features, or policies of email applications, email service providers, mobile device operating systems, or other relevant software are altered or updated, which may adversely impact our ability to effectively reach covered individuals to facilitate their enrollment, and as a result, could materially and adversely affect member enrollment rates. For these and other reasons, our forecasts may not accurately estimate enrollment rates or the number of enrolled members. For additional information on the assumptions we rely on to anticipate expected growth for our business and revenue, see the risk factor titled “</w:t>
      </w:r>
      <w:r>
        <w:rPr>
          <w:rFonts w:ascii="Times New Roman" w:cs="Times New Roman" w:eastAsia="Times New Roman" w:hAnsi="Times New Roman"/>
          <w:sz w:val="18"/>
          <w:szCs w:val="18"/>
          <w:i w:val="1"/>
          <w:iCs w:val="1"/>
          <w:color w:val="auto"/>
        </w:rPr>
        <w:t>The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our programs is new, rapidly evolving, and increasingly competitive, as the healthcare industry in the U.S. is undergoing significant structural change, which makes it difficult to forecast demand for our programs</w:t>
      </w:r>
      <w:r>
        <w:rPr>
          <w:rFonts w:ascii="Times New Roman" w:cs="Times New Roman" w:eastAsia="Times New Roman" w:hAnsi="Times New Roman"/>
          <w:sz w:val="18"/>
          <w:szCs w:val="18"/>
          <w:color w:val="auto"/>
        </w:rPr>
        <w:t>.” If we are unable to achieve the expected volume of member enrollment,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unable to do so in a timely manner, customers and channel partners are unlikely to renew their agreements with us and/or expand their agreements with us to include additional programs, and we would not be able to generate future revenue from those relationships, and our business, financial condition, results of operations, and prospects could be materially and adversely affected.</w:t>
      </w:r>
    </w:p>
    <w:p>
      <w:pPr>
        <w:spacing w:after="0" w:line="193"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our customers or channel partners are unwilling or unable to conduct or enable outreach campaigns directed at covered individuals, we may not enroll members at the rates we expect, which may adversely affect our business, financial condition, results of operations, and prospects.</w:t>
      </w:r>
    </w:p>
    <w:p>
      <w:pPr>
        <w:spacing w:after="0" w:line="159"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We rely largely on information supplied by our customers and channel partners to conduct outreach campaigns directed at covered individuals, and though we often assist with these outreach campaigns, we do not control our customers’ or channel partners’ enrollment outreach schedules. As a result, if they are unwilling or unable to supply information needed for outreach campaigns or are unwilling or unable to enable outreach campaigns generally, or if enrollment launch dates are delayed, we could fail to meet our enrollment and revenue expectations, which may adversely impact our business, financial condition, results of operations, and prospects.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 size of the addressable markets for our programs are estimates and may be smaller than we believe.</w:t>
      </w:r>
    </w:p>
    <w:p>
      <w:pPr>
        <w:spacing w:after="0" w:line="224" w:lineRule="exact"/>
        <w:rPr>
          <w:sz w:val="20"/>
          <w:szCs w:val="20"/>
          <w:color w:val="auto"/>
        </w:rPr>
      </w:pPr>
    </w:p>
    <w:p>
      <w:pPr>
        <w:jc w:val="both"/>
        <w:ind w:left="180" w:firstLine="436"/>
        <w:spacing w:after="0" w:line="270" w:lineRule="auto"/>
        <w:rPr>
          <w:sz w:val="20"/>
          <w:szCs w:val="20"/>
          <w:color w:val="auto"/>
        </w:rPr>
      </w:pPr>
      <w:r>
        <w:rPr>
          <w:rFonts w:ascii="Times New Roman" w:cs="Times New Roman" w:eastAsia="Times New Roman" w:hAnsi="Times New Roman"/>
          <w:sz w:val="17"/>
          <w:szCs w:val="17"/>
          <w:color w:val="auto"/>
        </w:rPr>
        <w:t>Our estimate of the total addressable market for our programs is based on a number of internal and third-party estimates. While we believe these factors have historically provided and may continue to provide us with effective tools in estimating the total market for prediabetes and diabetes, hypertension, musculoskeletal conditions, and our programs, these estimates may not be correct, and the conditions supporting our estimates may change at any time, thereby reducing the predictive accuracy of these underlying factors. As a result, our estimates of the total addressable market for our programs may prove to be incorrect. In addition, changes in underlying causes or risk factors for the conditions that our programs address, such as the impact of GLP-1 drugs on obesity, could impact our estimates of the total addressable market. If the actual number of members who would benefit from our programs and the total addressable market for our programs is smaller than we have estimated, our future growth could be adversely impacted.</w:t>
      </w:r>
    </w:p>
    <w:p>
      <w:pPr>
        <w:spacing w:after="0" w:line="1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80"/>
          </w:cols>
          <w:pgMar w:left="320" w:top="451"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80" w:right="20"/>
        <w:spacing w:after="0" w:line="312" w:lineRule="auto"/>
        <w:rPr>
          <w:sz w:val="20"/>
          <w:szCs w:val="20"/>
          <w:color w:val="auto"/>
        </w:rPr>
      </w:pPr>
      <w:r>
        <w:rPr>
          <w:rFonts w:ascii="Times New Roman" w:cs="Times New Roman" w:eastAsia="Times New Roman" w:hAnsi="Times New Roman"/>
          <w:sz w:val="17"/>
          <w:szCs w:val="17"/>
          <w:b w:val="1"/>
          <w:bCs w:val="1"/>
          <w:i w:val="1"/>
          <w:iCs w:val="1"/>
          <w:color w:val="auto"/>
        </w:rPr>
        <w:t>We will need to increase the size of our organization, including our Care Teams, and we may experience difficulties in managing growth and attracting talent. A deterioration in our relationships with our employees and other service providers could have an adverse impact on our business.</w:t>
      </w:r>
    </w:p>
    <w:p>
      <w:pPr>
        <w:spacing w:after="0" w:line="137"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As of March 31, 2025, we employed 849 full-time employees, which included our health coaches and other Care Team members as well as individuals across sales and marketing, research and development, and general and administrative functions. In the future, we expect to expand our managerial, clinical, scientific, technological, operational, finance, and other resources in order to manage our operations and continue our program development activities. Our management and personnel, systems, and facilities currently in place may not be adequate to support this future growth. In particular, we rely in large part on our Care Teams for the delivery of our programs, and we may be unable to scale our Care Teams efficiently to manage costs through economies of scale due to limitations on the number of members that our Care Teams are able to support. If we fail to do so, we may incur significant costs, which could have a material adverse effect on our business, financial condition, results of operations, and prospects, and negatively impact our ability to achieve or maintain profitability in the future.</w:t>
      </w:r>
    </w:p>
    <w:p>
      <w:pPr>
        <w:spacing w:after="0" w:line="185"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Our need to effectively execute our growth strategy requires that we efficiently identify, recruit, retain, incentivize, and integrate additional talent, and maintaining good relationships with our employees and other service providers is crucial to our operations. Our employees may attempt to unionize, which could limit our ability to manage our workforce effectively, cause disruptions to our operations, including as a result of strikes, work stoppages, or other labor disputes, and otherwise materially and adversely affect our business, financial condition, results of operations, and prospects. See the section titled “Business—Our People and Culture.”</w:t>
      </w:r>
    </w:p>
    <w:p>
      <w:pPr>
        <w:spacing w:after="0" w:line="179" w:lineRule="exact"/>
        <w:rPr>
          <w:sz w:val="20"/>
          <w:szCs w:val="20"/>
          <w:color w:val="auto"/>
        </w:rPr>
      </w:pPr>
    </w:p>
    <w:p>
      <w:pPr>
        <w:jc w:val="both"/>
        <w:ind w:left="180"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the shift by companies to adopt business models billed based on enrollments, engagement, and/or outcomes, and, in particular, the market for our programs, develops more slowly than we expect, our growth may slow or stall, and our business, financial condition, results of operations, and prospects could be materially and adversely affected.</w:t>
      </w:r>
    </w:p>
    <w:p>
      <w:pPr>
        <w:spacing w:after="0" w:line="17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Our success depends on companies shifting to business models billed based on enrollments, engagement, and/or outcomes and choosing to adopt healthcare products and services through such models. The adoption of these types of health management programs is still relatively new, and enterprises may choose not to shift their business models or, if they do, may decide that they do not need a healthcare solution that offers the range of services that we offer. Accordingly, it is difficult to predict adoption rates and demand for our programs, the future growth rate and size of our market, or the entry of competitive solutions. Factors that may affect market acceptance of our programs include:</w:t>
      </w:r>
    </w:p>
    <w:p>
      <w:pPr>
        <w:spacing w:after="0" w:line="210" w:lineRule="exact"/>
        <w:rPr>
          <w:sz w:val="20"/>
          <w:szCs w:val="20"/>
          <w:color w:val="auto"/>
        </w:rPr>
      </w:pPr>
    </w:p>
    <w:p>
      <w:pPr>
        <w:ind w:left="1140" w:hanging="539"/>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companies shifting to these business models;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consumers and businesses adopting new, flexible ways to consume products and services;</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informing covered individuals that our programs are available to them and the number of covered individuals that choose to enroll in our programs;</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capabilities, reliability, and availability of cloud-based services;</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from customers, channel partners, or members with entrusting a third party to store and manage their data, especially health-related, confidential, or sensitive data;</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minimize the time and resources required to launch our programs;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member engagement and high levels of member satisfaction;</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80"/>
          </w:cols>
          <w:pgMar w:left="320" w:top="451"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140" w:hanging="539"/>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measurable and meaningful cost savings to existing and potential customers and channel partners;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upgrades and other changes to our programs without disruption to our customers, channel partners, or members;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customization or configuration we offer within our programs; and</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cost-savings, performance, and availability of competing products and services.</w:t>
      </w:r>
    </w:p>
    <w:p>
      <w:pPr>
        <w:spacing w:after="0" w:line="220"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The markets for products and services billed based on enrollments, engagement, and/or outcomes generally, and for solutions for chronic conditions in particular, may not develop further or may develop more slowly than we expect. If companies do not shift to these business models and these health management tools do not achieve widespread adoption, or if there is a reduction in demand for these types of products and services or health management tools due to technological challenges, weakening economic conditions, data privacy or cybersecurity concerns, decreases in corporate spending, a lack of acceptance among prospective members, or otherwise, our business, financial condition, results of operations, and prospects could be materially and adversely affected.</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programs may result in member harm or injury.</w:t>
      </w:r>
    </w:p>
    <w:p>
      <w:pPr>
        <w:spacing w:after="0" w:line="224"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Our programs are designed under the oversight of qualified healthcare professionals, and we train our Care Teams to comply with appropriate standards and protocol for delivery of care and the recognition and management of escalation events. Our success depends in part on the ability of our healthcare professionals to obtain and maintain all necessary licenses, certifications, permits, and other approvals, and to provide services to members in compliance with applicable laws, including scope of practice laws, as well as our policies. Nevertheless, if future results or experience indicate that our programs cause unexpected or serious complications or other unforeseen negative effects, our members may seek significant compensation from us or our affiliated professional entities or cease using our platform and programs, or our customers or channel partners could cease doing business with us. We may also be contractually required to indemnify and hold harmless third parties, such as customers or channel partners, from the costs of member harm or injury. There can be no assurance that provisions typically included in our terms with members or in our agreements with our customers and channel partners that attempt to limit exposure to legal claims would be enforceable or adequate or would protect us or our affiliated professional entities from liabilities or damages. Even if a claim is not successful, any claim brought against us or our affiliated professional entities would likely be time-consuming and costly to defend and could seriously damage our reputation and brand, our business, or the business of our affiliated professional entities. In addition, we may not carry insurance sufficient to compensate us for any losses that may result from such claims. As a result, we or our affiliated professional entities could face significant legal liability or harm to our or our affiliated professional entities’ reputation, business, financial condition, results of operations, and prospects.</w:t>
      </w:r>
    </w:p>
    <w:p>
      <w:pPr>
        <w:spacing w:after="0" w:line="183" w:lineRule="exact"/>
        <w:rPr>
          <w:sz w:val="20"/>
          <w:szCs w:val="20"/>
          <w:color w:val="auto"/>
        </w:rPr>
      </w:pPr>
    </w:p>
    <w:p>
      <w:pPr>
        <w:jc w:val="both"/>
        <w:ind w:left="180"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Any disruption of service at our third-party data centers and hosting providers, including Amazon Web Services, or at software-as-a-service (“SaaS”) companies or other vendors could interrupt or delay our ability to deliver our programs to our customers, channel partners, and members and harm our business, financial condition, results of operations, and prospects.</w:t>
      </w:r>
    </w:p>
    <w:p>
      <w:pPr>
        <w:spacing w:after="0" w:line="17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We currently host our platform, serve our customers, channel partners, and members, and support our operations primarily from third-party data centers and hosting providers, including Amazon Web Services (“AWS”), a provider of cloud infrastructure services, and we also rely on other services provided by SaaS companies and other vendors. We expect this dependence on third parties to continue. We do not have control over the operations of the facilities of our data center providers or hosting providers, including AWS, SaaS companies, or other vendors. These facilities are vulnerable to damage or interruption from earthquakes,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80"/>
          </w:cols>
          <w:pgMar w:left="320" w:top="451"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64" w:lineRule="auto"/>
        <w:rPr>
          <w:sz w:val="20"/>
          <w:szCs w:val="20"/>
          <w:color w:val="auto"/>
        </w:rPr>
      </w:pPr>
      <w:r>
        <w:rPr>
          <w:rFonts w:ascii="Times New Roman" w:cs="Times New Roman" w:eastAsia="Times New Roman" w:hAnsi="Times New Roman"/>
          <w:sz w:val="17"/>
          <w:szCs w:val="17"/>
          <w:color w:val="auto"/>
        </w:rPr>
        <w:t>hurricanes, floods, fires, cyberattacks, terrorist attacks, power losses, telecommunications failures, public health emergencies, and similar events. The occurrence of a natural disaster or an act of terrorism, a decision to close the facilities without adequate notice, or other unanticipated problems could result in lengthy interruptions in our ability to deliver our programs. The facilities also could be subject to break-ins, computer viruses, sabotage, intentional acts of vandalism, and other misconduct. The continued and uninterrupted performance of our programs and connected devices provided in connection with our programs is critical to our success. We may experience material interruptions, disruptions, outages, and other performance problems to our systems as a result of third-party data centers and hosting providers, including AWS, SaaS companies, or other vendors. Because our programs are used by our members to manage chronic conditions, it is critical that our programs and related connected devices be accessible without significant interruption or degradation of performance. Members may become dissatisfied by any system failure that interrupts our ability to provide our programs to them or that impacts the functionality of the connected devices provided in connection with our programs. Outages could lead to the triggering of our service-level agreements or performance guarantees and the issuance of repayments to our customers and channel partners, in which case, we may not be fully indemnified for such losses pursuant to our agreement with AWS, SaaS providers, or other vendors. We may not be able to easily switch our AWS operations to another cloud provider if there are disruptions or interference with our use of AWS. Sustained or repeated system failures would reduce the attractiveness of our programs to customers, channel partners, and members and result in contract terminations, thereby reducing revenue and harming our business, financial condition, results of operations, and prospects. Moreover, negative publicity arising from these types of disruptions could damage our reputation and may adversely impact use and adoption of our programs. We may not carry sufficient business interruption insurance to compensate us for losses that may occur as a result of any events that cause interruptions in our ability to deliver our programs. To the extent we do not effectively respond to any such interruptions, upgrade our systems as needed, and continually develop our technology and network architecture to accommodate traffic, our business, financial condition, results of operations, and prospects could be materially and adversely affected. Furthermore, our disaster recovery systems and those of third parties with which we do business may not function as intended or may fail to adequately protect our critical business information in the event of a significant business interruption, which may cause cybersecurity breaches or the loss of data or functionality and could, in turn, lead to a material adverse effect on our business, financial condition results of operations, and prospects.</w:t>
      </w:r>
    </w:p>
    <w:p>
      <w:pPr>
        <w:spacing w:after="0" w:line="186"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Our third-party data center and hosting providers, including AWS, SaaS providers, and other vendors do not have an obligation to renew their agreements with us on commercially reasonable terms, or at all. If we are unable to renew our agreements with these providers on commercially reasonable terms, if our agreements with our providers are prematurely terminated, or if in the future we add additional data center or hosting providers, we may experience costs or downtime in connection with the transfer to, or the addition of, new providers. If these providers were to increase the cost of their services, we may have to increase the price of our programs, and our business, financial condition, results of operations, and prospects could be harmed.</w:t>
      </w:r>
    </w:p>
    <w:p>
      <w:pPr>
        <w:spacing w:after="0" w:line="183" w:lineRule="exact"/>
        <w:rPr>
          <w:sz w:val="20"/>
          <w:szCs w:val="20"/>
          <w:color w:val="auto"/>
        </w:rPr>
      </w:pPr>
    </w:p>
    <w:p>
      <w:pPr>
        <w:jc w:val="both"/>
        <w:ind w:left="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third-party suppliers for certain devices and other supplies that we deliver to members in connection with our programs, for cellular device connectivity, and for certain complementary healthcare services provided by external partners, such as prescriptions or physician referrals, and the loss of any of these suppliers or partners, or their inability to support our required volume, could materially and adversely affect our business, financial condition, results of operations, and prospects.</w:t>
      </w:r>
    </w:p>
    <w:p>
      <w:pPr>
        <w:spacing w:after="0" w:line="179"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Most of our contracts with customers and channel partners require that we deliver certain connected devices and other supplies to new members within a certain period of time, and certain of our contracts also provide that we will coordinate with external partners for certain healthcare services complementary to our programs, such as certain prescriptions or physician referrals. If we are unable to meet these obligations, our customers and channel partners may decide to terminate their contracts.</w:t>
      </w:r>
    </w:p>
    <w:p>
      <w:pPr>
        <w:spacing w:after="0" w:line="18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We rely on a limited number of suppliers for devices and supplies that we deliver in connection with our programs, including wireless scales, blood pressure monitors, blood glucose monitors, and other supplies, and a</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80"/>
          </w:cols>
          <w:pgMar w:left="320" w:top="451"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57" w:lineRule="auto"/>
        <w:rPr>
          <w:sz w:val="20"/>
          <w:szCs w:val="20"/>
          <w:color w:val="auto"/>
        </w:rPr>
      </w:pPr>
      <w:r>
        <w:rPr>
          <w:rFonts w:ascii="Times New Roman" w:cs="Times New Roman" w:eastAsia="Times New Roman" w:hAnsi="Times New Roman"/>
          <w:sz w:val="18"/>
          <w:szCs w:val="18"/>
          <w:color w:val="auto"/>
        </w:rPr>
        <w:t>limited number of third parties for cellular device connections. We utilize a single supplier and exclusive partner for continuous glucose monitors provided in Omada for Diabetes and work with a single distributor for delivery of the continuous glucose monitors. We also rely on a limited number of external partners to supply certain healthcare services complementary to but not included in our programs, such as prescriptions for continuous glucose monitors or physician referrals to physical therapy, where required.</w:t>
      </w:r>
    </w:p>
    <w:p>
      <w:pPr>
        <w:spacing w:after="0" w:line="182"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For our business strategy to be successful, our suppliers and partners must be able to provide us with devices, supplies, connectivity, and services in sufficient quantities, in compliance with regulatory requirements and quality control standards, in accordance with agreed-upon specifications, at acceptable costs, and on a timely basis. Increases in our program sales, whether forecasted or unanticipated, could strain the ability of our suppliers and partners to deliver an increasingly large supply of devices, supplies, connectivity, or services in a manner that meets these various requirements. Our suppliers and partners may encounter problems that limit their ability to supply products, supplies, and services for us, or that result in increases in the prices they charge us for such products, supplies, and services, including financial difficulties, labor shortages, the imposition of new trade protection measures, such as tariffs and other duties, and shutdowns related to epidemics, pandemics, or other health crises, and, for our device and supply partners, shipping delays, damage to their manufacturing equipment or facilities, or challenges with establishing and operating new facilities in new jurisdictions. Quality or performance failures of these devices, supplies, connectivity, or services or changes in our partners’ financial or business condition could disrupt our ability to supply quality devices and supplies to our members or to connect them to quality services, which could have a material adverse effect on our business, financial condition, results of operations, and prospects.</w:t>
      </w:r>
    </w:p>
    <w:p>
      <w:pPr>
        <w:spacing w:after="0" w:line="189"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a limited number of third-party manufacturers and suppliers who operate in international markets, which exposes us to foreign operational and political risks that may harm our business.</w:t>
      </w:r>
    </w:p>
    <w:p>
      <w:pPr>
        <w:spacing w:after="0" w:line="159"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We rely on a limited number of manufacturers and suppliers for devices and supplies that we deliver in connection with our programs, including wireless scales, blood pressure monitors, blood glucose monitors, and other supplies, and, among other things, certain of the technology and raw materials used in the manufacturing of those devices and supplies. Most of the devices and supplies delivered in connection with our programs are currently manufactured in China and may be manufactured in other international markets in the future. Our reliance on an international supply chain exposes us to risks and uncertainties, including:</w:t>
      </w:r>
    </w:p>
    <w:p>
      <w:pPr>
        <w:spacing w:after="0" w:line="210" w:lineRule="exact"/>
        <w:rPr>
          <w:sz w:val="20"/>
          <w:szCs w:val="20"/>
          <w:color w:val="auto"/>
        </w:rPr>
      </w:pPr>
    </w:p>
    <w:p>
      <w:pPr>
        <w:ind w:left="1140" w:hanging="539"/>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quality of supplies;</w:t>
      </w:r>
    </w:p>
    <w:p>
      <w:pPr>
        <w:spacing w:after="0" w:line="247" w:lineRule="exact"/>
        <w:rPr>
          <w:rFonts w:ascii="Times New Roman" w:cs="Times New Roman" w:eastAsia="Times New Roman" w:hAnsi="Times New Roman"/>
          <w:sz w:val="18"/>
          <w:szCs w:val="18"/>
          <w:color w:val="auto"/>
        </w:rPr>
      </w:pPr>
    </w:p>
    <w:p>
      <w:pPr>
        <w:jc w:val="both"/>
        <w:ind w:left="1140" w:hanging="539"/>
        <w:spacing w:after="0" w:line="257"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such as tariffs and other duties, especially in light of recent actions by the Trump Administration signaling more aggressive trade policies, which could exacerbate trade disputes between the U.S. and several foreign countries, including China, as well as sanctions and export control measures targeting certain countries, and increases in the prices of devices and supplies delivered in connection with our programs;</w:t>
      </w:r>
    </w:p>
    <w:p>
      <w:pPr>
        <w:spacing w:after="0" w:line="208"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contagious diseases, such as COVID-19;</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that favor local companies;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and limitations in telecommunication services, shipping services, or logistics;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or material delays or disruption;</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license requirements and restrictions;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protection of intellectual property;</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80"/>
          </w:cols>
          <w:pgMar w:left="320" w:top="451"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140" w:hanging="539"/>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controls, currency restrictions, and fluctuations in currency values; and</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tax consequences.</w:t>
      </w:r>
    </w:p>
    <w:p>
      <w:pPr>
        <w:spacing w:after="0" w:line="220"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If any of these risks were to materialize, our third-party manufacturers and suppliers may be unable to provide the devices and other supplies in the required amounts or at the contracted cost. As a result, we may need to contract with new manufacturers and suppliers, which could increase our costs and delay the delivery of devices and other supplies to our members. Our contracts with customers and channel partners generally provide that we will deliver devices and supplies to members at the beginning of their participation in our programs, and any failure to do so could materially and adversely affect our business, financial condition, results of operations, and prospects.</w:t>
      </w:r>
    </w:p>
    <w:p>
      <w:pPr>
        <w:spacing w:after="0" w:line="179"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manufacturers and suppliers are unable to procure raw materials or semi-finished products or to produce the devices provided in connection with our programs, our business may suffer.</w:t>
      </w:r>
    </w:p>
    <w:p>
      <w:pPr>
        <w:spacing w:after="0" w:line="15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If the suppliers or third-party manufacturers of the devices provided in connection with our programs experience shortages, limited access to, or increased costs of certain raw materials and other semi-finished or finished goods, it may result in production delays or delays in deliveries to members of the connected devices and other supplies provided in connection with our programs. Production by one or more manufacturers or suppliers may be suspended or delayed, temporarily or permanently, due to economic or technical problems such as the insolvency of the manufacturer, the failure of the manufacturing facilities, or disruption of the production process, all of which are beyond our control. Any shortage, delay, or interruption in the availability of the connected devices and supplies provided in connection with our programs may negatively affect our ability to meet demand. As a result, our business may be unable to offer a satisfactory experience to customers, channel partners, and members, which could have a material adverse effect on our business, financial condition, results of operations, and prospects.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experience seasonality in our business, which may cause fluctuations in our financial results.</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Historically, we have experienced, and expect to continue to experience, seasonality in our business, with a higher number of closed sales in the late spring and early fall and higher enrollment launch rates in the first and second quarters of the year. We believe that this results in part from the timing of open enrollment periods of many of our customers. We may be affected by seasonal trends in the future, particularly as our business matures. These effects may become more pronounced as we target larger organizations with larger budgets for use of our programs. These factors may contribute to substantial fluctuations in our quarterly results of operations. Because of these fluctuations, among other factors, it is possible that in future periods our results of operations will fall below the expectations of securities analysts or investors, in which case the market price of our common stock would likely decrease. These fluctuations, among other factors, also mean that our results of operations in any particular period may not be relied upon as an indication of future performance.</w:t>
      </w:r>
    </w:p>
    <w:p>
      <w:pPr>
        <w:spacing w:after="0" w:line="181"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other catastrophic events, and our business continuity and disaster recovery plans may not adequately protect us from a serious natural disaster or other catastrophic event. Any interruption in our operations or the operations of third parties who supply the devices and other supplies provided in connection with our programs, connectivity of those devices, or services complementary to our programs may have a material adverse effect on our business, financial condition, results of operations, and prospects.</w:t>
      </w:r>
    </w:p>
    <w:p>
      <w:pPr>
        <w:spacing w:after="0" w:line="182"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Severe weather, natural disasters, and other catastrophic events, including pandemics or other public health crises (such as the COVID-19 pandemic), earthquakes, tsunamis, hurricanes, floods, fires, explosions, accidents, power outages, cyberattacks, telecommunications failures, mechanical failures, unscheduled downtimes, civil unrest, strikes, transportation interruptions, unpermitted discharges or releases of toxic or hazardous substances, other environmental risks, wars or other conflicts (including wars in Ukraine and the Middle East), sabotage,</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80"/>
          </w:cols>
          <w:pgMar w:left="320" w:top="451"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62" w:lineRule="auto"/>
        <w:rPr>
          <w:sz w:val="20"/>
          <w:szCs w:val="20"/>
          <w:color w:val="auto"/>
        </w:rPr>
      </w:pPr>
      <w:r>
        <w:rPr>
          <w:rFonts w:ascii="Times New Roman" w:cs="Times New Roman" w:eastAsia="Times New Roman" w:hAnsi="Times New Roman"/>
          <w:sz w:val="18"/>
          <w:szCs w:val="18"/>
          <w:color w:val="auto"/>
        </w:rPr>
        <w:t>terrorist attacks, or other intentional acts of vandalism or misconduct could severely disrupt our operations, or the operations of third parties who supply the devices and other supplies provided in connection with our programs, connectivity of those devices, or services complementary to our programs, and have a material adverse effect on our business, financial condition, results of operations, and prospects.</w:t>
      </w:r>
    </w:p>
    <w:p>
      <w:pPr>
        <w:spacing w:after="0" w:line="177"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If a natural disaster or other catastrophic event occurs that prevents us or third-party suppliers from using all or a significant portion of our or their headquarters or other facilities, that damages critical infrastructure, such as our enterprise financial systems or manufacturing resource planning and enterprise quality systems, or that otherwise disrupts operations, it may be difficult or, in certain cases, impossible, for us to continue our business for a substantial period of time. A mechanical failure or disruption affecting any major operating line may result in a disruption to our ability to supply customers, channel partners, and members, and standby capacity may not be available. The disaster recovery and business continuity plans we have in place currently are limited and are unlikely to prove adequate in the event of a serious disaster or similar catastrophic event. The potential impact of any disruption would depend on the nature and extent of the damage caused by a disaster.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189"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Our corporate headquarters are located in the San Francisco Bay Area, which has experienced both severe earthquakes and wildfires. We do not carry earthquake insurance. Furthermore, integral parties in our supply chain are similarly vulnerable to natural disasters or other sudden, unforeseen, and severe adverse events. If such an event were to affect our supply chain, it could have a material adverse effect on our business, financial condition, results of operations, and prospects.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MidCap Credit Agreement contains restrictions that limit our flexibility in operating our business.</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We have entered into a credit, security, and guaranty agreement, dated as of June 2, 2023, by and among us, Physera, Inc., MidCap Funding IV Trust (“MidCap”), as administrative agent, MidCap Financial Trust, as term loan servicer, certain funds managed by MidCap, as lenders, and the lenders, additional borrowers, and guarantors from time to time party thereto (as amended, restated, amended and restated, supplemented, or otherwise modified from time to time, the “MidCap Credit Agreement”). The MidCap Credit Agreement provides for a senior secured term loan facility comprising two equal tranches in the aggregate amount of $60.0 million with a maturity date of June 1, 2028 (the “MidCap Term Facility”), and a revolving loan facility for up to $20.0 million (the “MidCap Revolving Facility”). As of December 31, 2024 and March 31, 2025, the aggregate principal amount outstanding under the MidCap Term Facility was $30.0 million and $30.0 million, respectively, and the amount drawn under the MidCap Revolving Facility was $1.0 million and $1.0 million, respectively. The MidCap Credit Agreement contains various covenants that limit our ability to engage in specified types of transactions. These covenants limit our ability to, among other things:</w:t>
      </w:r>
    </w:p>
    <w:p>
      <w:pPr>
        <w:spacing w:after="0" w:line="216" w:lineRule="exact"/>
        <w:rPr>
          <w:sz w:val="20"/>
          <w:szCs w:val="20"/>
          <w:color w:val="auto"/>
        </w:rPr>
      </w:pPr>
    </w:p>
    <w:p>
      <w:pPr>
        <w:ind w:left="1140" w:hanging="539"/>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lease, or dispose of our assets subject to certain exclusions;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assume, guarantee, or assume additional indebtedness, other than certain permitted indebtedness;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encumber or permit liens on any of our assets other than certain permitted liens;</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restricted payments, including paying cash dividends on, repurchasing or making distributions with respect to any of our capital stock;</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specified investments;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with, or acquire any other entity, or sell or otherwise dispose of all or substantially all of our assets; and</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our affiliates.</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51"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In the event that we breach one or more covenants under the MidCap Credit Agreement, MidCap may choose to declare an event of default and require that we immediately repay all amounts outstanding of the aggregate principal amount, which was $31.0 million and $31.0 million as of December 31, 2024 and March 31, 2025, respectively, plus, in each case, accrued interest, and foreclose on the collateral granted to it to secure such indebtedness. Such repayment could have a material adverse effect on our business, financial condition, results of operations, and prospects.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number of risks related to the credit card and debit card payments we accept.</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We accept payments from a limited number of members who pay member cost-sharing amounts, such as copayments, deductibles, or co-insurance, for our programs and pay those amounts through credit and debit card transactions. We receive these payments through third-party providers, which subjects us to compliance with the rules of the payment card networks (including the payment card industry data security standards) and laws and regulations governing electronic funds transfers, which could change or be reinterpreted to make it more difficult for us to comply. Although we primarily rely on these third-party providers for payment processing, to the extent a data breach of payment data occurs on our or their systems, we may be liable for significant costs incurred by customers, channel partners, banks, and other third parties or subject to fines and higher transaction fees, or our ability to accept or facilitate certain types of payments may be impaired. In the event of any fraud, if we fail to adequately control fraudulent transactions, we may face civil liability, diminished public perception of our security measures, and significantly higher payment-related costs, each of which could have a material adverse effect on our business, financial condition, results of operations, and prospects.</w:t>
      </w:r>
    </w:p>
    <w:p>
      <w:pPr>
        <w:spacing w:after="0" w:line="189"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Any failure on our part to comply fully with the foregoing laws, rules, and regulations also may subject us to fines, penalties, damages, and civil liability, and may result in the loss of our ability to accept credit and debit card payments. Further, there is no guarantee that such compliance will prevent illegal or improper use of our payment systems or the theft, loss, or misuse of data pertaining to bank accounts, credit and debit cards, card holders, and transactions.</w:t>
      </w:r>
    </w:p>
    <w:p>
      <w:pPr>
        <w:spacing w:after="0" w:line="178"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use AI and machine learning to operate certain features of our programs and to enable certain business processes, which due to a changing regulatory landscape, could adversely affect our business, financial condition, and results of operations.</w:t>
      </w:r>
    </w:p>
    <w:p>
      <w:pPr>
        <w:spacing w:after="0" w:line="159" w:lineRule="exact"/>
        <w:rPr>
          <w:sz w:val="20"/>
          <w:szCs w:val="20"/>
          <w:color w:val="auto"/>
        </w:rPr>
      </w:pPr>
    </w:p>
    <w:p>
      <w:pPr>
        <w:jc w:val="both"/>
        <w:ind w:left="180" w:firstLine="436"/>
        <w:spacing w:after="0" w:line="249" w:lineRule="auto"/>
        <w:rPr>
          <w:sz w:val="20"/>
          <w:szCs w:val="20"/>
          <w:color w:val="auto"/>
        </w:rPr>
      </w:pPr>
      <w:r>
        <w:rPr>
          <w:rFonts w:ascii="Times New Roman" w:cs="Times New Roman" w:eastAsia="Times New Roman" w:hAnsi="Times New Roman"/>
          <w:sz w:val="18"/>
          <w:szCs w:val="18"/>
          <w:color w:val="auto"/>
        </w:rPr>
        <w:t>We use AI, machine learning, and automated decision-making technologies, including AI and machine learning algorithms and models (collectively, “AI technologies”), to generate and surface insights to our Care Teams as part of our efforts to increase their efficiency and productivity and to power certain member-facing features of our programs intended to deliver only educational resources, recommendations, or support, in each case, for maintaining or encouraging a healthy lifestyle. We anticipate making significant investments to continuously improve our use of such technologies. There are significant risks involved in the development and deployment of AI technologies, and there can be no assurance that our or our third-party service providers’ or partners’ use of these technologies will perform as expected, enhance our products or services, or be beneficial to our business, including our efficiency or profitability. For example, the continued use of any AI technologies in our products and services, or those of our third-party service providers and partners, may give rise to risks related to, among other things, inaccurate, biased, or harmful recommendations, data privacy, confidentiality, cybersecurity and data provenance concerns, new or enhanced governmental or regulatory scrutiny, litigation or other legal liability, ethical concerns, negative perceptions as to AI among customers, channel partners, or members, and other complications that could erode confidence in our brand, harm our reputation, and adversely affect our business, financial condition, results of operations, and prospects. While we have instituted policies applicable to our Care Teams and other employees and consultants that govern the development and use of AI, these individuals may breach or violate the terms of these policies and we may not have adequate remedies for any such breach or violation. Further, our ability to continue to develop or use such technologies may be dependent on access to specific third-party software and infrastructure, such as processing hardware or third-party AI technologies, and we cannot control the availability or pricing of such third-party software and infrastructure, especially in a highly competitive environment. In addition, market acceptance and consumer perceptions of AI technologies is uncertain.</w:t>
      </w:r>
    </w:p>
    <w:p>
      <w:pPr>
        <w:spacing w:after="0" w:line="1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451"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We face significant competition from other companies with respect to utilizing AI technologies. To the extent AI technology development and utilization from our industry competitors proves to be successful, or more successful than our approach, demand for our programs, and thus our business, could be adversely affected. If we cannot develop, offer, or deploy new AI technologies as effectively, as quickly, and/or as cost-effectively as our competitors, or if we cannot access the infrastructure needed to continue our development, our operating results, relationships with customers and channel partners, and growth could be materially and adversely affected.</w:t>
      </w:r>
    </w:p>
    <w:p>
      <w:pPr>
        <w:spacing w:after="0" w:line="18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The rapid evolution of AI technologies will require the application of resources to develop, test, maintain, and improve our programs to help ensure that the AI technologies are, and remain, accurate and efficient. We expect our AI technology initiatives will over time require increased investment in technology infrastructure and may require additional specialized headcount. The continuous development, testing, maintenance, and deployment of our AI technologies may also increase the cost profile of our offerings and may involve unforeseen difficulties including material performance problems, undetected defects, or errors. We may encounter technical obstacles, and it is possible that we may discover additional problems that may prevent our AI technologies from operating properly, which could adversely affect our business.</w:t>
      </w:r>
    </w:p>
    <w:p>
      <w:pPr>
        <w:spacing w:after="0" w:line="187" w:lineRule="exact"/>
        <w:rPr>
          <w:sz w:val="20"/>
          <w:szCs w:val="20"/>
          <w:color w:val="auto"/>
        </w:rPr>
      </w:pPr>
    </w:p>
    <w:p>
      <w:pPr>
        <w:jc w:val="both"/>
        <w:ind w:left="180" w:firstLine="436"/>
        <w:spacing w:after="0" w:line="249" w:lineRule="auto"/>
        <w:rPr>
          <w:sz w:val="20"/>
          <w:szCs w:val="20"/>
          <w:color w:val="auto"/>
        </w:rPr>
      </w:pPr>
      <w:r>
        <w:rPr>
          <w:rFonts w:ascii="Times New Roman" w:cs="Times New Roman" w:eastAsia="Times New Roman" w:hAnsi="Times New Roman"/>
          <w:sz w:val="18"/>
          <w:szCs w:val="18"/>
          <w:color w:val="auto"/>
        </w:rPr>
        <w:t>The regulatory framework for AI is rapidly evolving, and many federal, state, and foreign governmental bodies and agencies have introduced and/or are currently considering additional laws and regulations. The Trump Administration has rescinded an executive order relating to the safe and secure development and deployment of AI technologies that was previously implemented by the Biden Administration. The Trump Administration then issued a new executive order that, among other things, requires certain agencies to develop and submit to the President action plans to “sustain and enhance America’s global AI dominance,” and to specifically review all rulemaking taken pursuant to the rescinded Biden executive order and, if possible, rescind any such rulemaking to the extent it is inconsistent with, or presents a barrier to, the Trump Administration’s new executive order. Thus, the Trump Administration may continue to rescind other existing federal orders and/or administrative policies relating to AI technologies or may implement new executive orders and/or other rulemaking relating to AI technologies in the future. Any such changes at the federal level could require us to expend significant resources to modify our programs, services, or operations to ensure compliance or remain competitive. U.S. legislation related to AI technologies has also been introduced at the federal level and is advancing at the state level. For example, the California Privacy Protection Agency is currently in the process of finalizing regulations under the California Consumer Privacy Act, as amended by the California Privacy Rights Act of 2018 (collectively, the “CCPA”), regarding the use of automated decision-making and providing disclosures to consumers regarding such use. California also enacted several new laws in 2024 that further regulate use of AI technologies and provide consumers with additional protections around companies’ use of AI technologies, such as requiring companies to disclose certain uses of generative AI. Other states have also passed AI-focused legislation, such as Colorado’s Artificial Intelligence Act, which will require developers and deployers of “high-risk” AI systems to implement certain safeguards against algorithmic discrimination, and Utah’s Artificial Intelligence Policy Act, which establishes disclosure requirements and accountability measures for the use of generative AI in certain consumer interactions. New laws, rules, directives, and regulations governing AI technologies and changes to existing ones may adversely affect the ability of our business to use or rely on certain AI technologies. Implementation standards and enforcement practice are likely to remain uncertain for the foreseeable future, and we cannot yet determine the impact future laws, regulations, standards, or perception of their requirements may have on our programs and our business. We may not always be able to anticipate how to respond to these new or updated laws or regulations, and they may affect our ability to use AI technologies. Further, the cost to comply with such laws or regulations, or decisions and/or guidance interpreting existing laws, including the redesign of our platform or programs to achieve compliance, could be significant and could increase our operating expenses, and we may be at increased risk of claims against us. Any actual or perceived failure to comply with evolving regulatory frameworks around the development and use of AI technologies could materially and adversely affect our brand, reputation, business, financial condition, results of operations, and prospects.</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80"/>
          </w:cols>
          <w:pgMar w:left="320" w:top="451"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senior leadership and key clinical, scientific, and technology employees and other service providers, our business may be materially and adversely affected.</w:t>
      </w:r>
    </w:p>
    <w:p>
      <w:pPr>
        <w:spacing w:after="0" w:line="15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leadership and clinical and scientific talent. We are highly dependent upon our senior leadership, particularly our Co-Founder and Chief Executive Officer, Sean Duffy, our President, Wei-Li Shao, and our Chief Financial Officer, Steve Cook, as well as our senior clinical, scientific, and technology employees and other service providers and other members of our senior management team. Mr. Duffy, Mr. Shao, Mr. Cook, and other members of our senior management team are at-will employees, which means that they could resign or be terminated for any reason at any time. The unplanned loss of the services of any of our members of senior leadership could materially and adversely affect our business until a suitable replacement can be found, which may not be immediate and could require us to expend significant resources.</w:t>
      </w:r>
    </w:p>
    <w:p>
      <w:pPr>
        <w:spacing w:after="0" w:line="189"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Competition for qualified talent in the digital health field in general is intense due to the limited number of individuals who possess the training, skills, and experience required by our industry. In addition, our future growth and success also depend on our ability to attract, recruit, develop, and retain skilled managerial, clinical, scientific, sales, administration, operating, and technical employees and other service providers. We will continue to review, and where necessary, strengthen, our senior leadership as the needs of our business develop, including through internal promotion and external hires. However, there may be a limited number of persons with the requisite competencies to serve in these positions, and we cannot assure you that we would be able to locate or employ such qualified talent on terms acceptable to us, or at all. Therefore, the unplanned loss of one or more of our key employees or other service providers, or our failure to attract and retain additional key employees or other service providers, could have a material adverse effect on our business, financial condition, results of operations, and prospects. In addition, to the extent we hire talent from competitors, we may be subject to allegations that such employees or other service providers have divulged proprietary or other confidential information.</w:t>
      </w:r>
    </w:p>
    <w:p>
      <w:pPr>
        <w:spacing w:after="0" w:line="189"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In addition, our success is dependent upon our continued ability to recruit and maintain the personnel for our member-facing Care Teams, composed of health coaches, relevant specialists, and licensed physical therapists. Our Care Teams are intended to remain with a member throughout their entire journey with Omada. If we are unable to recruit and retain Care Team personnel, our ability to provide continuity of care to our members may suffer, and our business may be adversely affected.</w:t>
      </w:r>
    </w:p>
    <w:p>
      <w:pPr>
        <w:spacing w:after="0" w:line="178"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rely largely on our direct sales force, and if we are unable to maintain or expand our sales force, it could impede our growth or harm our business.</w:t>
      </w:r>
    </w:p>
    <w:p>
      <w:pPr>
        <w:spacing w:after="0" w:line="15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rely largely on our direct sales force to market and sell our products to customers and channel partners. We do not have any long-term employment contracts with the members of our direct sales force. Our results of operations are directly dependent upon the sales and marketing efforts of our sales and customer support teams. If our employees fail to adequately promote, market, and sell our products, our sales could significantly decrease. If our sales and marketing representatives fail to achieve their objectives, we may not enter into agreements with new customers or channel partners or maintain existing agreements, and member enrollment could decrease or may not increase at levels that are in line with our forecasts. As we launch new programs, expand our program offerings, and increase our marketing efforts with respect to existing programs, we will need to expand the reach of our marketing and sales networks. Our future success will depend largely on our ability to continue to hire, train, retain, and motivate skilled employees with significant technical knowledge in various areas. New hires require training and take time to achieve full productivity.</w:t>
      </w:r>
    </w:p>
    <w:p>
      <w:pPr>
        <w:spacing w:after="0" w:line="185"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Additionally, other companies in our industry may rely predominantly or in part on third-party resellers or other distributors. Our direct sales force may subject us to higher fixed costs than those of any competitors that market their products through independent third parties, due to the costs associated with employee benefits, training, and managing sales personnel. As a result, we could be at a competitive disadvantage. Additionally, these fixed costs may slow our ability to reduce costs in the face of a sudden decline in demand for our programs, which could have a material adverse effect on our business, financial condition, results of operations, and prospects.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80"/>
          </w:cols>
          <w:pgMar w:left="320" w:top="451"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 decline in the prevalence of employer-sponsored healthcare could have a material adverse effect on our business, financial condition, results of operations, and prospects.</w:t>
      </w:r>
    </w:p>
    <w:p>
      <w:pPr>
        <w:spacing w:after="0" w:line="159" w:lineRule="exact"/>
        <w:rPr>
          <w:sz w:val="20"/>
          <w:szCs w:val="20"/>
          <w:color w:val="auto"/>
        </w:rPr>
      </w:pPr>
    </w:p>
    <w:p>
      <w:pPr>
        <w:jc w:val="both"/>
        <w:ind w:left="180" w:firstLine="436"/>
        <w:spacing w:after="0" w:line="266" w:lineRule="auto"/>
        <w:rPr>
          <w:sz w:val="20"/>
          <w:szCs w:val="20"/>
          <w:color w:val="auto"/>
        </w:rPr>
      </w:pPr>
      <w:r>
        <w:rPr>
          <w:rFonts w:ascii="Times New Roman" w:cs="Times New Roman" w:eastAsia="Times New Roman" w:hAnsi="Times New Roman"/>
          <w:sz w:val="17"/>
          <w:szCs w:val="17"/>
          <w:color w:val="auto"/>
        </w:rPr>
        <w:t>We currently derive a large portion of our revenue from our arrangements with customers that purchase healthcare for their employees (via insurance or self-funded benefit plans), either through direct contracts with us or through our relationships with our channel partners, including health plans, PBMs, and other resellers. These customers provide benefits for all or a portion of their employees who, in turn, may become eligible members. A large part of the demand for our programs among customers depends on the need of these employers to manage the costs of healthcare services that they pay on behalf of their employees. Various factors, including changes in the healthcare insurance market or in government regulation of the healthcare industry, could cause a decline in employer-sponsored healthcare, which could adversely affect the market for our programs and negatively affect our business and results of operations. Some experts have predicted that future healthcare reform will encourage employer-sponsored health insurance to become significantly less prevalent as employees migrate to obtaining their own insurance over state-sponsored insurance marketplaces. Other changes or developments in U.S. health insurance markets, including efforts to create a single-payer or government-run health insurance program, could also have a material adverse effect on our business, financial condition, results of operations, and prospects. If any of these changes were to occur, there is no guarantee that we would be able to compensate for the loss in revenue derived from customers by increasing member acquisition through other channels, and our business, financial condition, results of operations, and prospects could be materially and adversely affected.</w:t>
      </w:r>
    </w:p>
    <w:p>
      <w:pPr>
        <w:spacing w:after="0" w:line="175"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sales and implementation cycle can be long and unpredictable and requires considerable time and expense. As a result, our sales and revenue are difficult to predict and may vary substantially from period to period, which may cause our results of operations to fluctuate significantly.</w:t>
      </w:r>
    </w:p>
    <w:p>
      <w:pPr>
        <w:spacing w:after="0" w:line="159" w:lineRule="exact"/>
        <w:rPr>
          <w:sz w:val="20"/>
          <w:szCs w:val="20"/>
          <w:color w:val="auto"/>
        </w:rPr>
      </w:pPr>
    </w:p>
    <w:p>
      <w:pPr>
        <w:jc w:val="both"/>
        <w:ind w:left="180" w:firstLine="436"/>
        <w:spacing w:after="0" w:line="264" w:lineRule="auto"/>
        <w:rPr>
          <w:sz w:val="20"/>
          <w:szCs w:val="20"/>
          <w:color w:val="auto"/>
        </w:rPr>
      </w:pPr>
      <w:r>
        <w:rPr>
          <w:rFonts w:ascii="Times New Roman" w:cs="Times New Roman" w:eastAsia="Times New Roman" w:hAnsi="Times New Roman"/>
          <w:sz w:val="17"/>
          <w:szCs w:val="17"/>
          <w:color w:val="auto"/>
        </w:rPr>
        <w:t>The timing of our sales and related revenue recognition is difficult to predict because of the length and unpredictability of our sales cycle, particularly with respect to large organizations and government entities. The sales cycle for our programs from initial contact with a potential customer or channel partner to member enrollment launch varies widely, ranging in some cases to over a year. Some of our customers and channel partners, especially in the case of large organizations and government entities, undertake a significant and prolonged evaluation process, including to determine whether our programs meet their unique healthcare needs, which frequently involves evaluation of not only our programs but also other available solutions, which results in extended sales cycles. Our sales efforts involve educating our customers and channel partners about the ease of use, technical capabilities, and potential benefits of our programs. During the sales cycle, we expend significant time and money on sales and marketing activities, which lowers our operating margins, particularly if no sale occurs. For example, there may be unexpected delays in the internal procurement processes of our customers and channel partners, particularly for some larger organizations and government entities for which our programs represent a small percentage of their total procurement activity. There are many other customer-specific factors that contribute to the timing of purchases and resulting timing of our revenue recognition, including the strategic importance of a particular project to a customer or channel partner, budgetary constraints, funding authorization, and changes in their personnel. In addition, the significance and timing of our program enhancements and the introduction of new products or solutions by our competitors may also affect purchases. Even if a customer or channel partner decides to purchase our programs, there are many factors affecting the timing of our recognition of revenue, which makes our revenue difficult to forecast. For example, once a customer or channel partner enters into an agreement with us, we work with them to identify the eligible population and then launch an enrollment process. Time from signing to launch typically takes an average of approximately three months. As part of the enrollment process, we incur significant expense explaining the benefits of our programs again to potential members to encourage them to enroll. We do not receive any payment from our customers or channel partners until members enroll and begin using our programs, which could be months following signing an agreement for our programs. Moreover, our contracts with customers and channel partners generally may provide that some fees are subject to repayment if certain clinical outcomes or other performance criteria are not met. For all of these reasons, it is difficult to predict whether a sale will be completed, the particular period in which a sale will be completed, the period in which revenue from a sale will be recognized, or the amount of revenue that we will ultimately recognize.</w:t>
      </w:r>
    </w:p>
    <w:p>
      <w:pPr>
        <w:spacing w:after="0" w:line="3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80"/>
          </w:cols>
          <w:pgMar w:left="320" w:top="451" w:right="4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It is possible that in the future we may experience even longer sales cycles, more complex customer and channel partner needs, higher upfront sales costs, and less predictability in completing some of our sales as we continue to expand our direct sales force and channel partner relationships, expand into new territories, and market additional programs to potential customers and channel partners. If our sales cycle lengthens or our substantial upfront sales and implementation investments do not result in sufficient sales to justify our investments, our revenue could be lower than expected, and it could have a material adverse effect on our business, financial condition, results of operations, and prospects.</w:t>
      </w:r>
    </w:p>
    <w:p>
      <w:pPr>
        <w:spacing w:after="0" w:line="179" w:lineRule="exact"/>
        <w:rPr>
          <w:sz w:val="20"/>
          <w:szCs w:val="20"/>
          <w:color w:val="auto"/>
        </w:rPr>
      </w:pPr>
    </w:p>
    <w:p>
      <w:pPr>
        <w:jc w:val="both"/>
        <w:ind w:left="180" w:right="20"/>
        <w:spacing w:after="0" w:line="312" w:lineRule="auto"/>
        <w:rPr>
          <w:sz w:val="20"/>
          <w:szCs w:val="20"/>
          <w:color w:val="auto"/>
        </w:rPr>
      </w:pPr>
      <w:r>
        <w:rPr>
          <w:rFonts w:ascii="Times New Roman" w:cs="Times New Roman" w:eastAsia="Times New Roman" w:hAnsi="Times New Roman"/>
          <w:sz w:val="17"/>
          <w:szCs w:val="17"/>
          <w:b w:val="1"/>
          <w:bCs w:val="1"/>
          <w:i w:val="1"/>
          <w:iCs w:val="1"/>
          <w:color w:val="auto"/>
        </w:rPr>
        <w:t>Any failure to offer high-quality support for our customers, channel partners, and members may adversely affect our relationships with our existing and prospective customers, channel partners, and members and, in turn, our business, financial condition, results of operations, and prospects.</w:t>
      </w:r>
    </w:p>
    <w:p>
      <w:pPr>
        <w:spacing w:after="0" w:line="137"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Our customers and channel partners, in implementing our programs, and our members, in using our programs, depend on our support teams to resolve issues in a timely manner. We may be unable to respond quickly enough to accommodate short-term increases in demand for support. We also may be unable to modify the nature, scope, and delivery of our programs or support for customers, channel partners, and members to compete with changes in solutions provided by our competitors. Increased demand for support could increase costs and adversely affect our financial condition, results of operations, and prospects. Our sales are highly dependent on our reputation and on positive recommendations from our existing customers, channel partners, and members. Any failure to maintain high-quality support, or a market perception that we do not maintain high-quality customer or member support, could adversely affect our reputation and our ability to sell our programs and, in turn, our business, financial condition, results of operations, and prospects.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widespread brand awareness cost-effectively or are subject to widespread negative media coverage, our business may suffer.</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We believe that developing and maintaining widespread awareness of our brand in a cost-effective manner is critical to achieving widespread adoption of our programs and attracting new customers, channel partners, and members. Our brand promotion activities may not generate awareness among customers, channel partners, or members or increase revenue, and even if they do, any increase in revenue may not offset the expenses we incur in building our brand. If we fail to successfully promote and maintain our brand, or incur substantial expenses in doing so, we may fail to attract or retain customers, channel partners, or members necessary to realize a sufficient return on our brand-building efforts or to achieve the widespread brand awareness that is critical for broad adoption of our programs.</w:t>
      </w:r>
    </w:p>
    <w:p>
      <w:pPr>
        <w:spacing w:after="0" w:line="187"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In addition, unfavorable publicity regarding us or our management, our business, our programs, our peer reviewed publications or studies, the healthcare industry generally and/or virtual care providers specifically, litigation or regulatory activity, or our data privacy, cybersecurity, AI, or safety practices, or those of our business partners or other participants in our industry, could materially and adversely affect our reputation. For example, news media outlets may from time to time provide negative coverage regarding virtual care, including with respect to the effectiveness of virtual care programs. If public perception is influenced by claims that virtual care programs are not effective for treating chronic conditions, whether related to our programs or those of our competitors, our programs may not be accepted by potential customers, channel partners, or members. Moreover, negative publicity regarding the virtual care industry generally may result in increased regulation and legislative review of industry practices that further increase the costs of doing business. Any negative media coverage or public perceptions about us or our industry, regardless of the accuracy of such reporting or perceptions, may have an adverse impact on our business and reputation, as well as have an adverse effect on our ability to attract and retain customers, channel partners, members, or employees, and result in decreased revenue, which could materially and adversely affect our business, financial condition, results of operations, and prospects.</w:t>
      </w:r>
    </w:p>
    <w:p>
      <w:pPr>
        <w:spacing w:after="0" w:line="1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80"/>
          </w:cols>
          <w:pgMar w:left="320" w:top="451"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develop and release new programs and services or to develop and release successful enhancements to, new features for, and modifications to our existing programs, services, and platform, our business, financial condition, results of operations, and prospects could be materially and adversely affected.</w:t>
      </w:r>
    </w:p>
    <w:p>
      <w:pPr>
        <w:spacing w:after="0" w:line="173"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The markets in which we operate are characterized by rapid technological change, frequent new product and service introductions and enhancements, changing demands from customers and channel partners, updates to clinical guidelines and best practices, and evolving industry standards. The introduction of new drugs, changes in clinical guidelines or healthcare benefits, or the evolution of products and services embodying new technologies can quickly make existing products and services obsolete and unmarketable. In particular, the rapid pace of innovation in AI and machine learning can lead to the development of new, improved, or more cost-effective solutions that could render our programs and offerings less competitive or obsolete. Additionally, changes in laws and regulations could impact the usefulness of our programs and could necessitate changes or modifications to our programs to accommodate such changes.</w:t>
      </w:r>
    </w:p>
    <w:p>
      <w:pPr>
        <w:spacing w:after="0" w:line="189" w:lineRule="exact"/>
        <w:rPr>
          <w:sz w:val="20"/>
          <w:szCs w:val="20"/>
          <w:color w:val="auto"/>
        </w:rPr>
      </w:pPr>
    </w:p>
    <w:p>
      <w:pPr>
        <w:jc w:val="both"/>
        <w:ind w:left="180" w:firstLine="436"/>
        <w:spacing w:after="0" w:line="248" w:lineRule="auto"/>
        <w:rPr>
          <w:sz w:val="20"/>
          <w:szCs w:val="20"/>
          <w:color w:val="auto"/>
        </w:rPr>
      </w:pPr>
      <w:r>
        <w:rPr>
          <w:rFonts w:ascii="Times New Roman" w:cs="Times New Roman" w:eastAsia="Times New Roman" w:hAnsi="Times New Roman"/>
          <w:sz w:val="18"/>
          <w:szCs w:val="18"/>
          <w:color w:val="auto"/>
        </w:rPr>
        <w:t>We invest substantial resources in researching and developing new programs and enhancing our programs and platform by incorporating additional features, improving functionality, and adding other improvements to meet market demands and our members’ evolving needs. The success of any enhancements or improvements to our platform, programs, or any new programs depends on several factors, including timely completion, competitive pricing, adequate quality testing, integration with new and existing technologies in our programs platform and third-party partners’ technologies, clinical results, cost effectiveness, and overall market acceptance. Our development of programs also depends on rights or interests in certain intellectual property, which we or third parties on which we rely may own or license. We may not succeed in developing, marketing, and delivering on a timely and cost-effective basis enhancements or improvements to our platform, programs, or any new programs that respond to continued changes in market demands or new requirements from customers or channel partners, and any enhancements or improvements to our platform, programs, or any new programs may not achieve market acceptance or may otherwise be negatively impacted by third-party actions that are outside of our control. For example, we have developed GLP-1 Care Tracks to support members who are engaged in one of our cardiometabolic programs to enable their success before, during, and after GLP-1 therapy. The GLP-1 therapeutic space is new and rapidly evolving, and actions by employers, health plans, PBMs, pharmaceutical companies, and other third parties, including federal, state, or local governments, could negatively impact the adoption of our GLP-1 Care Tracks. For example, if pharmaceutical companies restrict cost rebates or other incentives for GLP-1s for employers who place conditions on the use of GLP-1s (such as participation in our program), market acceptance of our GLP-1 Care Tracks could be materially and adversely affected. Conversely, certain health plans, PBMs, employers, or other customers or channel partners may require that members enroll in, and engage with, one of our GLP-1 Care Tracks as a condition of receiving GLP-1 prescriptions. When health plans, PBMs, employers, or other customers or channel partners require that members enroll in, and engage with, one of our GLP-1 Care Tracks as a condition of receiving GLP-1 prescriptions, we may provide data reporting that those customers and channel partners use in their review or adjudication of prescription requests. If our data reporting systems or processes are delayed, disrupted, or otherwise fail to work as intended, the prescription processes of our customers and channel partners may be negatively affected, which may result in delayed prescriptions, which in turn could cause member harm or materially and adversely impact our relationships with customers and channel partners. Although, as of December 31, 2024, FDA-approved labels guided that GLP-1 therapies prescribed in adults for obesity or chronic weight management should be prescribed concurrently with a behavioral and lifestyle treatment plan, members could react negatively to these requirements. Although these conditions are not imposed by Omada directly, members could nevertheless attribute these requirements to us and develop a negative perception of us or our programs and our business, which could harm our brand and reputation. Moreover, if the use of GLP-1 therapy for weight loss receives negative publicity and/or one or more GLP-1s are determined to be harmful, the use of GLP-1s for weight loss could decline, which would reduce demand for our GLP-1 Care Tracks and, in turn, our business, financial condition, results of operations, and prospects may be materially and adversely affected.</w:t>
      </w:r>
    </w:p>
    <w:p>
      <w:pPr>
        <w:spacing w:after="0" w:line="14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80"/>
          </w:cols>
          <w:pgMar w:left="320" w:top="451"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firstLine="436"/>
        <w:spacing w:after="0" w:line="251" w:lineRule="auto"/>
        <w:rPr>
          <w:sz w:val="20"/>
          <w:szCs w:val="20"/>
          <w:color w:val="auto"/>
        </w:rPr>
      </w:pPr>
      <w:r>
        <w:rPr>
          <w:rFonts w:ascii="Times New Roman" w:cs="Times New Roman" w:eastAsia="Times New Roman" w:hAnsi="Times New Roman"/>
          <w:sz w:val="18"/>
          <w:szCs w:val="18"/>
          <w:color w:val="auto"/>
        </w:rPr>
        <w:t>Since developing our platform and programs and acquiring new technologies is complex, the timetable for the release of new programs and enhancements to existing programs and our platform is difficult to predict, and we may not offer new programs and updates to existing programs and our platform as rapidly as our customers or channel partners require or expect. Any new programs or updates to our platform that we develop or acquire may not be introduced in a timely or cost-effective manner, may contain errors or defects, or may not achieve the broad market acceptance necessary to generate sufficient revenue. Moreover, even if we introduce new programs, we may experience a decline in revenue of our existing programs that is not offset by revenue from the new programs. For example, customers and channel partners may delay making purchases of new programs to permit them to make a more thorough evaluation of these programs or until industry and marketplace reviews become widely available. Some customers or channel partners may hesitate to migrate to a new platform or program due to concerns regarding the performance of the new platform or program. This could result in a temporary or permanent revenue shortfall and materially and adversely affect our business, financial condition, results of operations, and prospects.</w:t>
      </w:r>
    </w:p>
    <w:p>
      <w:pPr>
        <w:spacing w:after="0" w:line="182"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To the extent we expand internationally we will face additional business, political, regulatory, operational, financial, and economic risks, any of which could increase our costs, hinder our growth, and harm our business, financial condition, results of operations, and prospects.</w:t>
      </w:r>
    </w:p>
    <w:p>
      <w:pPr>
        <w:spacing w:after="0" w:line="159"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Historically, substantially all of our sales have been to customers and channel partners in the U.S. Expanding our business to attract customers, channel partners, and members in countries other than the U.S. in the future may be an element of our long-term business strategy and, to the extent we enter into international markets in the future, there are significant costs and risks inherent in conducting business in international markets. In addition, expansion into foreign markets would impose additional burdens on our executive and administrative personnel, finance, and legal teams, research and marketing teams, and general managerial resources. If we expand, or attempt to expand, into foreign markets, we will be subject to new business and regulatory risks, including:</w:t>
      </w:r>
    </w:p>
    <w:p>
      <w:pPr>
        <w:spacing w:after="0" w:line="214" w:lineRule="exact"/>
        <w:rPr>
          <w:sz w:val="20"/>
          <w:szCs w:val="20"/>
          <w:color w:val="auto"/>
        </w:rPr>
      </w:pPr>
    </w:p>
    <w:p>
      <w:pPr>
        <w:jc w:val="both"/>
        <w:ind w:left="1140" w:right="20" w:hanging="539"/>
        <w:spacing w:after="0" w:line="262"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data protection, and AI-related laws and regulations, export and import restrictions, employment laws, regulatory requirements, and other governmental approvals, permits, and licenses, which may be more difficult to comply with than U.S. laws and regulations;</w:t>
      </w:r>
    </w:p>
    <w:p>
      <w:pPr>
        <w:spacing w:after="0" w:line="203"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approvals or clearances where required for the sale of our programs and the delivery of connected devices provided in connection with our programs in various countries;</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management, infrastructure, and legal compliance costs associated with having customers, channel partners, and members in multiple jurisdictions;</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maintain data and the processing of that data on servers located within the U.S. or in such other countries;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and enforcing our intellectual property rights;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payer reimbursement regimes, including government payers;</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our wireless scales, blood pressure monitors, blood glucose monitors, and other connected devices and supplies;</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companies with significant market share in international markets and with a better understanding of user preferences in such markets;</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effect of local and regional financial pressures on demand and payment for our programs, and exposure to foreign currency exchange rate fluctuations;</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80"/>
          </w:cols>
          <w:pgMar w:left="320" w:top="451"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140" w:hanging="539"/>
        <w:spacing w:after="0" w:line="277"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political unrest, public health threats or outbreaks of disease (including a pandemic similar to the COVID-19 pandemic), boycotts, curtailment of trade, and other market restrictions; and</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subject to regulation under the Foreign Corrupt Practices Act (the “FCPA”).</w:t>
      </w:r>
    </w:p>
    <w:p>
      <w:pPr>
        <w:spacing w:after="0" w:line="163"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Our ability to continue to expand our business and to attract talented employees, customers, channel partners, and members in various international markets will require considerable management attention and resources and is subject to the challenges of supporting a rapidly growing business in an environment of multiple languages, cultures, customs, legal systems, alternative dispute resolution systems, regulatory systems, and commercial infrastructures. We have limited experience with regulatory environments and market practices internationally, and we may not be able to penetrate or successfully operate in new markets. We may also encounter difficulty expanding into international markets because of limited brand recognition in certain parts of the world, leading to delayed acceptance of our programs by customers and channel partners in these international markets. If we are unable to expand internationally and manage the complexity of international operations successfully, it could have a material adverse effect on our business, financial condition, results of operations, and prospects. If our efforts to introduce our products into foreign markets are not successful, we may have expended significant resources without realizing the expected benefit. Ultimately, the investment required for expansion into foreign markets could exceed the results of operations generated from this expansion.</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execute on our growth initiatives, business strategies, or operating plans.</w:t>
      </w:r>
    </w:p>
    <w:p>
      <w:pPr>
        <w:spacing w:after="0" w:line="224"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We are continually executing on growth initiatives, strategies, and operating plans designed to enhance our business and enhance the efficacy of our programs, which may include expanding our programs to address additional chronic conditions. The anticipated benefits from these efforts are based on several assumptions that may prove to be inaccurate. Moreover, we may not be able to successfully complete these growth initiatives, strategies, and operating plans and realize all of the benefits, including growth targets and cost savings, that we expect to achieve or it may be more costly to do so than we anticipate. A variety of risks could cause us not to realize some or all of the expected benefits, including delays in the anticipated timing of activities related to such growth initiatives, strategies, and operating plans, increased difficulty and cost in implementing these efforts, including difficulties in complying with changing regulatory requirements, and the incurrence of other unexpected costs associated with operating our business. Moreover, our continued implementation of these programs may disrupt our operations and performance. As a result, we cannot assure you that we will realize these benefits.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our business, financial condition, results of operations, and prospects may be materially and adversely affected.</w:t>
      </w:r>
    </w:p>
    <w:p>
      <w:pPr>
        <w:spacing w:after="0" w:line="189"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the licensed physical therapists who provide services to our members are characterized as employees, our business, financial condition, and results of operations could be materially and adversely affected.</w:t>
      </w:r>
    </w:p>
    <w:p>
      <w:pPr>
        <w:spacing w:after="0" w:line="15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enter into agreements with a professional corporation, Physera Physical Therapy Group, PC (“PPTG”), which enters into contracts with licensed physical therapists pursuant to which they render professional services to our members. PPTG typically engages most of these physical therapists as independent contractors, not employees.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Although we believe that these physical therapists are properly characterized as independent contractors, tax or other regulatory authorities may in the future challenge our characterization of these relationships. If such regulatory authorities or state, federal, or foreign courts were to determine that these providers or experts are employees and not independent contractors, PPTG would be required to withhold income taxes, to withhold and pay social security,</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80"/>
          </w:cols>
          <w:pgMar w:left="320" w:top="451"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Medicare, and similar taxes and to pay unemployment and other related payroll taxes. PPTG would also be liable for unpaid past taxes and subject to penalties and could also potentially face claims for overtime or benefits. The costs of defending, settling, or resolving any claims relating to the independent contractor status of the physical therapists could be material. Further, any such reclassification could force us to restructure our relationship with PPTG, could force PPTG to modify its relationships with physical therapists, and could add complexity to our business model. As a result, any determination that these physical therapists are employees could have a material adverse effect on our business, financial condition, and results of operations.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Risks Relating to Cybersecurity, Information Systems, and Intellectual Property</w:t>
      </w:r>
    </w:p>
    <w:p>
      <w:pPr>
        <w:spacing w:after="0" w:line="220" w:lineRule="exact"/>
        <w:rPr>
          <w:sz w:val="20"/>
          <w:szCs w:val="20"/>
          <w:color w:val="auto"/>
        </w:rPr>
      </w:pPr>
    </w:p>
    <w:p>
      <w:pPr>
        <w:jc w:val="both"/>
        <w:ind w:left="1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(“IT”) systems and those of our affiliated professional entities, or those used by our third-party service providers, vendors, business partners, or other contractors or consultants, may fail or suffer cybersecurity incidents, data breaches, and other disruptions, which could result in a material disruption of our systems or programs, compromise confidential information related to our business or of our customers or channel partners, including protected health information (“PHI”) and other sensitive or personal information of employees, covered individuals, and members, or prevent us from accessing critical information, potentially exposing us to liability or otherwise materially and adversely affecting our business, financial condition, results of operations, and prospects.</w:t>
      </w:r>
    </w:p>
    <w:p>
      <w:pPr>
        <w:spacing w:after="0" w:line="186"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increasingly dependent on IT systems and infrastructure to operate our business, including our member-facing mobile and web-based applications, any customer-facing aspects of our platform, and the systems we use for our own operations. In the ordinary course of our business, we collect, store, and transmit large amounts of confidential information, including intellectual property, proprietary business information, and personal information (including PHI) of our affiliated professional entities, customers, channel partners, members, employees (including with respect to our self-insured ERISA plans), consultants, contractors, third-party payers, business partners, and others. We have also outsourced elements of our IT systems and infrastructure, and as a result, a number of third-party service providers and vendors have access to our confidential information, the confidential information of customers and channel partners, and/or sensitive or personal information of covered individuals and members. We cannot conduct audits or formal evaluations of all aspects of all of our third-party service providers’ and vendors’ IT systems, and even where we do conduct audits or evaluations, we cannot be sure that our audits or evaluations will be comprehensive or that third-party service providers and vendors have sufficient measures in place to ensure the confidentiality, integrity, and availability of their IT systems and confidential information.</w:t>
      </w:r>
    </w:p>
    <w:p>
      <w:pPr>
        <w:spacing w:after="0" w:line="193"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We face evolving cybersecurity risks that threaten the confidentiality, integrity, and availability of our IT systems and those of our affiliated professional entities, third-party service providers, vendors, business partners, and other contractors or consultants, and confidential information and data stored therein, including from diverse threat actors and attack vectors, including attack, damage, and interruption from computer viruses and malware (e.g., ransomware), natural disasters, terrorism, war, telecommunication, network, and electrical failures, hacking, cyberattacks, phishing attacks, and other social engineering schemes, malicious code, employee theft or misuse, human or technological error, fraud, denial or degradation of service attacks, sophisticated nation-state and nation-state-supported actors, or unauthorized access or use by persons inside our organization, or persons with access to systems inside our organization. These risks may be exacerbated in the remote work environment. Moreover, the risk of a cybersecurity incident,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Due to the recent Russia-Ukraine conflict, there have been publicized threats to increase hacking activity against the critical infrastructure of any nation or organization that is supportive of Ukraine. Cyberattacks are expected to continue to accelerate on a global basis in frequency and magnitude as threat actors are becoming increasingly sophisticated in using techniques and tools—including AI—that circumvent security controls, evade detection, and remove or obfuscate forensic evidence.</w:t>
      </w:r>
    </w:p>
    <w:p>
      <w:pPr>
        <w:spacing w:after="0" w:line="1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80"/>
          </w:cols>
          <w:pgMar w:left="320" w:top="451"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The costs to us to investigate and mitigate information security incidents including bugs, viruses, worms, malicious software programs, inadvertent exposure of confidential information or security incidents arising from human or technological error, and other causes of security vulnerabilities could be significant, and while we have implemented certain cybersecurity measures designed to protect the confidentiality, integrity, and availability of confidential information and our IT systems, including from system failure, accident, and security breach, there can be no assurance that our cybersecurity risk management program and processes will be fully implemented, complied with, or effective. The techniques used to obtain unauthorized access to, or to sabotage, systems change frequently and often are not recognized until launched against a target, and we may be unable to anticipate these techniques or implement adequate preventative measures. Even if identified, we may be unable to adequately investigate or remediate incidents or breaches. We may also experience security breaches that may remain undetected for an extended period. Any security incident or other adverse impact to the availability, integrity, or confidentiality of our information systems or confidential information could result in unexpected interruptions, delays, disruption of our programs and our business operations, cessation of service, negative publicity and reputational impacts, significant financial liability to our members, customers, channel partners, regulators, or others, loss of customers or channel partners, loss of members, and other harm to our business and our competitive position, whether due to a loss of our trade secrets or other proprietary information or other disruptions.</w:t>
      </w:r>
    </w:p>
    <w:p>
      <w:pPr>
        <w:spacing w:after="0" w:line="189" w:lineRule="exact"/>
        <w:rPr>
          <w:sz w:val="20"/>
          <w:szCs w:val="20"/>
          <w:color w:val="auto"/>
        </w:rPr>
      </w:pPr>
    </w:p>
    <w:p>
      <w:pPr>
        <w:jc w:val="both"/>
        <w:ind w:left="180" w:firstLine="436"/>
        <w:spacing w:after="0" w:line="249" w:lineRule="auto"/>
        <w:rPr>
          <w:sz w:val="20"/>
          <w:szCs w:val="20"/>
          <w:color w:val="auto"/>
        </w:rPr>
      </w:pPr>
      <w:r>
        <w:rPr>
          <w:rFonts w:ascii="Times New Roman" w:cs="Times New Roman" w:eastAsia="Times New Roman" w:hAnsi="Times New Roman"/>
          <w:sz w:val="18"/>
          <w:szCs w:val="18"/>
          <w:color w:val="auto"/>
        </w:rPr>
        <w:t>We and certain of our third-party service providers and vendors are from time to time subject to cyberattacks and security incidents. For example, Delta Dental of California and affiliates, a dental insurance carrier for employees enrolled in our self-insured ERISA plan, was impacted by a security incident in May 2023 resulting from a vulnerability in a third-party file transfer software, MOVEit, that compromised certain of our employees’ personal information, but did not materially impact our business or operations. Further, in February 2024, Change Healthcare, an insurance claims processing vendor, experienced a cyberattack forcing the shutdown of its claims processing systems and potentially exposing sensitive data (the “Change Healthcare Incident”). Based on information shared to date, we do not believe the Change Healthcare Incident has materially affected our business, operations, or data. We do, however, rely on similar service providers and clearinghouses to process eligibility for certain of our members and their claims. Any cybersecurity incident, outage, or interruption impacting the systems of such service providers and clearinghouses could result in delays in our ability to process insurance claims, collect payments, and confirm insurance eligibility for members and require us to turn to alternative channels for such services, which may not be available on commercially reasonable terms, or be able to be accessed or implemented in a timely manner. While we do not believe that we have experienced any significant system failure, accident, or security breach to date, if we, our affiliated professional entities, service providers, vendors, business partners, other contractors, or consultants were to experience a significant cybersecurity breach of our or their IT systems or data or other significant cybersecurity incident, the costs associated with the incident response, investigation, system restoration or remediation, notification to customers and channel partners, regulators, and others, and future compliance costs could be material. In addition, our remediation efforts, or those of our vendors or service providers, may not be successful. Any cybersecurity incident affecting us, our affiliated professional entities, service providers, vendors, business partners, other contractors, consultants, or our industry, whether real or perceived, could harm our reputation, erode confidence in the effectiveness of our security measures, and lead to regulatory scrutiny. We could incur or be exposed to potential liability, including class action and other litigation exposure. There can be no assurance that provisions typically included in our terms with members or in our agreements with our customers and channel partners that attempt to limit exposure to legal claims would be enforceable or adequate or would protect us from liabilities or damages. Even if a claim is not successful, any claim brought against us would likely be time-consuming and costly to defend and could seriously damage our reputation, brand, or business. Any cybersecurity incident affecting us could also subject us to regulatory action, investigation, or enforcement action, any of which could potentially result in penalties, fines, and significant legal liability. In addition, our competitive position could be harmed, and the further development and commercialization of our programs could be delayed. Any or all of the foregoing could materially and adversely affect our business, financial condition, results of operations, and prospects.</w:t>
      </w:r>
    </w:p>
    <w:p>
      <w:pPr>
        <w:spacing w:after="0" w:line="1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80"/>
          </w:cols>
          <w:pgMar w:left="320" w:top="451" w:right="4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49" w:lineRule="auto"/>
        <w:rPr>
          <w:sz w:val="20"/>
          <w:szCs w:val="20"/>
          <w:color w:val="auto"/>
        </w:rPr>
      </w:pPr>
      <w:r>
        <w:rPr>
          <w:rFonts w:ascii="Times New Roman" w:cs="Times New Roman" w:eastAsia="Times New Roman" w:hAnsi="Times New Roman"/>
          <w:sz w:val="18"/>
          <w:szCs w:val="18"/>
          <w:color w:val="auto"/>
        </w:rPr>
        <w:t>We have contractual and legal obligations to notify relevant stakeholders of certain cybersecurity incidents and data breaches. Most jurisdictions have enacted laws requiring companies to notify individuals, regulatory authorities, and others (including, in certain cases, the media) of cybersecurity incidents or data breaches involving certain types or quantities of data. For example, following the completion of this offering, we will be subject to an increasing number of reporting obligations in respect of material cybersecurity incidents. These reporting requirements have been proposed or implemented by a number of regulators in different jurisdictions, may vary in their scope and application, and could contain conflicting requirements. Certain of these rules and regulations may require us to report a cybersecurity incident before we have been able to fully assess its impact, or contain and remediate the underlying issue. Efforts to comply with such reporting requirements could divert management’s attention from our incident response and could potentially reveal system vulnerabilities to threat actors. Failure to timely report incidents under these rules could also result in monetary fines, sanctions, or subject us to other forms of liability. Such mandatory disclosures are costly, could lead to negative publicity, may cause our customers, channel partners, or members to lose confidence in the effectiveness of our security measures, and require us to expend significant capital and other resources to respond to, or alleviate problems caused by, the actual or perceived cybersecurity incident or data breach and otherwise comply with the multitude of foreign, federal, state, and local laws and regulations relating to the unauthorized access to, or use or disclosure of, personal information (including PHI). Because we utilize third-party vendors and service providers, such as AWS and other cloud services that support our member-facing mobile and web-based applications, customer-facing aspects of our platform, and our own internal operations, successful cyberattacks that disrupt or result in unauthorized access to third-party IT systems can materially impact our operations and financial results. Such third parties, and the services they provide, which may be outside of our direct control, are subject to the same risk of experiencing, and have experienced, outages, other failures, and security breaches described above. Further, if we or our third-party vendors or service providers fail to detect or remediate in a timely manner a cybersecurity incident or an incident that otherwise affects a large amount of data of one or more customers or channel partners, or if we suffer an incident that impacts our ability to operate our programs, we may suffer damage to our reputation and our brand, and our business, financial condition, results of operations, and prospects may be materially and adversely affected.</w:t>
      </w:r>
    </w:p>
    <w:p>
      <w:pPr>
        <w:spacing w:after="0" w:line="19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Further, although we maintain insurance coverage, our insurance coverage may not cover all or any costs and liabilities incurred in relation to a cybersecurity incident or data breach, including indemnification obligations or other liabilities.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our platform, grow the number of customers, channel partners, and members that we serve, and process, store, and transmit increasingly large amounts of proprietary, sensitive and other confidential information.</w:t>
      </w:r>
    </w:p>
    <w:p>
      <w:pPr>
        <w:spacing w:after="0" w:line="179" w:lineRule="exact"/>
        <w:rPr>
          <w:sz w:val="20"/>
          <w:szCs w:val="20"/>
          <w:color w:val="auto"/>
        </w:rPr>
      </w:pPr>
    </w:p>
    <w:p>
      <w:pPr>
        <w:jc w:val="both"/>
        <w:ind w:left="180"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proprietary technology may not operate properly, which could damage our reputation, give rise to claims against us, or divert application of our resources from other purposes, any of which could materially and adversely harm our business, financial condition, results of operations, and prospects.</w:t>
      </w:r>
    </w:p>
    <w:p>
      <w:pPr>
        <w:spacing w:after="0" w:line="173"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Proprietary software development is time-consuming, expensive, and complex, and may involve unforeseen difficulties. Technical obstacles, problems, or design defects may prevent our proprietary technology from operating properly. If our platform or programs do not function reliably, malfunction, or fail to achieve the expectations of our customers, channel partners, or members in terms of performance, our customers, channel partners, members, or other business partners could assert liability claims against us, our customers, channel partners, and other business partners could attempt to cancel their contracts with us, or our members could disenroll from our programs. There can be no assurance that provisions typically included in our agreements with customers, channel partners, or other business partners or in our user agreements with members that attempt to limit our exposure to claims would be enforceable or adequate or would otherwise protect us from liabilities or damages with respect to any particular claim. Even if unsuccessful, a claim brought against us by any of our customers, channel partners, members, or other business partners would likely be time-consuming and costly to defend and could seriously damage our reputation and brand and impair our ability to attract or maintain business.</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80"/>
          </w:cols>
          <w:pgMar w:left="320" w:top="451"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The software underlying our platform is highly complex and may contain undetected errors or vulnerabilities, some of which may only be discovered after the code has been used by our members or other third parties. Any real or perceived errors, failures, bugs, malicious code, or other vulnerabilities discovered in our code or in open source or commercial software that may be integrated into our (or our vendors’ and service providers’) software could result in negative publicity and damage to our reputation, loss of customers and channel partners, loss of members, loss of, or delay in, market acceptance of our programs, loss of competitive position, loss of revenue, or liability for damages, overpayments, and/or underpayments, any of which could harm our member enrollment rates or cause us to lose members. Similarly, any real or perceived errors, failures, design flaws, or defects in the connected devices or other supplies provided in connection with our programs could have similar negative results. In such an event, we may be required or may choose to divert resources from other purposes or expend additional resources in order to help correct the problem. Such efforts could be costly, or ultimately unsuccessful. Even if we are successful at remediating any issues, we may experience damage to our reputation and brand, and our business, financial condition, results of operations, and prospects could be materially and adversely harmed.</w:t>
      </w:r>
    </w:p>
    <w:p>
      <w:pPr>
        <w:spacing w:after="0" w:line="182"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upon the interoperability of our programs and related connected devices across a number of devices, operating systems, and third-party applications that we do not control.</w:t>
      </w:r>
    </w:p>
    <w:p>
      <w:pPr>
        <w:spacing w:after="0" w:line="159"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Our platform relies in part on interoperability with a range of diverse devices, operating systems, and third-party applications. We are dependent on the accessibility of our programs and related connected devices across these third-party operating systems and applications that we do not control. Third-party services and products are constantly evolving, and we may not be able to modify our platform to assure its compatibility with that of other third parties following development changes. Should the interoperability of our platform, programs, and related connected devices across devices, operating systems, and third-party applications decrease, or if our members are unable to easily and seamlessly access our applications or information stored in our platform, our business, financial condition, results of operations, and prospects could be materially and adversely harmed.</w:t>
      </w:r>
    </w:p>
    <w:p>
      <w:pPr>
        <w:spacing w:after="0" w:line="183" w:lineRule="exact"/>
        <w:rPr>
          <w:sz w:val="20"/>
          <w:szCs w:val="20"/>
          <w:color w:val="auto"/>
        </w:rPr>
      </w:pPr>
    </w:p>
    <w:p>
      <w:pPr>
        <w:jc w:val="both"/>
        <w:ind w:left="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continued and unimpeded access to Internet or mobile connections for our programs and the related connected devices. If we or our members experience disruptions in service or if Internet or mobile service providers are able to block, degrade, or charge for access to our programs or the functionality of connected devices provided in connection with our programs, we could incur additional expenses and the loss of members.</w:t>
      </w:r>
    </w:p>
    <w:p>
      <w:pPr>
        <w:spacing w:after="0" w:line="179"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We depend on the ability of our members to access the Internet and/or mobile connections. Currently, this access is provided by companies that have significant market power in the mobile, broadband, and Internet access marketplace, including incumbent telephone companies, cable companies, mobile communications companies, government-owned service providers, device manufacturers, and operating system providers, any of whom could take actions that restrict, degrade, disrupt, or increase the cost of member access to our programs and the functionality of connected devices that we provide in connection with our programs, which would, in turn, negatively impact our business. The adoption of any laws or regulations that adversely affect the growth, popularity, or use of the Internet or mobile connections, including laws or practices limiting Internet neutrality, could decrease the demand for, or the usage of, our programs, increase our cost of doing business, and adversely affect our results of operations. See “—Changes in the regulation of the Internet could adversely affect our business.” We also rely on other companies to maintain reliable network systems that provide adequate speed, data capacity, and security to us and our members. As Internet and mobile device usage continue to experience growth in the number of users, frequency of use, and amount of data transmitted, the infrastructure that we and our members rely on may be unable to support the demands placed upon it. The failure of the infrastructure that we or our members rely on, even for a short period of time, could undermine our operations and harm our business, financial condition, results of operations, and prospects.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80"/>
          </w:cols>
          <w:pgMar w:left="320" w:top="451"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proprietary technology, and if we are unable to obtain, maintain, or successfully enforce our intellectual property rights, the commercial value of our programs will be adversely affected, and our competitive position, business, financial condition, results of operations, and prospects could be materially and adversely affected.</w:t>
      </w:r>
    </w:p>
    <w:p>
      <w:pPr>
        <w:spacing w:after="0" w:line="17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Our success and ability to compete may depend in part on our ability to maintain and enforce existing intellectual property rights and to obtain, maintain, and enforce further intellectual property protection for our programs, both in the U.S. and in other countries. We attempt to protect our intellectual property rights through a combination of patent, trademark, copyright, and trade secret laws, as well as licensing agreements and confidentiality procedures and contractual protections with our employees, affiliates, customers, channel partners, and other business partners. Our inability to obtain, maintain, protect, or enforce our intellectual property rights could result in our competitors offering similar products, which could harm our competitive position.</w:t>
      </w:r>
    </w:p>
    <w:p>
      <w:pPr>
        <w:spacing w:after="0" w:line="187"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We rely in limited part on our portfolio of issued patents and pending patent applications in the U.S. to protect our intellectual property and our competitive position. However, the patent positions of technology and virtual care companies, including our patent position, may involve complex legal and factual questions, and, therefore, the scope, validity, and enforceability of any patent claims that we may obtain cannot be predicted with certainty. Accordingly, we cannot provide any assurances that any of our issued patents have included, or that any of our currently pending or future patent applications that mature into issued patents will include, claims with a scope that meaningfully protects our programs. Our pending and future patent applications may not result in the issuance of patents or, if issued, may not issue in a form that will be advantageous to us. Additionally, the issuance of a patent is not conclusive as to its inventorship, scope, validity, or enforceability, and any patents issued to us may be challenged, narrowed, invalidated, held unenforceable, or circumvented, or may not be sufficiently broad to prevent third parties from producing competing programs similar in design to our programs. Such proceedings could include supplemental examination or contested post-grant proceedings such as review, reexamination, interference, or derivation proceedings challenging our patent rights. Further, patent protection must ultimately be sought on a country-by-country basis, which is an expensive and time-consuming process with uncertain outcomes and we have not sought patent protection outside of the U.S. We may fail to file a patent application in a foreign jurisdiction where patent protection is ultimately desirable, and we may be precluded from doing so at a later date. For so long as we do not have patent protection outside of the U.S., our ability to protect uses of our technology by competitors in foreign jurisdictions may be limited.</w:t>
      </w:r>
    </w:p>
    <w:p>
      <w:pPr>
        <w:spacing w:after="0" w:line="187"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Changes in either patent laws or in interpretations of patent laws may diminish the value of our current or future intellectual property or narrow the scope of our patent protection, which in turn could diminish the commercial value of our programs. There can be no assurance that any of our patents, any patents licensed to us, or any patents which we may be issued in the future will provide us with a competitive advantage or afford us protection against infringement by others, or that the patents will not be successfully challenged or circumvented by third parties, including our competitors. Further, there can be no assurance that we will have adequate resources to enforce our patents. Any of the foregoing could have a material adverse effect on our competitive position, business, financial condition, results of operations, and prospects.</w:t>
      </w:r>
    </w:p>
    <w:p>
      <w:pPr>
        <w:spacing w:after="0" w:line="187"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In addition, we also have agreements with our employees, consultants, and other third parties who may be involved in the conception or development of intellectual property that impose confidentiality obligations on them and obligate them to assign their inventions to us; however, these agreements may not be self-executing, not all relevant employees, consultants, or other third parties may enter into such agreements, or employees, consultants, or other third parties may breach or violate the terms of these agreements, and we may not have adequate remedies for any such breach or violation. Furthermore, individuals executing agreements with us may have preexisting or competing obligations to third parties, and thus an agreement with us may be ineffective in perfecting ownership of intellectual property developed by those individuals. Any of the foregoing could have a material adverse effect on our competitive position, business, financial condition, results of operations, and prospects.</w:t>
      </w:r>
    </w:p>
    <w:p>
      <w:pPr>
        <w:spacing w:after="0" w:line="189"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In addition to contractual measures, we protect the confidential nature of our proprietary information using commonly accepted physical and technological security measures. Such measures may not, for example, in the</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80"/>
          </w:cols>
          <w:pgMar w:left="320" w:top="451" w:right="4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49" w:lineRule="auto"/>
        <w:rPr>
          <w:sz w:val="20"/>
          <w:szCs w:val="20"/>
          <w:color w:val="auto"/>
        </w:rPr>
      </w:pPr>
      <w:r>
        <w:rPr>
          <w:rFonts w:ascii="Times New Roman" w:cs="Times New Roman" w:eastAsia="Times New Roman" w:hAnsi="Times New Roman"/>
          <w:sz w:val="18"/>
          <w:szCs w:val="18"/>
          <w:color w:val="auto"/>
        </w:rPr>
        <w:t>case of misappropriation of a trade secret by an employee, consultant, or other third party with authorized access, provide adequate protection for our proprietary information. Our security measures may not prevent an employee, consultant, or other third party from misappropriating our trade secrets and providing them to a competitor, and any recourse we take against such misconduct may not provide an adequate remedy to protect our interests fully. Monitoring unauthorized uses and disclosures is difficult, and we do not know whether the steps we have taken to protect our intellectual property or confidential or proprietary information, such as our trade secrets, will be effective. Unauthorized parties may also attempt to copy or reverse engineer certain aspects of our programs that we consider proprietary. Enforcing a claim that a party illegally disclosed or misappropriated a trade secret can be difficult, expensive, and time-consuming, and the outcome is unpredictable. Even though we use commonly accepted security measures, trade secret violations are often a matter of state law, and the criteria for protection of trade secrets can vary among different jurisdictions. In addition, trade secrets may otherwise become known or be independently developed by others, including our competitors, in a manner that could prevent legal recourse by us. Further, the laws of some foreign countries do not protect intellectual property rights to the same extent as the laws of the U.S. Many companies have encountered significant problems in protecting and defending intellectual property rights in certain foreign jurisdictions, particularly with respect to trade secret rights. This could make it difficult for us to stop infringement or the misappropriation of our other intellectual property rights. If any of our intellectual property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spacing w:after="0" w:line="195"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competitive position, business, financial condition, results of operations, and prospects could be materially and adversely affected.</w:t>
      </w:r>
    </w:p>
    <w:p>
      <w:pPr>
        <w:spacing w:after="0" w:line="159"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We rely on our trademarks, trade names, and brand names to distinguish our programs from the programs of our competitors and have registered or applied to register many of these trademarks. There can be no assurance that our trademark applications will be approved. Third parties may also oppose our trademark applications or otherwise challenge our use of the trademarks, and our trademarks may be circumvented or declared generic. In the event that our trademarks are successfully challenged, we could be forced to rebrand our programs, which could result in loss of brand recognition and could require us to devote resources to advertising and marketing new brands. Further, there can be no assurance that competitors will not infringe our trademarks or that we will have adequate resources to enforce our trademarks. Additionally, we entered into a co-existence agreement with a third party with respect to trademarks with the word “Omada” that, among other things, places certain restrictions on both the third party’s and our ability to register, and to challenge the third party’s registration of, trademarks with the word “Omada” in certain product and service classes, in order to mitigate any risk of confusion. Any disputes concerning this co-existence agreement may cause us to incur significant litigation costs, which could have a material adverse effect on our competitive position, business, financial condition, results of operations, and prospects. In addition, third parties may file for registration of trademarks similar or identical to our trademarks, thereby impeding our ability to build brand identity and possibly leading to market confusion. Moreover, third parties may file first for our trademarks in certain countries. If they succeed in registering or developing common law rights in such trademarks, and if we are not successful in challenging such third-party rights, we may not be able to use these trademarks to develop brand recognition in those jurisdictions.</w:t>
      </w:r>
    </w:p>
    <w:p>
      <w:pPr>
        <w:spacing w:after="0" w:line="187"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We also license third parties to use our trademarks. In an effort to preserve our trademark rights, we include license terms in our agreements with these third parties, which govern the use of our trademarks and require our licensees to abide by certain use restrictions. Although we make efforts to monitor the use of our trademarks by our licensees, there can be no assurance that these efforts will be sufficient to ensure that our licensees abide by the terms of their licenses. In the event that our licensees fail to do so, our trademark rights could be diluted. Any of the foregoing could have a material adverse effect on our competitive position, business, financial condition, results of operations, and prospects.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80"/>
          </w:cols>
          <w:pgMar w:left="320" w:top="451"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intellectual property rights, which could be expensive, time consuming, and unsuccessful.</w:t>
      </w:r>
    </w:p>
    <w:p>
      <w:pPr>
        <w:spacing w:after="0" w:line="159" w:lineRule="exact"/>
        <w:rPr>
          <w:sz w:val="20"/>
          <w:szCs w:val="20"/>
          <w:color w:val="auto"/>
        </w:rPr>
      </w:pPr>
    </w:p>
    <w:p>
      <w:pPr>
        <w:jc w:val="both"/>
        <w:ind w:left="180" w:right="20" w:firstLine="436"/>
        <w:spacing w:after="0" w:line="253" w:lineRule="auto"/>
        <w:rPr>
          <w:sz w:val="20"/>
          <w:szCs w:val="20"/>
          <w:color w:val="auto"/>
        </w:rPr>
      </w:pPr>
      <w:r>
        <w:rPr>
          <w:rFonts w:ascii="Times New Roman" w:cs="Times New Roman" w:eastAsia="Times New Roman" w:hAnsi="Times New Roman"/>
          <w:sz w:val="18"/>
          <w:szCs w:val="18"/>
          <w:color w:val="auto"/>
        </w:rPr>
        <w:t>Third parties, including our competitors, could be infringing, misappropriating, or otherwise violating our intellectual property rights. We do not regularly conduct monitoring for unauthorized use of our intellectual property at this time. From time to time, we seek to analyze our competitors’ programs or seek to enforce our rights against potential infringement, misappropriation, or violation of our intellectual property rights. However, the steps we take to protect our intellectual property rights may not be adequate to enforce our rights against such infringement, misappropriation, or violation. We may not be able to detect unauthorized use of, or take appropriate steps to enforce, our intellectual property rights. Any inability to meaningfully enforce our intellectual property rights could harm our ability to compete and reduce demand for our programs.</w:t>
      </w:r>
    </w:p>
    <w:p>
      <w:pPr>
        <w:spacing w:after="0" w:line="187"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 xml:space="preserve">From time to time, we may be involved in lawsuits to protect or enforce our intellectual property rights. An adverse result in any litigation proceeding could harm our business. In any lawsuit that we bring to enforce our intellectual property rights, a court may refuse to stop the other party from using the technology at issue on grounds that our intellectual property rights do not cover the technology in question. If we initiate legal proceedings against a third party to enforce a patent covering a program, the defendant could counterclaim that such patent is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 Patent and Trademark Office or made a misleading statement during prosecution. Third parties also may raise similar claims before administrative bodies in the U.S. or abroad, even outside the context of litigation. Mechanisms for such challenges include re-examination, post-grant review,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interference proceedings, derivation proceedings, and equivalent proceedings in foreign jurisdictions (e.g., opposition proceedings).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proceedings could result in the revocation of, cancellation of, or amendment to our patents in such a way that they no longer cover our programs, or any future programs that we may develop.</w:t>
      </w:r>
    </w:p>
    <w:p>
      <w:pPr>
        <w:spacing w:after="0" w:line="191"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programs. Such a loss of patent protection could have a material adverse effect on our business, financial condition, results of operations, and prospects.</w:t>
      </w:r>
    </w:p>
    <w:p>
      <w:pPr>
        <w:spacing w:after="0" w:line="182"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 Even if we ultimately prevail, a court may decide not to grant an injunction against further infringing activity and instead award only monetary damages, which may not be an adequate remedy. Furthermore,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financial condition, results of operations, and prospects.</w:t>
      </w:r>
    </w:p>
    <w:p>
      <w:pPr>
        <w:spacing w:after="0" w:line="181"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infringe, misappropriate, or otherwise violate the intellectual property rights of third parties or are subject to an intellectual property infringement or misappropriation claim, our ability to grow our business may be severely limited, and our business could be adversely affected.</w:t>
      </w:r>
    </w:p>
    <w:p>
      <w:pPr>
        <w:spacing w:after="0" w:line="159"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From time to time, we may be the subject of threatened or actual patent or other litigation. Patent and other types of intellectual property litigation can involve complex factual and legal questions, and their outcome is</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80"/>
          </w:cols>
          <w:pgMar w:left="320" w:top="451" w:right="4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65" w:lineRule="auto"/>
        <w:rPr>
          <w:sz w:val="20"/>
          <w:szCs w:val="20"/>
          <w:color w:val="auto"/>
        </w:rPr>
      </w:pPr>
      <w:r>
        <w:rPr>
          <w:rFonts w:ascii="Times New Roman" w:cs="Times New Roman" w:eastAsia="Times New Roman" w:hAnsi="Times New Roman"/>
          <w:sz w:val="17"/>
          <w:szCs w:val="17"/>
          <w:color w:val="auto"/>
        </w:rPr>
        <w:t>uncertain. We cannot be certain or guarantee that we do not infringe existing patents or that we will not infringe patents that may be granted in the future. Our programs may infringe, or third parties may claim that they infringe, intellectual property rights covered by patents or patent applications under which we do not hold licenses or other rights. Third parties may own or control these patents and patent applications in the U.S. and abroad. These third parties may bring claims against us that would cause us to incur substantial expenses and, if successfully asserted against us, could cause us to pay substantial damages. Further, if a patent infringement or other intellectual property-related lawsuit is brought against us, we could be forced to stop or delay sales of the program that is the subject of the suit. From time to time, we may receive letters from third parties drawing our attention to their patent rights. As the market for digital health solutions in the U.S. expands and more patents are issued, the risk increases that there may be patents issued to third parties that relate to our products and technology of which we are not aware or that we must challenge to continue our operations as currently contemplated. The defense and prosecution of intellectual property lawsuits could result in substantial expense to us and significant diversion of effort by our technical and management personnel. An adverse determination of any litigation or interference proceeding to which we may become a party could subject us to significant liabilities such as monetary damages, including treble damages and attorneys’ fees if we are found to have willfully infringed a patent or other intellectual property right. Further, we may be required to redesign the applicable technology in a non-infringing manner, which may not be commercially feasible. As a result of patent infringement claims, or in order to avoid potential claims, we may choose or be required to seek a license from the third party and be required to pay significant license fees, royalties or both. Licenses may not be available on commercially reasonable terms, or at all, in which event our business would be materially and adversely affected. Even if we were able to obtain a license, the rights may be nonexclusive, which could result in our competitors gaining access to the same intellectual property. Ultimately, if we are unable to obtain such licenses, we could be forced to cease some aspect of our business operations, which could harm our business significantly.</w:t>
      </w:r>
    </w:p>
    <w:p>
      <w:pPr>
        <w:spacing w:after="0" w:line="174"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159"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We license certain intellectual property, including technologies, content, and software from third parties, that is important to our business, and in the future we may enter into additional agreements that provide us with licenses to valuable intellectual property, content, or technology. For example, certain of our customers and channel partners also provide us with limited rights to use their trademarks and trade names in conducting outreach campaigns directed at covered individuals. Disputes also may arise between us and our licensors regarding the intellectual property licensed to us under any license agreement, including disputes related to:</w:t>
      </w:r>
    </w:p>
    <w:p>
      <w:pPr>
        <w:spacing w:after="0" w:line="210" w:lineRule="exact"/>
        <w:rPr>
          <w:sz w:val="20"/>
          <w:szCs w:val="20"/>
          <w:color w:val="auto"/>
        </w:rPr>
      </w:pPr>
    </w:p>
    <w:p>
      <w:pPr>
        <w:ind w:left="1140" w:hanging="539"/>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reporting, financial, or other obligations under the license agreement;</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royalties or other payments due under the license agreement;</w:t>
      </w:r>
    </w:p>
    <w:p>
      <w:pPr>
        <w:spacing w:after="0" w:line="247"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we infringe, misappropriate, or otherwise violate intellectual property rights of the licensor that are not subject to the license agreement;</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applicable rights to third parties;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 and</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intellectual property and know-how resulting from the joint creation or use of intellectual property by our licensors and us and our partners.</w:t>
      </w:r>
    </w:p>
    <w:p>
      <w:pPr>
        <w:spacing w:after="0" w:line="163" w:lineRule="exact"/>
        <w:rPr>
          <w:sz w:val="20"/>
          <w:szCs w:val="20"/>
          <w:color w:val="auto"/>
        </w:rPr>
      </w:pPr>
    </w:p>
    <w:p>
      <w:pPr>
        <w:ind w:left="180" w:firstLine="436"/>
        <w:spacing w:after="0" w:line="277" w:lineRule="auto"/>
        <w:rPr>
          <w:sz w:val="20"/>
          <w:szCs w:val="20"/>
          <w:color w:val="auto"/>
        </w:rPr>
      </w:pPr>
      <w:r>
        <w:rPr>
          <w:rFonts w:ascii="Times New Roman" w:cs="Times New Roman" w:eastAsia="Times New Roman" w:hAnsi="Times New Roman"/>
          <w:sz w:val="18"/>
          <w:szCs w:val="18"/>
          <w:color w:val="auto"/>
        </w:rPr>
        <w:t>If we do not prevail in such disputes or if we fail to comply with any of the obligations under our license agreements, we may lose any or all of our rights under such license agreements or be required to pay damages,</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80"/>
          </w:cols>
          <w:pgMar w:left="320" w:top="451"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0" w:lineRule="auto"/>
        <w:rPr>
          <w:sz w:val="20"/>
          <w:szCs w:val="20"/>
          <w:color w:val="auto"/>
        </w:rPr>
      </w:pPr>
      <w:r>
        <w:rPr>
          <w:rFonts w:ascii="Times New Roman" w:cs="Times New Roman" w:eastAsia="Times New Roman" w:hAnsi="Times New Roman"/>
          <w:sz w:val="18"/>
          <w:szCs w:val="18"/>
          <w:color w:val="auto"/>
        </w:rPr>
        <w:t>and the licensor may have the right to terminate the license. Termination by the licensor of certain of our license agreements would cause us to lose valuable rights, and could prevent us from selling our programs and services or adversely impact our ability to commercialize future programs and services. Our business may suffer if any current or future licenses terminate, if the licensors fail to abide by the terms of the license, if the licensors fail to enforce licensed patents against infringing third parties, if the licensed intellectual property is found to be invalid or unenforceable, or if we are unable to enter into necessary licenses on acceptable terms. In addition, our rights to certain technologies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In addition, the agreements under which we license intellectual property or technology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spacing w:after="0" w:line="189" w:lineRule="exact"/>
        <w:rPr>
          <w:sz w:val="20"/>
          <w:szCs w:val="20"/>
          <w:color w:val="auto"/>
        </w:rPr>
      </w:pPr>
    </w:p>
    <w:p>
      <w:pPr>
        <w:jc w:val="both"/>
        <w:ind w:left="180"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software platform contains, and may in the future contain, open source software, which may pose particular risks to our proprietary software, products, and services in a manner that could have a material and adverse effect on our business, financial condition, results of operations, and prospects.</w:t>
      </w:r>
    </w:p>
    <w:p>
      <w:pPr>
        <w:spacing w:after="0" w:line="173" w:lineRule="exact"/>
        <w:rPr>
          <w:sz w:val="20"/>
          <w:szCs w:val="20"/>
          <w:color w:val="auto"/>
        </w:rPr>
      </w:pPr>
    </w:p>
    <w:p>
      <w:pPr>
        <w:jc w:val="both"/>
        <w:ind w:left="180" w:firstLine="436"/>
        <w:spacing w:after="0" w:line="265" w:lineRule="auto"/>
        <w:rPr>
          <w:sz w:val="20"/>
          <w:szCs w:val="20"/>
          <w:color w:val="auto"/>
        </w:rPr>
      </w:pPr>
      <w:r>
        <w:rPr>
          <w:rFonts w:ascii="Times New Roman" w:cs="Times New Roman" w:eastAsia="Times New Roman" w:hAnsi="Times New Roman"/>
          <w:sz w:val="17"/>
          <w:szCs w:val="17"/>
          <w:color w:val="auto"/>
        </w:rPr>
        <w:t>We use open source software in connection with our software platform and anticipate using open source software in the future. The terms of certain open source licenses to which we are subject have not been interpreted by U.S. or foreign courts, and there is a risk that open source software licenses could be construed in a manner that imposes unanticipated conditions or restrictions on our platform, including requiring us to disclose our proprietary source code to the public. While we monitor our use of open source software and try to ensure that none is used in a manner that would require us to disclose our proprietary source code or that would otherwise breach the terms of an open source agreement, such a use could inadvertently occur, or could be claimed to have occurred, in part because open source license terms can be ambiguous. Additionally, we could face claims from third parties claiming ownership of, or demanding the release of, any open source software or derivative works that we have developed using such software, which could include proprietary source code, or otherwise seeking to enforce the terms of the applicable open source license. These claims could result in litigation and could require us to make our software source code freely available, purchase a costly license, or cease offering our platform unless and until we can re-engineer such source code in a manner that avoids infringement. This re-engineering process could require us to expend significant additional research and development resources, and we may not be able to complete the re-engineering process successfully. In addition to risks related to license requirements, use of certain open source software can lead to greater risks than use of third-party commercial software, as open source licensors generally do not provide support, warranties, indemnification, or other contractual protection regarding infringement claims or the quality of the code. There is little legal precedent in this area, and any actual or claimed requirement to disclose our proprietary source code or pay damages for breach of contract could harm our business and could help third parties, including our competitors, develop technology that is similar to or superior to ours. Any of the foregoing could harm our competitive position, business, financial condition, results of operations, and prospects.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Risks Relating to Governmental Regulation and Legal Matters</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regulated industry and changes in regulations or the implementation of existing regulations could affect our operations.</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Our programs and our business activities are subject to rigorous regulation in the jurisdictions in which we operate. In particular, these laws govern the delivery of healthcare, including regulations concerning health information privacy, scope of practice, licensure, the corporate practice of physical therapy, fraud and abuse, exclusion and debarment, anti-kickback obligations, false claims, patient referrals, fee splitting, regulation of</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80"/>
          </w:cols>
          <w:pgMar w:left="320" w:top="451" w:right="4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devices, and other aspects of healthcare delivery, as well as requirements for coverage and reimbursement by private health insurance providers and government payers. Our business may be affected by changes in any such laws and regulations, as well as by changes to the conditions for coverage and member financial responsibility for certain types of healthcare, the way in which reimbursement is calculated, or the ability to obtain coverage. There are also numerous regulatory schemes, including with respect to data interoperability and information blocking, that do not currently apply to our programs or our business but that we could become subject to in the future as a result of regulatory changes.</w:t>
      </w:r>
    </w:p>
    <w:p>
      <w:pPr>
        <w:spacing w:after="0" w:line="183"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The regulations that cover, or that in the future could cover, our programs and our business can be burdensome and subject to change on short notice, exposing us to the risk of increased costs and business disruption, and regulatory requirements may affect or delay our ability to market our new programs. Regulatory authorities and legislators have been recently increasing their scrutiny of the healthcare industry, and there are ongoing regulatory efforts to reduce healthcare costs that may intensify in the future. For example, the U.S. Congress recently considered legislative reforms to PBM fee structures, and the Trump Administration has signaled its intent to pursue drug pricing reform. New laws or regulations that negatively impact health plans, PBMs, or other customers or channel partners could materially and adversely affect our business, financial condition, results of operations, and prospects. Our business is also sensitive to any changes in tort and product liability laws.</w:t>
      </w:r>
    </w:p>
    <w:p>
      <w:pPr>
        <w:spacing w:after="0" w:line="185" w:lineRule="exact"/>
        <w:rPr>
          <w:sz w:val="20"/>
          <w:szCs w:val="20"/>
          <w:color w:val="auto"/>
        </w:rPr>
      </w:pPr>
    </w:p>
    <w:p>
      <w:pPr>
        <w:jc w:val="both"/>
        <w:ind w:left="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use and disclosure of personal information, including health information, is subject to federal and state privacy and security laws and regulations, and our or our affiliated professional entities’ actual or perceived failure to comply with such laws and regulations or to adequately secure the personal information we hold could result in significant liability or reputational harm and, in turn, a material adverse effect on our business, financial condition, results of operations, and prospects.</w:t>
      </w:r>
    </w:p>
    <w:p>
      <w:pPr>
        <w:spacing w:after="0" w:line="179"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there has been an increasing focus on data privacy and protection issues with the potential to affect our business. We and our affiliated professional entities are, or may become, subject to numerous federal, state, and foreign laws, requirements, and regulations governing the collection, transmission, use, processing, disclosure, storage, retention, security, and other processing of personal information, such as information that we may collect in connection with conducting our business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including costs related to organizational changes, modifying our data processing practices and policies, implementing additional protection technologies, training employees, and engaging consultants,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fines, public censure, claims by third parties, damage to our reputation, loss of goodwill, and loss of customers, channel partners, or members, any of which could have a material adverse effect on our business, financial condition, results of operations, and prospects.</w:t>
      </w:r>
    </w:p>
    <w:p>
      <w:pPr>
        <w:spacing w:after="0" w:line="187"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and our affiliated professional entities collect and store confidential information, including PHI, personal information, intellectual property, and proprietary business information owned or controlled by ourselves or our customers, channel partners, members, covered individuals, third-party payers, business partners, and other parties. We also collect and store personal and sensitive information of our employees, consultants, and contractors. We manage and maintain our applications and data utilizing cloud-based data centers for personal information. We utilize external security and infrastructure vendors to manage parts of our data centers. As a healthcare provider and, at times, a business associate of our customers and channel partners, we and our affiliated professional entities must comply with the federal Health</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80"/>
          </w:cols>
          <w:pgMar w:left="320" w:top="451"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2" w:lineRule="auto"/>
        <w:rPr>
          <w:sz w:val="20"/>
          <w:szCs w:val="20"/>
          <w:color w:val="auto"/>
        </w:rPr>
      </w:pPr>
      <w:r>
        <w:rPr>
          <w:rFonts w:ascii="Times New Roman" w:cs="Times New Roman" w:eastAsia="Times New Roman" w:hAnsi="Times New Roman"/>
          <w:sz w:val="18"/>
          <w:szCs w:val="18"/>
          <w:color w:val="auto"/>
        </w:rPr>
        <w:t>Insurance Portability and Accountability Act of 1996, as amended by the Health Information Technology for Economic and Clinical Health Act, and their implementing regulations (collectively, “HIPAA”). We also must comply with HIPAA in regard to certain of our self-insured health benefits for our employees and their dependents. HIPAA establishes privacy and security standards that limit the use and disclosure of PHI and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We and our affiliated professional entities must comply with HIPAA requirements, including the implementation of administrative, physical, and technical safeguards to ensure the confidentiality, integrity, and availability of individually identifiable health information.</w:t>
      </w:r>
    </w:p>
    <w:p>
      <w:pPr>
        <w:spacing w:after="0" w:line="185"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Entities that are found to be in violation of HIPAA as the result of a breach of unsecured PHI, a complaint about privacy practices, or an audit by the U.S. Department of Health and Human Services (“HHS”) may be subject to significant civil, criminal, and administrative fines and penalties and/or additional reporting and oversight obligations if required to enter into a resolution agreement and corrective action plan with HHS to settle allegations of HIPAA non-compliance. HIPAA imposes mandatory penalties for certain violations; however, a single breach incident can result in violations of multiple standards, which could result in significant fines. HIPAA also authorizes state attorneys general to file suit on behalf of their residents and enables courts to award damages, costs, and attorneys’ fees related to violations of HIPAA in connection with those suits.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Any such penalties or lawsuits could harm our business, financial condition, results of operations, prospects, and reputation.</w:t>
      </w:r>
    </w:p>
    <w:p>
      <w:pPr>
        <w:spacing w:after="0" w:line="18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HIPAA further requires that individuals be notified in certain instances of unauthorized acquisition, access, use, or disclosure of their unsecured PHI. Covered entities must report breaches of unsecured PHI to affected individuals without unreasonable delay, not to exceed 60 days following discovery of the breach by a covered entity or its agents. Notification also must be made to the HHS Office for Civil Rights and, in certain circumstances involving large breaches, to the media. Business associates must report breaches of unsecured PHI to covered entities within 60 days of discovery of the breach by the business associate or its agents or such shorter period as may be provided for in contractual agreements. A non-permitted use or disclosure of PHI is presumed to be a breach under HIPAA unless the covered entity or business associate establishes that there is a low probability the information has been compromised consistent with requirements enumerated in HIPAA. Any obligations to send such notifications could severely damage our reputation and affect the confidence of our customers, channel partners, and members.</w:t>
      </w:r>
    </w:p>
    <w:p>
      <w:pPr>
        <w:spacing w:after="0" w:line="185"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our affiliated professional entities, and our future customers, channel partners, and strategic partners. For example,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been passed in other states and are continuing to be proposed at the state and federal level, including a new comprehensive federal data protection law to which we would become subject to, reflecting a trend toward more stringent privacy legislation in the U.S. The enactment of such laws may have potentially conflicting requirements that would make compliance challenging.</w:t>
      </w:r>
    </w:p>
    <w:p>
      <w:pPr>
        <w:spacing w:after="0" w:line="1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80"/>
          </w:cols>
          <w:pgMar w:left="320" w:top="451" w:right="4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Furthermore, the U.S. Federal Trade Commission (“FTC”) and many state attorneys general continue to enforce federal and state consumer protection laws against companies that mislead customers about HIPAA compliance, make deceptive statements about privacy and data sharing in privacy policies, fail to limit third-party use of PHI and certain other personal information, fail to implement policies to protect PHI and certain other personal information, and use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 attorneys general to regulate the collection, use, storage, and disclosure of personal information, through websites or otherwise, and to regulate the presentation of website content. There are also a number of legislative proposals in the U.S., at both the federal and state level, that could impose new obligations in areas such as e-commerce and other related legislation or liability for copyright infringement by third parties. We cannot yet determine the impact that these future laws, regulations, and standards may have on our business.</w:t>
      </w:r>
    </w:p>
    <w:p>
      <w:pPr>
        <w:spacing w:after="0" w:line="191"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Although we and our affiliated professional entities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our affiliated professional entities, or our employees, representatives, contractors, consultants, or other third parties to comply with such requirements or adequately address privacy and security concerns, even if unfounded, could result in additional cost and liability to us, damage to our reputation, negative publicity, members curtailing their use of, or ceasing to use, our programs and/or the loss of customers, channel partners, or covered individuals, loss of goodwill, significant costs for remediation, notification to individuals, and for measures to prevent future non-compliance, each which may materially and adversely affect our business, financial condition, results of operations, and prospects. Any losses, costs, or liabilities may not be covered by, or may exceed the coverage limits of, applicable insurance policies.</w:t>
      </w:r>
    </w:p>
    <w:p>
      <w:pPr>
        <w:spacing w:after="0" w:line="185" w:lineRule="exact"/>
        <w:rPr>
          <w:sz w:val="20"/>
          <w:szCs w:val="20"/>
          <w:color w:val="auto"/>
        </w:rPr>
      </w:pPr>
    </w:p>
    <w:p>
      <w:pPr>
        <w:jc w:val="both"/>
        <w:ind w:left="18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we or our affiliated professional entities fail to comply with federal and state healthcare regulatory laws, we could be subject to penalties, including, but not limited to, administrative, civil and criminal penalties, damages, fines, disgorgement, exclusion from participation in governmental healthcare programs, and the curtailment of our operations, any of which could materially and adversely affect our business, financial condition, results of operations, and prospects.</w:t>
      </w:r>
    </w:p>
    <w:p>
      <w:pPr>
        <w:spacing w:after="0" w:line="179"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and our affiliated professional entities are subject to broadly applicable fraud and abuse and other healthcare laws and regulations. These laws may constrain the business or financial arrangements and relationships through which we and our affiliated professional entities conduct our operations, including sales and marketing practices directed at potential customers and channel partners, benefit outreach practices directed at covered individuals, consumer incentives, and other promotional programs, and other business practices. Such laws include, without limitation:</w:t>
      </w:r>
    </w:p>
    <w:p>
      <w:pPr>
        <w:spacing w:after="0" w:line="209" w:lineRule="exact"/>
        <w:rPr>
          <w:sz w:val="20"/>
          <w:szCs w:val="20"/>
          <w:color w:val="auto"/>
        </w:rPr>
      </w:pPr>
    </w:p>
    <w:p>
      <w:pPr>
        <w:jc w:val="both"/>
        <w:ind w:left="1140" w:right="20" w:hanging="539"/>
        <w:spacing w:after="0" w:line="253"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or entities from knowingly and willfully soliciting, offering, receiving, or providing any remuneration,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state Medicaid programs, and TRICARE. A person or entity does not need to have actual knowledge of the statute or specific intent to violate it in order to have committed a violation;</w:t>
      </w:r>
    </w:p>
    <w:p>
      <w:pPr>
        <w:spacing w:after="0" w:line="213"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self-referral law, the Stark Law, which, subject to limited exceptions, prohibits physicians from referring Medicare or Medicaid patients to an entity for the provision of certain</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80"/>
          </w:cols>
          <w:pgMar w:left="320" w:top="451"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140" w:right="20"/>
        <w:spacing w:after="0" w:line="262" w:lineRule="auto"/>
        <w:rPr>
          <w:sz w:val="20"/>
          <w:szCs w:val="20"/>
          <w:color w:val="auto"/>
        </w:rPr>
      </w:pPr>
      <w:r>
        <w:rPr>
          <w:rFonts w:ascii="Times New Roman" w:cs="Times New Roman" w:eastAsia="Times New Roman" w:hAnsi="Times New Roman"/>
          <w:sz w:val="18"/>
          <w:szCs w:val="18"/>
          <w:color w:val="auto"/>
        </w:rPr>
        <w:t>designated health services (“DHS”), if the physician or a member of such physician’s immediate family has a direct or indirect financial relationship (including an ownership interest or a compensation arrangement) with the entity, and prohibits the entity from billing Medicare or Medicaid for such DHS;</w:t>
      </w:r>
    </w:p>
    <w:p>
      <w:pPr>
        <w:spacing w:after="0" w:line="204" w:lineRule="exact"/>
        <w:rPr>
          <w:sz w:val="20"/>
          <w:szCs w:val="20"/>
          <w:color w:val="auto"/>
        </w:rPr>
      </w:pPr>
    </w:p>
    <w:p>
      <w:pPr>
        <w:jc w:val="both"/>
        <w:ind w:left="1140" w:hanging="539"/>
        <w:spacing w:after="0" w:line="25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laws, including the False Claims Act, which can be enforced through whistleblower actions, which, among other things, impose criminal and civil penalties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federal Anti-Kickback Statute or Stark Law constitutes a false or fraudulent claim for purposes of the False Claims Act;</w:t>
      </w:r>
    </w:p>
    <w:p>
      <w:pPr>
        <w:spacing w:after="0" w:line="215" w:lineRule="exact"/>
        <w:rPr>
          <w:rFonts w:ascii="Times New Roman" w:cs="Times New Roman" w:eastAsia="Times New Roman" w:hAnsi="Times New Roman"/>
          <w:sz w:val="18"/>
          <w:szCs w:val="18"/>
          <w:color w:val="auto"/>
        </w:rPr>
      </w:pPr>
    </w:p>
    <w:p>
      <w:pPr>
        <w:jc w:val="both"/>
        <w:ind w:left="1140" w:right="20" w:hanging="539"/>
        <w:spacing w:after="0" w:line="26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an individual or entity from offering remuneration to a federal healthcare program beneficiary that the individual or entity knows or should know is likely to influence the beneficiary to order or receive healthcare items or services from a particular provider;</w:t>
      </w:r>
    </w:p>
    <w:p>
      <w:pPr>
        <w:spacing w:after="0" w:line="203" w:lineRule="exact"/>
        <w:rPr>
          <w:rFonts w:ascii="Times New Roman" w:cs="Times New Roman" w:eastAsia="Times New Roman" w:hAnsi="Times New Roman"/>
          <w:sz w:val="18"/>
          <w:szCs w:val="18"/>
          <w:color w:val="auto"/>
        </w:rPr>
      </w:pPr>
    </w:p>
    <w:p>
      <w:pPr>
        <w:jc w:val="both"/>
        <w:ind w:left="1140" w:hanging="539"/>
        <w:spacing w:after="0" w:line="255"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209"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the federal Social Security Act that imposes criminal penalties on healthcare providers who fail to disclose or refund known overpayments;</w:t>
      </w:r>
    </w:p>
    <w:p>
      <w:pPr>
        <w:spacing w:after="0" w:line="190" w:lineRule="exact"/>
        <w:rPr>
          <w:rFonts w:ascii="Times New Roman" w:cs="Times New Roman" w:eastAsia="Times New Roman" w:hAnsi="Times New Roman"/>
          <w:sz w:val="18"/>
          <w:szCs w:val="18"/>
          <w:color w:val="auto"/>
        </w:rPr>
      </w:pPr>
    </w:p>
    <w:p>
      <w:pPr>
        <w:jc w:val="both"/>
        <w:ind w:left="1140" w:hanging="539"/>
        <w:spacing w:after="0" w:line="26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including state anti-kickback, self-referral, and false claims laws that apply more broadly to healthcare items or services paid by all payers, including self-pay patients and private insurers, that govern our interactions with consumers or restrict payments that may be made to healthcare providers and other potential referral sources;</w:t>
      </w:r>
    </w:p>
    <w:p>
      <w:pPr>
        <w:spacing w:after="0" w:line="203"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Trade Commission Act and federal and state consumer protection, advertisement, and unfair competition laws, which broadly regulate marketplace activities and activities that potentially harm consumers;</w:t>
      </w:r>
    </w:p>
    <w:p>
      <w:pPr>
        <w:spacing w:after="0" w:line="190" w:lineRule="exact"/>
        <w:rPr>
          <w:rFonts w:ascii="Times New Roman" w:cs="Times New Roman" w:eastAsia="Times New Roman" w:hAnsi="Times New Roman"/>
          <w:sz w:val="18"/>
          <w:szCs w:val="18"/>
          <w:color w:val="auto"/>
        </w:rPr>
      </w:pPr>
    </w:p>
    <w:p>
      <w:pPr>
        <w:jc w:val="both"/>
        <w:ind w:left="1140" w:hanging="539"/>
        <w:spacing w:after="0" w:line="257"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FCPA,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w:t>
      </w:r>
    </w:p>
    <w:p>
      <w:pPr>
        <w:spacing w:after="0" w:line="208" w:lineRule="exact"/>
        <w:rPr>
          <w:rFonts w:ascii="Times New Roman" w:cs="Times New Roman" w:eastAsia="Times New Roman" w:hAnsi="Times New Roman"/>
          <w:sz w:val="18"/>
          <w:szCs w:val="18"/>
          <w:color w:val="auto"/>
        </w:rPr>
      </w:pPr>
    </w:p>
    <w:p>
      <w:pPr>
        <w:jc w:val="both"/>
        <w:ind w:left="1140" w:hanging="539"/>
        <w:spacing w:after="0" w:line="26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pertaining to compliance program obligations and record retention, among others, applicable to our business as a first-tier or downstream entity providing certain services to Medicare Advantage organizations, Medicaid managed care plans, or other entities that administer government healthcare programs; and</w:t>
      </w:r>
    </w:p>
    <w:p>
      <w:pPr>
        <w:spacing w:after="0" w:line="203" w:lineRule="exact"/>
        <w:rPr>
          <w:rFonts w:ascii="Times New Roman" w:cs="Times New Roman" w:eastAsia="Times New Roman" w:hAnsi="Times New Roman"/>
          <w:sz w:val="18"/>
          <w:szCs w:val="18"/>
          <w:color w:val="auto"/>
        </w:rPr>
      </w:pPr>
    </w:p>
    <w:p>
      <w:pPr>
        <w:jc w:val="both"/>
        <w:ind w:left="1140" w:right="20" w:hanging="539"/>
        <w:spacing w:after="0" w:line="26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applicable to our business at times in providing services to fulfill government contracts (typically as a subcontractor). In providing those services, we are required to comply with applicable government contract requirements such as the U.S. Federal Acquisition Regulation (the “FAR”) and</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80"/>
          </w:cols>
          <w:pgMar w:left="320" w:top="451" w:right="4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140" w:right="20"/>
        <w:spacing w:after="0" w:line="308" w:lineRule="auto"/>
        <w:rPr>
          <w:sz w:val="20"/>
          <w:szCs w:val="20"/>
          <w:color w:val="auto"/>
        </w:rPr>
      </w:pPr>
      <w:r>
        <w:rPr>
          <w:rFonts w:ascii="Times New Roman" w:cs="Times New Roman" w:eastAsia="Times New Roman" w:hAnsi="Times New Roman"/>
          <w:sz w:val="17"/>
          <w:szCs w:val="17"/>
          <w:color w:val="auto"/>
        </w:rPr>
        <w:t>agency regulations supplementing the FAR. Our failure to comply with these laws and regulations may expose us to reputational harm, criminal prosecution, suspension and debarment, breach of contract actions, and the False Claims Act, as well as other remedial measures.</w:t>
      </w:r>
    </w:p>
    <w:p>
      <w:pPr>
        <w:spacing w:after="0" w:line="139"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financial arrangements with customers and channel partners, any lead generation agreements for acquiring customers or channel partners, and any outreach initiatives directed at covered individuals, do not comply with current or future statutes, regulations, agency guidance, or case law involving applicable fraud and abuse or other healthcare laws and regulations. If our or our affiliated professional entities’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including Medicare, state Medicaid programs, TRICARE, or similar programs in other countries or jurisdictions, disgorgement, imprisonment, contractual damages, reputational harm, diminished profits, and the curtailment or restructuring of our operations. We or our affiliated professional entities may also be contractually required to indemnify and hold harmless third parties, such as customers or channel partners, from the costs of any failure to comply with applicable law. Further, defending against any such actions can be costly and time-consuming and may require significant personnel resources. Even if we are successful in defending against any such actions that may be brought against us, our business may be impaired.</w:t>
      </w:r>
    </w:p>
    <w:p>
      <w:pPr>
        <w:spacing w:after="0" w:line="187" w:lineRule="exact"/>
        <w:rPr>
          <w:sz w:val="20"/>
          <w:szCs w:val="20"/>
          <w:color w:val="auto"/>
        </w:rPr>
      </w:pPr>
    </w:p>
    <w:p>
      <w:pPr>
        <w:jc w:val="both"/>
        <w:ind w:left="180"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U.S. Food and Drug Administration (the “FDA”) may modify its enforcement policies with respect to medical software products, and our software applications may become subject to extensive regulatory requirements, which may increase the cost of conducting, or otherwise harm, our business.</w:t>
      </w:r>
    </w:p>
    <w:p>
      <w:pPr>
        <w:spacing w:after="0" w:line="173"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We develop and offer certain software applications, some of which involve the use of AI technologies, to our members and coaches. The FDA may regulate medical or health-related software, including machine learning functionality and predictive algorithms, if such software falls within the definition of a “medical device” under the Federal Food, Drug, and Cosmetic Act (“FDCA”). Medical devices are subject to extensive and rigorous regulation by the FDA and by other federal, state, and local authorities.</w:t>
      </w:r>
    </w:p>
    <w:p>
      <w:pPr>
        <w:spacing w:after="0" w:line="182" w:lineRule="exact"/>
        <w:rPr>
          <w:sz w:val="20"/>
          <w:szCs w:val="20"/>
          <w:color w:val="auto"/>
        </w:rPr>
      </w:pPr>
    </w:p>
    <w:p>
      <w:pPr>
        <w:jc w:val="both"/>
        <w:ind w:left="180" w:firstLine="436"/>
        <w:spacing w:after="0" w:line="249" w:lineRule="auto"/>
        <w:rPr>
          <w:sz w:val="20"/>
          <w:szCs w:val="20"/>
          <w:color w:val="auto"/>
        </w:rPr>
      </w:pPr>
      <w:r>
        <w:rPr>
          <w:rFonts w:ascii="Times New Roman" w:cs="Times New Roman" w:eastAsia="Times New Roman" w:hAnsi="Times New Roman"/>
          <w:sz w:val="18"/>
          <w:szCs w:val="18"/>
          <w:color w:val="auto"/>
        </w:rPr>
        <w:t>The FDCA and related regulations govern the conditions of safety, efficacy, clearance, approval, manufacturing, quality system requirements, labeling, packaging, distribution, storage, recordkeeping, reporting, marketing, advertising, and promotion of medical devices. However, historically, the FDA has exercised enforcement discretion for certain low-risk software functions and has issued several guidance documents outlining its approach to the regulation of software as a medical device. In addition, the 21st Century Cures Act amended the FDCA to exclude from the definition of “medical device” certain medical-related software, including software used for administrative support functions at a healthcare facility, software intended for maintaining or encouraging a healthy lifestyle, software designed to store electronic health records, software for transferring, storing, or displaying medical device data or in vitro diagnostic data, and certain clinical decision support software. We believe our current software applications for our Care Teams generally provide clinical decision support functionality that is exempt from the FDCA’s definition of a “medical device.” Our current software applications and AI technologies only deliver recommendations directly to members in a manner intended for maintaining or encouraging a healthy lifestyle, and we believe that this functionality is also exempt from the FDCA’s definition of a “medical device.” Therefore, we believe that our software applications are not currently regulated by the FDA as medical devices or otherwise subject to FDA’s current enforcement discretion policies applicable to software. However, there is a risk that the FDA could disagree with our determination if, for example, it is perceived that we are providing, or if we unintentionally provide, automated diagnoses or automated delivery of healthcare to our members. Additionally, the FDA could alter its enforcement discretion policies or our strategy for the use of AI and software could change. Any of the above may subject our software applications to more stringent medical device regulations.</w:t>
      </w:r>
    </w:p>
    <w:p>
      <w:pPr>
        <w:spacing w:after="0" w:line="1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80"/>
          </w:cols>
          <w:pgMar w:left="320" w:top="451"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If the FDA determines that any of our current or future software applications are regulated as medical devices and not otherwise subject to enforcement discretion, we would become subject to various requirements under the FDCA and the FDA’s implementing regulations. If this occurs, we may be required to cease marketing or to recall our applications until we obtain the requisite clearances or approvals, which would entail significant cost and could harm our reputation, business, financial condition, results of operations, and prospects. The process of seeking clearance or approval can be expensive and time-consuming, and there is no guarantee that we would be successful in obtaining the necessary approvals.</w:t>
      </w:r>
    </w:p>
    <w:p>
      <w:pPr>
        <w:spacing w:after="0" w:line="18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Our failure to comply with applicable regulatory requirements could result in enforcement action by the FDA, or comparable state or foreign regulatory authorities, including: untitled letters, warning letters, fines, injunctions, consent decrees and civil penalties, recalls, termination of distribution, administrative detentions, seizure of our products, operating restrictions, partial suspension or total shutdown of production, delays in or refusal to grant clearances or approvals, prohibitions on sales of our products, and criminal prosecution. Any of these sanctions could result in higher than anticipated costs or lower than anticipated sales and have a material adverse effect on our reputation, business, financial condition, results of operations, and prospects.</w:t>
      </w:r>
    </w:p>
    <w:p>
      <w:pPr>
        <w:spacing w:after="0" w:line="183" w:lineRule="exact"/>
        <w:rPr>
          <w:sz w:val="20"/>
          <w:szCs w:val="20"/>
          <w:color w:val="auto"/>
        </w:rPr>
      </w:pPr>
    </w:p>
    <w:p>
      <w:pPr>
        <w:jc w:val="both"/>
        <w:ind w:left="1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relationships with affiliated professional entities, which we do not own, to provide physical therapy services, and our business would be adversely affected if those relationships were disrupted or if our arrangements with such affiliated professional entities or our customers or channel partners are found to violate state laws prohibiting the corporate practice of physical therapy or fee splitting.</w:t>
      </w:r>
    </w:p>
    <w:p>
      <w:pPr>
        <w:spacing w:after="0" w:line="173" w:lineRule="exact"/>
        <w:rPr>
          <w:sz w:val="20"/>
          <w:szCs w:val="20"/>
          <w:color w:val="auto"/>
        </w:rPr>
      </w:pPr>
    </w:p>
    <w:p>
      <w:pPr>
        <w:jc w:val="both"/>
        <w:ind w:left="180" w:firstLine="436"/>
        <w:spacing w:after="0" w:line="264" w:lineRule="auto"/>
        <w:rPr>
          <w:sz w:val="20"/>
          <w:szCs w:val="20"/>
          <w:color w:val="auto"/>
        </w:rPr>
      </w:pPr>
      <w:r>
        <w:rPr>
          <w:rFonts w:ascii="Times New Roman" w:cs="Times New Roman" w:eastAsia="Times New Roman" w:hAnsi="Times New Roman"/>
          <w:sz w:val="17"/>
          <w:szCs w:val="17"/>
          <w:color w:val="auto"/>
        </w:rPr>
        <w:t>The laws of many states, including states in which many of our customers and channel partners are located, prohibit us from exercising control over the medical judgments or decisions of physical therapists and from engaging in certain financial arrangements, such as splitting professional fees with physical therapists. These laws and their interpretations vary from state to state and are enforced by state courts and regulatory authorities, each with broad discretion, and are subject to change and to evolving interpretations by state boards of physical therapy and state attorneys general, among others. We enter into agreements with a professional corporation, PPTG, which enters into contracts with licensed physical therapists pursuant to which they render professional services. Our agreements include management services agreements with PPTG pursuant to which the professional entity reserves exclusive control and responsibility for all aspects of the practice of physical therapy and the delivery of medical services. In addition, we enter into contracts with our customers and channel partners on behalf of PPTG to deliver professional services in exchange for fees. Changes in, or subsequent interpretations of, the corporate practice of physical therapy or fee-splitting prohibitions could circumscribe our business operations, and state officials who administer these laws or other third parties may successfully challenge our existing organization and contractual arrangements. If such a claim were successful, we could be subject to civil and criminal penalties and could be required to restructure or terminate the applicable contractual arrangements. A determination that these arrangements violate state statutes, or our inability to successfully restructure our relationships with PPTG to comply with these statutes, could eliminate customers and channel partners located in certain states from the market for our programs, which would have a material adverse effect on our business, financial condition, results of operations, and prospects. State corporate practice of physical therapy doctrines also often impose penalties on physical therapists themselves for aiding the corporate practice of physical therapy, which could discourage physical therapists from providing services needed for our programs. We do not own PPTG which is wholly owned by licensed physical therapists. While we expect that this relationship will continue, we cannot guarantee that it will. A material change in our relationship with PPTG, whether resulting from a dispute among the entities, a change in government regulation, or the loss of these affiliations, could impair our ability to provide services to our members and could have a material adverse effect on our business, financial condition, results of operations, and prospects. In addition, the arrangement in which we have entered to comply with state corporate practice of physical therapy doctrines could subject us to additional scrutiny by federal and state regulatory bodies regarding federal and state fraud, waste, and abuse laws. Any scrutiny, investigation, or litigation with regard to our arrangement with PPTG could have a material adverse effect on our business, financial condition, results of operations, and prospects.</w:t>
      </w:r>
    </w:p>
    <w:p>
      <w:pPr>
        <w:spacing w:after="0" w:line="3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80"/>
          </w:cols>
          <w:pgMar w:left="320" w:top="451" w:right="4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our affiliated professional entities, and our other business partners may become subject to medical liability claims, which could cause us to incur significant expenses and may require us to pay significant damages if not covered by insurance.</w:t>
      </w:r>
    </w:p>
    <w:p>
      <w:pPr>
        <w:spacing w:after="0" w:line="159"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Our business entails the risk of medical liability claims against both us, our affiliated professional entities, and our other business partners. Successful medical liability claims could result in substantial damage awards that exceed the limits of any insurance coverage. In addition, professional liability insurance is expensive and insurance premiums may increase significantly in the future, particularly as we expand our services. As a result, adequate professional liability insurance may not be available to us, our affiliated professional entities, or our other business partners at acceptable costs or at all.</w:t>
      </w:r>
    </w:p>
    <w:p>
      <w:pPr>
        <w:spacing w:after="0" w:line="183"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Any claims made against us may adversely affect our business or reputation, and any claims that are not fully covered by insurance could be costly to defend against, result in substantial damage awards against us, and divert the attention of our management and our partners from our operations, which could have a material adverse effect on our business, financial condition, results of operations, and prospects.</w:t>
      </w:r>
    </w:p>
    <w:p>
      <w:pPr>
        <w:spacing w:after="0" w:line="173"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from legal and arbitration proceedings that may prevent us from pursuing our business activities or require us to incur additional costs in defending against claims or paying damages.</w:t>
      </w:r>
    </w:p>
    <w:p>
      <w:pPr>
        <w:spacing w:after="0" w:line="159"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We may become subject to legal disputes and regulatory proceedings in connection with our business activities involving, among other things, product liability, product defects, intellectual property infringement, employment matters, and/or alleged violations of other applicable laws in various jurisdictions. We may not be insured against all potential damages that may arise out of any claims to which we may be party in the ordinary course of our business. A negative outcome of these proceedings may prevent us from pursuing certain activities and/or require us to incur additional costs in order to do so and pay damages.</w:t>
      </w:r>
    </w:p>
    <w:p>
      <w:pPr>
        <w:spacing w:after="0" w:line="18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outcome of pending or potential future legal and arbitration proceedings is difficult to predict with certainty. In the event of a negative outcome of any material legal or arbitration proceeding, whether based on a judgment or a settlement agreement, we could be obligated to make substantial payments, which could have a material adverse effect on our business, financial condition, results of operations, and prospects. In addition, the costs related to litigation and arbitration proceedings may be significant, and any legal or arbitration proceedings could have a material adverse effect on our business, financial condition, results of operations, and prospects.</w:t>
      </w:r>
    </w:p>
    <w:p>
      <w:pPr>
        <w:spacing w:after="0" w:line="179"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FCPA, economic and trade sanctions regulations, and similar laws could subject us to penalties and other adverse consequences.</w:t>
      </w:r>
    </w:p>
    <w:p>
      <w:pPr>
        <w:spacing w:after="0" w:line="15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are subject to the FCPA and other laws in the U.S. and elsewhere that prohibit improper payments or offers of payments to foreign governments and their officials and political parties for the purpose of obtaining or retaining business. Certain suppliers and manufacturers of devices and supplies provided in connection with our programs are located in countries known to experience corruption. Business activities in these countries create the risk of unauthorized payments or offers of payments by one of our employees, contractors, or agents that could be in violation of various laws, including the FCPA and anti-bribery laws in these countries, even though these parties are not always subject to our control. While we have implemented policies and procedures designed to discourage these practices by our employees, consultants, and agents and to identify and address potentially impermissible transactions under such laws and regulations, we cannot assure you that none of our employees, consultants, and agents will take actions in violation of our policies, for which we may be ultimately responsible.</w:t>
      </w:r>
    </w:p>
    <w:p>
      <w:pPr>
        <w:spacing w:after="0" w:line="185"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We are also subject to certain economic and trade sanctions programs that are administered by the U.S. Department of the Treasury’s Office of Foreign Assets Control which prohibit or restrict transactions to or from or dealings with specified countries, their governments, and in certain circumstances, their nationals, and with individuals and entities that are specially-designated nationals of those countries, narcotics traffickers, and terrorists or terrorist organizations.</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80"/>
          </w:cols>
          <w:pgMar w:left="320" w:top="451" w:right="4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Failure to comply with any of these laws and regulations or changes in this regulatory environment, including changing interpretations and the implementation of new or varying regulatory requirements by the government, may result in significant financial penalties or reputational harm, which could adversely affect our business, financial condition, results of operations, and prospects.</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Changes in the regulation of the Internet could adversely affect our business.</w:t>
      </w:r>
    </w:p>
    <w:p>
      <w:pPr>
        <w:spacing w:after="0" w:line="224" w:lineRule="exact"/>
        <w:rPr>
          <w:sz w:val="20"/>
          <w:szCs w:val="20"/>
          <w:color w:val="auto"/>
        </w:rPr>
      </w:pPr>
    </w:p>
    <w:p>
      <w:pPr>
        <w:jc w:val="both"/>
        <w:ind w:left="180" w:firstLine="436"/>
        <w:spacing w:after="0" w:line="271" w:lineRule="auto"/>
        <w:rPr>
          <w:sz w:val="20"/>
          <w:szCs w:val="20"/>
          <w:color w:val="auto"/>
        </w:rPr>
      </w:pPr>
      <w:r>
        <w:rPr>
          <w:rFonts w:ascii="Times New Roman" w:cs="Times New Roman" w:eastAsia="Times New Roman" w:hAnsi="Times New Roman"/>
          <w:sz w:val="17"/>
          <w:szCs w:val="17"/>
          <w:color w:val="auto"/>
        </w:rPr>
        <w:t>Laws, rules, and regulations governing Internet communications, advertising, and e-commerce are dynamic, and the extent of future government regulation is uncertain. Federal and state regulations govern various aspects of our online business, including intellectual property ownership and infringement, trade secrets, the distribution of electronic communications, marketing, and advertising, user privacy and data security, search engines, and Internet tracking technologies. Future taxation on the use of the Internet or e-commerce transactions could also be imposed. Existing or future regulation or taxation could increase our operating expenses and expose us to significant liabilities. To the extent any such regulations require us to take actions that negatively impact us, they could have a material adverse effect on our business, financial condition, results of operations, and prospects.</w:t>
      </w:r>
    </w:p>
    <w:p>
      <w:pPr>
        <w:spacing w:after="0" w:line="168"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healthcare reforms or reductions in government spending may make it more difficult and costly to produce, market, and distribute our programs or to do so profitably.</w:t>
      </w:r>
    </w:p>
    <w:p>
      <w:pPr>
        <w:spacing w:after="0" w:line="15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Recent political, economic, and regulatory influences are subjecting the healthcare industry to fundamental changes. Federal and state governments in the U.S. and foreign governments continue to propose and pass new legislation and regulations designed to contain or reduce the cost of healthcare, improve quality of care, and expand access to healthcare. For example, the Patient Protection and Affordable Care Act, as amended by the Healthcare and Education Reconciliation Act (the “ACA”), made major changes in how healthcare is delivered and reimbursed and increased access to health insurance by the uninsured and underinsured population of the U.S. The ACA, among other things, increased the number of individuals eligible for Medicaid and private insurance coverage, implemented reimbursement policies that tie payment to quality, facilitated the creation of accountable care organizations that may use capitation and other alternative payment methodologies, strengthened enforcement of fraud, waste, and abuse laws, and encouraged the use of IT.</w:t>
      </w:r>
    </w:p>
    <w:p>
      <w:pPr>
        <w:spacing w:after="0" w:line="185"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In addition, the ACA requires (with limited exceptions) that private health plans cover certain recommended preventive services without imposing member cost-sharing. For these purposes, “preventive services” refer to services selected by certain agencies, including the U.S. Preventive Services Task Force. Qualified health plans for individuals and the small-group market must also cover certain “essential benefits,” including chronic disease management, although those plans may meet that ACA requirement with other services and are not required to cover Omada’s programs specifically. Any changes to these coverage requirements and/or cost-sharing prohibitions could materially and adversely affect our business, financial condition, and results of operations.</w:t>
      </w:r>
    </w:p>
    <w:p>
      <w:pPr>
        <w:spacing w:after="0" w:line="187"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Separately, individuals covered by high-deductible health plans may receive preventive care, including certain preventive services identified by agencies like the U.S. Preventive Services Task Force and certain other items identified by the U.S. Internal Revenue Service (the “IRS”), without cost-sharing, even if the high deductible has not yet been met, while remaining eligible to make health savings account (“HSA”) contributions. High-deductible health plan participants may also receive disease management or wellness programs that do not provide significant benefits in the nature of medical care or treatment, without cost-sharing, even if the high deductible has not yet been met, while remaining eligible to make HSA contributions.</w:t>
      </w:r>
    </w:p>
    <w:p>
      <w:pPr>
        <w:spacing w:after="0" w:line="183"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 xml:space="preserve">Recently, the ACA’s delegation to the U.S. Preventive Services Task Force to recommend preventive services for ACA-compliant plans was challenged in </w:t>
      </w:r>
      <w:r>
        <w:rPr>
          <w:rFonts w:ascii="Times New Roman" w:cs="Times New Roman" w:eastAsia="Times New Roman" w:hAnsi="Times New Roman"/>
          <w:sz w:val="18"/>
          <w:szCs w:val="18"/>
          <w:i w:val="1"/>
          <w:iCs w:val="1"/>
          <w:color w:val="auto"/>
        </w:rPr>
        <w:t>Braidwood Management Inc., et al. v. Xavier Becerra, et al.</w:t>
      </w:r>
      <w:r>
        <w:rPr>
          <w:rFonts w:ascii="Times New Roman" w:cs="Times New Roman" w:eastAsia="Times New Roman" w:hAnsi="Times New Roman"/>
          <w:sz w:val="18"/>
          <w:szCs w:val="18"/>
          <w:color w:val="auto"/>
        </w:rPr>
        <w:t xml:space="preserve"> The U.S. Court of Appeals for the Fifth Circuit agreed with the lower court that the U.S. Preventive Services Task Force’s recommendations were not binding. As a result, ACA-compliant plans would not be required to cover preventive services without cost-sharing. The U.S. Supreme Court is scheduled to review the decision. Regardless of the U.S. Supreme Court’s decision with respect to whether the U.S. Preventive Services Task</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80"/>
          </w:cols>
          <w:pgMar w:left="320" w:top="451" w:right="4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Force recommendations are mandatory for ACA-compliant plans, the IRS has issued guidance indicating that those same recommended services will continue to be considered preventive care that does not affect HSA eligibility for a high-deductible plan participant. Nevertheless, any future changes to this guidance or to the types of care that high-deductible health plan participants may receive without cost-sharing may require us to collect cost-sharing for those individuals, cause fewer customers and channel partners to make our programs available, cause fewer covered individuals to choose to enroll in our programs, and materially and adversely affect our business, financial condition, results of operations, and prospects.</w:t>
      </w:r>
    </w:p>
    <w:p>
      <w:pPr>
        <w:spacing w:after="0" w:line="183" w:lineRule="exact"/>
        <w:rPr>
          <w:sz w:val="20"/>
          <w:szCs w:val="20"/>
          <w:color w:val="auto"/>
        </w:rPr>
      </w:pPr>
    </w:p>
    <w:p>
      <w:pPr>
        <w:jc w:val="both"/>
        <w:ind w:left="180" w:firstLine="436"/>
        <w:spacing w:after="0" w:line="249" w:lineRule="auto"/>
        <w:rPr>
          <w:sz w:val="20"/>
          <w:szCs w:val="20"/>
          <w:color w:val="auto"/>
        </w:rPr>
      </w:pPr>
      <w:r>
        <w:rPr>
          <w:rFonts w:ascii="Times New Roman" w:cs="Times New Roman" w:eastAsia="Times New Roman" w:hAnsi="Times New Roman"/>
          <w:sz w:val="18"/>
          <w:szCs w:val="18"/>
          <w:color w:val="auto"/>
        </w:rPr>
        <w:t>Other legislative changes have been adopted since the ACA was enacted. These changes include aggregate reductions to Medicare payments to providers, which began in 2013 and, due to subsequent legislative amendments, will stay in effect through 2032, with the exception of a temporary suspension from May 1, 2020 through March 31, 2022, unless additional Congressional action is taken.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and adversely affect demand for our programs among customers, channel partners, and members and affordability for our programs and, accordingly, our business, financial condition, results of operations, and prospects. Federal, state, or local budget cuts and cancellation of grants to state and local health departments and other agencies have reduced, and may continue to reduce, the number of individuals covered by those government funds for our programs. Additional changes that may affect our business include the expansion of new programs such as Medicare payment for performance initiatives for physicians under the Medicare Access and CHIP Reauthorization Act of 2015, which first affected physician payment in 2019. At this time, it is unclear how the introduction of the Medicare quality payment program will impact overall healthcare reimbursement. Such changes in the regulatory environment may also result in changes to our payer mix that may affect our operations and revenue. Further, the ACA may adversely affect payers by increasing medical costs generally, which could have an effect on the industry and potentially impact our business and revenue as payers seek to offset these increases by reducing costs in other areas. Certain of these provisions are still being implemented, and the full impact of these changes on us cannot be determined at this time. We expect that additional state and federal healthcare reform measures will be adopted in the future, any of which could limit the amounts that federal and state governments and other third-party payers will pay for healthcare products and services, which could materially and adversely affect our business, financial condition, results of operations, and prospects.</w:t>
      </w:r>
    </w:p>
    <w:p>
      <w:pPr>
        <w:spacing w:after="0" w:line="191" w:lineRule="exact"/>
        <w:rPr>
          <w:sz w:val="20"/>
          <w:szCs w:val="20"/>
          <w:color w:val="auto"/>
        </w:rPr>
      </w:pPr>
    </w:p>
    <w:p>
      <w:pPr>
        <w:jc w:val="both"/>
        <w:ind w:left="180"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consumer protection laws that regulate our marketing and benefit outreach practices and prohibit unfair or deceptive acts or practices. Our actual or perceived failure to comply with such obligations could harm our business, and changes in such regulations or laws could require us to modify our programs or marketing, advertising, or benefit outreach efforts.</w:t>
      </w:r>
    </w:p>
    <w:p>
      <w:pPr>
        <w:spacing w:after="0" w:line="17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In connection with the marketing or advertisement of our programs to potential customers and channel partners and our benefit outreach to covered individuals, we could be the target of claims relating to false, misleading, deceptive, or otherwise noncompliant advertising, marketing, or outreach practices, including under the auspices of the FTC and state consumer protection statutes. To the extent we use third parties to assist with or conduct any marketing, advertising, or benefit outreach regarding our programs, we could be liable for, or face reputational harm as a result of, their practices if, for example, they fail to comply with applicable statutory and regulatory requirements.</w:t>
      </w:r>
    </w:p>
    <w:p>
      <w:pPr>
        <w:spacing w:after="0" w:line="18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If we are found to have breached any consumer protection, advertising, unfair competition, or other laws or regulations, we may be subject to enforcement actions that require us to change our marketing or advertising to potential customers and channel partners, our benefit outreach to covered individuals, and other business practices in a manner which may negatively impact us. This could also result in litigation, fines, penalties, and adverse publicity that could cause reputational harm and loss of trust from customers, channel partners, and members, which could have a material adverse effect on our business, financial condition, results of operations, and prospects.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80"/>
          </w:cols>
          <w:pgMar w:left="320" w:top="451" w:right="4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Certain of the devices and supplies provided in connection with our programs are subject to extensive government regulation at the federal and state level, and any failure by the producers of such devices to comply with applicable requirements could harm our business.</w:t>
      </w:r>
    </w:p>
    <w:p>
      <w:pPr>
        <w:spacing w:after="0" w:line="15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Certain of the devices provided in connection with our programs, including blood pressure monitors and blood glucose monitors (including continuous glucose monitors), are medical devices that are subject to extensive regulation in the U.S., including by the FDA and state agencies. The FDA regulates, among other things, the design, development, research, manufacture, testing, packaging, distribution, storage, recordkeeping, reporting, labeling, marketing, promotion, advertising, sale, import, and export of devices. We rely on third parties to supply and manufacture the devices provided in connection with our programs. Applicable medical device regulations are complex and have tended to become more stringent over time, and regulatory changes could result in restrictions on the ability of our manufacturers to supply the devices that we provide to members in connection with our programs.</w:t>
      </w:r>
    </w:p>
    <w:p>
      <w:pPr>
        <w:spacing w:after="0" w:line="189"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Certain of the connected devices we provide to our members, including the blood glucose monitors and blood pressure monitors, have received 510(k) clearance. In the 510(k) clearance process, before a device may be marketed, the FDA must determine that the proposed device is “substantially equivalent” to a legally marketed “predicate” device, which includes a device that has been previously cleared through the 510(k) process, a device that was legally marketed prior to May 28, 1976 (a pre-amendments device), a device that was originally on the U.S. market pursuant to an approved premarket approval (“PMA”) application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PMA process,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w:t>
      </w:r>
    </w:p>
    <w:p>
      <w:pPr>
        <w:spacing w:after="0" w:line="186"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Certain modifications made to products cleared through a 510(k) may require a new 510(k) clearance. Both the PMA approval and the 510(k) clearance process can be expensive, lengthy, and uncertain. We do not manufacture, reprocess, remanufacture, export, or act as an initial importer or specification developer for the medical devices we provide to members, nor have we sought or obtained 510(k) clearance, PMA approval, or other marketing authorizations for the connected devices provided in connection with our programs. We remain wholly reliant on our suppliers and contract manufacturers to obtain the requisite marketing authorizations for their products and to comply with their respective obligations to comply with applicable FDA regulations and other legal requirements. We cannot assure you that our suppliers and contract manufacturers will comply with applicable laws and regulation, nor can we assure that any particular medical device we may seek to provide in connection with our programs will be approved or cleared by the FDA in the manner in which we expect. Any failures by our suppliers or third-party manufacturers to comply with applicable laws or regulations enforced by the FDA and comparable regulatory authorities, or any delay or failure by such parties to obtain necessary regulatory clearances or approvals for the devices we use in connection with our programs, if required in the future, could harm our business.</w:t>
      </w:r>
    </w:p>
    <w:p>
      <w:pPr>
        <w:spacing w:after="0" w:line="182"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our third-party suppliers fail to comply with the FDA’s Quality Systems Regulation or similar foreign regulations, our ability to distribute the connected devices that are provided to members in connection with our programs could be impaired.</w:t>
      </w:r>
    </w:p>
    <w:p>
      <w:pPr>
        <w:spacing w:after="0" w:line="159"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Certain of our third-party suppliers are required to comply with the FDA’s Quality System Regulation (“QSR”) and similar foreign regulations, which cover the methods and documentation of the design, testing, production, control, quality assurance, labeling, packaging, sterilization, storage, and shipping of the connected devices that are provided to members in connection with our programs. The FDA and foreign regulators audit</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80"/>
          </w:cols>
          <w:pgMar w:left="320" w:top="451" w:right="4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77" w:lineRule="auto"/>
        <w:rPr>
          <w:sz w:val="20"/>
          <w:szCs w:val="20"/>
          <w:color w:val="auto"/>
        </w:rPr>
      </w:pPr>
      <w:r>
        <w:rPr>
          <w:rFonts w:ascii="Times New Roman" w:cs="Times New Roman" w:eastAsia="Times New Roman" w:hAnsi="Times New Roman"/>
          <w:sz w:val="18"/>
          <w:szCs w:val="18"/>
          <w:color w:val="auto"/>
        </w:rPr>
        <w:t>compliance with the QSR and similar foreign regulations through periodic announced and unannounced inspections of manufacturing and other facilities. The FDA or foreign regulators may impose inspections or audits at any time.</w:t>
      </w:r>
    </w:p>
    <w:p>
      <w:pPr>
        <w:spacing w:after="0" w:line="163"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We cannot guarantee that our third-party suppliers will take the necessary steps to comply with applicable regulations, and their failure to do so could cause delays in the manufacture and delivery of our products. In addition, a third-party supplier’s failure to comply with applicable FDA requirements or later discovery of previously unknown problems with the connected devices or manufacturing processes for the connected devices could result in, among other things:</w:t>
      </w:r>
    </w:p>
    <w:p>
      <w:pPr>
        <w:spacing w:after="0" w:line="209" w:lineRule="exact"/>
        <w:rPr>
          <w:sz w:val="20"/>
          <w:szCs w:val="20"/>
          <w:color w:val="auto"/>
        </w:rPr>
      </w:pPr>
    </w:p>
    <w:p>
      <w:pPr>
        <w:ind w:left="1140" w:hanging="539"/>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future clearances or approvals;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seizures or recalls of the connected devices;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or distribution for the connected devices;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or judicially imposed sanctions against the connected devices; and</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the connected devices;</w:t>
      </w:r>
    </w:p>
    <w:p>
      <w:pPr>
        <w:spacing w:after="0" w:line="220"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Any of these actions could significantly and negatively impact supply of the connected devices that we are required to provide to members in connection with our programs. If any of these events occurs, our reputation could be harmed, we could be exposed to product liability claims, and we could lose customers and channel partners and suffer reduced revenue and increased costs.</w:t>
      </w:r>
    </w:p>
    <w:p>
      <w:pPr>
        <w:spacing w:after="0" w:line="173"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legal challenges to our business model or by actions restricting our ability to provide the full range of our services in certain jurisdictions.</w:t>
      </w:r>
    </w:p>
    <w:p>
      <w:pPr>
        <w:spacing w:after="0" w:line="159" w:lineRule="exact"/>
        <w:rPr>
          <w:sz w:val="20"/>
          <w:szCs w:val="20"/>
          <w:color w:val="auto"/>
        </w:rPr>
      </w:pPr>
    </w:p>
    <w:p>
      <w:pPr>
        <w:jc w:val="both"/>
        <w:ind w:left="180" w:right="20" w:firstLine="436"/>
        <w:spacing w:after="0" w:line="251" w:lineRule="auto"/>
        <w:rPr>
          <w:sz w:val="20"/>
          <w:szCs w:val="20"/>
          <w:color w:val="auto"/>
        </w:rPr>
      </w:pPr>
      <w:r>
        <w:rPr>
          <w:rFonts w:ascii="Times New Roman" w:cs="Times New Roman" w:eastAsia="Times New Roman" w:hAnsi="Times New Roman"/>
          <w:sz w:val="18"/>
          <w:szCs w:val="18"/>
          <w:color w:val="auto"/>
        </w:rPr>
        <w:t>Our ability to conduct our business in a particular U.S. state is directly dependent upon the applicable laws governing virtual healthcare and healthcare delivery in general in such location, which vary from state to state and are subject to changing political, regulatory, and other influences. With respect to virtual care services, in the past, state medical and physical therapy boards have established new rules or interpreted existing rules in a manner that has limited or restricted our and our affiliated professional entities’ ability to conduct business as it was conducted in other states. Some of these actions have resulted in litigation and the suspension or modification of virtual care operations in certain states. Although we do not believe that any services provided by us include physician services, the extent to which a state regulatory authority considers particular actions or relationships to constitute practicing medicine is subject to change and to evolving interpretations by medical boards and state attorneys general, among others, each with broad discretion, and requirements for the practice of physical therapy may apply to services we provide in Omada for MSK. Accordingly, we must monitor our compliance with laws in every jurisdiction in which we operate, on an ongoing basis, and we cannot provide assurance that our activities and arrangements, if challenged, will be found to be in compliance with applicable laws.</w:t>
      </w:r>
    </w:p>
    <w:p>
      <w:pPr>
        <w:spacing w:after="0" w:line="186"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Additionally, it is possible that the laws and rules governing the provision of healthcare, including virtual healthcare, in one or more jurisdictions may change in a manner deleterious to our business. For example, in August 2024, Illinois passed an amendment to the Illinois Physical Therapy Act, effective as of January 2025, that limits physical therapists’ ability to provide physical therapy via telehealth to patients in Illinois. The amendment requires, among other things, that initial physical therapy evaluations without a referral or established diagnosis be performed in person and cannot be performed via telehealth unless necessary to address a documented hardship, including geographical, physical, or weather-related conditions. Further, the amendment states that the use of telehealth as a primary means of delivering physical therapy must be an exception supported by documentation. The amendment also requires that a physical therapist providing virtual care must have the capacity to provide in-person care within Illinois. Since the passage of this amendment, we have made adjustments to the manner in which we offer our platform and programs in Illinois to comply with these requirements.</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80"/>
          </w:cols>
          <w:pgMar w:left="320" w:top="451" w:right="4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Increased regulation and legislative review of virtual healthcare practices could further increase our costs of doing business. Authorities may not agree with our interpretation of existing or future legislation and regulation, which may require us to incur additional costs. Further, states may pass new measures, including measures similar to those in Illinois, which may restrict the delivery of virtual physical therapy or add new requirements, including requirements that members receiving physical therapy have the right to request and receive in-person care. If states pass additional measures, we may need to make adjustments to the delivery of our platform and programs in those jurisdictions, which could make it difficult and more expensive to operate our business in general or to operate our business in those states, which could materially and adversely affect our business, financial condition, results of operations, and prospects.</w:t>
      </w:r>
    </w:p>
    <w:p>
      <w:pPr>
        <w:spacing w:after="0" w:line="189"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If a legal challenge to our activities and arrangements is successful, or an adverse change in the relevant laws were to occur, and we were unable to adapt our business model accordingly, our operations as well as the operations of our affiliated professional entities in the affected jurisdictions would be disrupted, which could have a material adverse effect on our business, financial condition, results of operations, and prospects. Failure to comply with these laws could also result in professional discipline for the affiliated professional entities’ providers or civil or criminal penalties.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Risks Relating to Financial and Accounting Matters</w:t>
      </w:r>
    </w:p>
    <w:p>
      <w:pPr>
        <w:spacing w:after="0" w:line="220"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other tax attributes may be limited due to certain provisions of the Internal Revenue Code or state tax law.</w:t>
      </w:r>
    </w:p>
    <w:p>
      <w:pPr>
        <w:spacing w:after="0" w:line="159"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may never achieve profitability. U.S. federal net operating loss carryforwards (“NOLs”) we generated in tax years through December 31, 2017 may be carried forward for 20 years and may fully offset taxable income in the year utilized, and federal NOLs we generated in tax years beginning after December 31, 2017 may be carried forward indefinitely but may only be used to offset 80% of our taxable income annually for tax years beginning after December 31, 2020.</w:t>
      </w:r>
    </w:p>
    <w:p>
      <w:pPr>
        <w:spacing w:after="0" w:line="182"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Realization of these NOLs depends on future taxable income, and there is a risk that our existing NOLs could expire unused and be unavailable to offset future taxable income, which could adversely affect our results of operations.</w:t>
      </w:r>
    </w:p>
    <w:p>
      <w:pPr>
        <w:spacing w:after="0" w:line="163"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of 1986, as amended, if a corporation undergoes an “ownership change,” the corporation’s ability to use its pre-change federal NOLs and other tax attributes (such as tax credits) to offset its post-change taxable income and taxes may be limited. In general, an “ownership change” occurs if there is a greater than 50 percentage point change (by value) in a corporation’s equity ownership by certain stockholders over a rolling three-year period. We may experience ownership changes in the future as a result of subsequent shifts in our stock ownership (some of which shifts are outside our control). As a result, our ability to use pre-change federal NOLs and other tax attributes to offset future taxable income and taxes could be subject to limitations. Similar provisions of state tax law may also apply. For these reasons, even if we achieve profitability, we may be unable to use a material portion of our NOLs and other tax attributes, which could materially and adversely affect our business, financial condition, results of operations, and prospects.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vary significantly from period to period.</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Various internal and external factors may have favorable or unfavorable effects on our future effective tax rate. These factors include, but are not limited to, changes in tax laws, regulations, or rates, both within and outside the U.S., structural changes in our business, new accounting pronouncements or changes to existing accounting pronouncements, non-deductible goodwill impairments, changing interpretations of existing tax laws or regulations, changes in the relative proportions of revenue and income before taxes in the various jurisdictions in which we operate that have different statutory tax rates, the future levels of tax benefits of equity-based</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80"/>
          </w:cols>
          <w:pgMar w:left="320" w:top="451" w:right="4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62" w:lineRule="auto"/>
        <w:rPr>
          <w:sz w:val="20"/>
          <w:szCs w:val="20"/>
          <w:color w:val="auto"/>
        </w:rPr>
      </w:pPr>
      <w:r>
        <w:rPr>
          <w:rFonts w:ascii="Times New Roman" w:cs="Times New Roman" w:eastAsia="Times New Roman" w:hAnsi="Times New Roman"/>
          <w:sz w:val="18"/>
          <w:szCs w:val="18"/>
          <w:color w:val="auto"/>
        </w:rPr>
        <w:t>compensation, changes in overall levels of pretax earnings, or changes in the valuation of our deferred tax assets and liabilities. Additionally, we could be challenged by state and local tax authorities as to the propriety of our sales tax compliance, and our results could be materially impacted by these compliance determinations.</w:t>
      </w:r>
    </w:p>
    <w:p>
      <w:pPr>
        <w:spacing w:after="0" w:line="177"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In addition, our effective tax rate may vary significantly depending on the market price of our common stock. The tax effects of the accounting for share-based compensation may significantly impact our effective tax rate from period to period. In periods in which the market price of our common stock is higher than the grant price of the share-based compensation vesting in that period, we will recognize excess tax benefits that will decrease our effective tax rate. In future periods in which our stock price is lower than the grant price of the share-based compensation vesting in that period, our effective tax rate may increase. The amount and value of share-based compensation issued relative to our earnings in a particular period will also affect the magnitude of the impact of share-based compensation on our effective tax rate. These tax effects are dependent on the market price of our common stock, which we do not control, and a decline in our stock price could significantly increase our effective tax rate and adversely affect our financial condition.</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tax rulings could adversely affect our effective tax rates, results of operations, and financial condition.</w:t>
      </w:r>
    </w:p>
    <w:p>
      <w:pPr>
        <w:spacing w:after="0" w:line="224" w:lineRule="exact"/>
        <w:rPr>
          <w:sz w:val="20"/>
          <w:szCs w:val="20"/>
          <w:color w:val="auto"/>
        </w:rPr>
      </w:pPr>
    </w:p>
    <w:p>
      <w:pPr>
        <w:jc w:val="both"/>
        <w:ind w:left="180" w:firstLine="436"/>
        <w:spacing w:after="0" w:line="268" w:lineRule="auto"/>
        <w:rPr>
          <w:sz w:val="20"/>
          <w:szCs w:val="20"/>
          <w:color w:val="auto"/>
        </w:rPr>
      </w:pPr>
      <w:r>
        <w:rPr>
          <w:rFonts w:ascii="Times New Roman" w:cs="Times New Roman" w:eastAsia="Times New Roman" w:hAnsi="Times New Roman"/>
          <w:sz w:val="17"/>
          <w:szCs w:val="17"/>
          <w:color w:val="auto"/>
        </w:rPr>
        <w:t>The tax regimes we are subject to or operate under are unsettled and may be subject to significant change. This challenge will continue to increase as we expand our operations globally. Changes in tax laws, issuance of new tax rulings, or changes in interpretations of existing laws could cause us to be subject to additional income-based taxes and non-income-based taxes, including payroll, sales, use, value-added, digital, net worth, property, and goods and services taxes, which in turn could adversely affect our results of operations and financial condition. In particular, 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it may enact further limitations on the deductibility of business interest. For example, on August 16, 2022, the Inflation Reduction Act (the “IRA”) was signed into law in the U.S. Among other changes, the IRA, along with subsequent regulations, imposes a minimum tax on certain corporations with book income of at least $1 billion, subject to certain adjustments, and a 1% excise tax on certain stock buybacks and similar corporate actions.</w:t>
      </w:r>
    </w:p>
    <w:p>
      <w:pPr>
        <w:spacing w:after="0" w:line="17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In addition, many countries in the European Union, as well as a number of other countries and organizations, have recently proposed or recommended changes to existing tax laws or have enacted new laws that could impact our tax obligations in the future. We are unable to predict what changes to the tax laws of the U.S. and other jurisdictions may be proposed or enacted in the future or what effect such changes would have on our business. Any of these or similar developments or changes to tax laws or rulings (which changes may have retroactive application) could adversely affect our effective tax rate and our results of operations and financial condition.</w:t>
      </w:r>
    </w:p>
    <w:p>
      <w:pPr>
        <w:spacing w:after="0" w:line="179" w:lineRule="exact"/>
        <w:rPr>
          <w:sz w:val="20"/>
          <w:szCs w:val="20"/>
          <w:color w:val="auto"/>
        </w:rPr>
      </w:pPr>
    </w:p>
    <w:p>
      <w:pPr>
        <w:jc w:val="both"/>
        <w:ind w:left="180"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applicability of sales, use, and other tax laws or regulations on our business is uncertain. Adverse tax laws or regulations could be enacted or existing laws could be applied to us, our customers, or our channel partners, which could subject us to additional tax liability and related interest and penalties, increase the costs of our programs, and adversely impact our business.</w:t>
      </w:r>
    </w:p>
    <w:p>
      <w:pPr>
        <w:spacing w:after="0" w:line="173"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The application of federal, state, local, and international tax laws to services provided electronically is evolving. New income, sales, use, value-added, or other tax laws, statutes, rules, regulations, or ordinances could be enacted at any time (possibly with retroactive effect) and could be applied solely or disproportionately to services provided over the Internet or could otherwise materially affect our results of operations and financial condition.</w:t>
      </w:r>
    </w:p>
    <w:p>
      <w:pPr>
        <w:spacing w:after="0" w:line="177"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 addition, state, local, and foreign tax jurisdictions have differing rules and regulations governing sales, use, value-added, and other taxes, and these rules and regulations can be complex and are subject to varying</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80"/>
          </w:cols>
          <w:pgMar w:left="320" w:top="451" w:right="4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0" w:lineRule="auto"/>
        <w:rPr>
          <w:sz w:val="20"/>
          <w:szCs w:val="20"/>
          <w:color w:val="auto"/>
        </w:rPr>
      </w:pPr>
      <w:r>
        <w:rPr>
          <w:rFonts w:ascii="Times New Roman" w:cs="Times New Roman" w:eastAsia="Times New Roman" w:hAnsi="Times New Roman"/>
          <w:sz w:val="18"/>
          <w:szCs w:val="18"/>
          <w:color w:val="auto"/>
        </w:rPr>
        <w:t>interpretations that may change over time. Existing tax laws, statutes, rules, regulations, or ordinances could be interpreted, changed, modified, or applied adversely to us (possibly with retroactive effect). We have not collected sales taxes in all jurisdictions in which our customers and members are located, and we believe we may have exposure for potential sales tax liability, including interest and penalties, for which we have established a reserve in our financial statements, and any sales tax exposure may be material to our operating results. Although our contracts with customers and channel partners typically provide that our customers and channel partners must pay all applicable sales and similar taxes, they may be reluctant to pay back taxes and associated interest or penalties, or we may determine that it would not be commercially feasible to seek reimbursement. In addition, we, our customers, or our channel partners could be required to pay additional tax amounts on both future as well as prior sales, and possibly fines or penalties and interest for past due taxes. If we are required to collect and pay back taxes and associated interest and penalties, and if the amount we are required to collect and pay exceeds our estimates and reserves, or if we are unsuccessful in collecting such amounts from our customers or channel partners, we could incur substantial unplanned expenses, thereby adversely impacting our operating results and cash flows. Imposition of such taxes on our services going forward or collection of sales tax from our customers or channel partners in respect of prior sales could also adversely affect our sales activity and have a negative impact on our operating results and cash flows.</w:t>
      </w:r>
    </w:p>
    <w:p>
      <w:pPr>
        <w:spacing w:after="0" w:line="191"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One or more states may seek to impose incremental or new sales, use, value added, or other tax collection obligations on us, including for past sales by us or our channel partners. A successful assertion by a state, country, or other jurisdiction that we should have been or should be collecting additional sales, use, value added, or other taxes on our programs could, among other things, result in substantial tax liabilities for past sales, create significant administrative burdens for us, discourage members from utilizing our programs or otherwise harm our business, results of operations, and financial condition.</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cash deposits with financial institutions exceed insured limits.</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with one or more U.S. financial institutions, and our deposits at these institutions exceed insured limits. Market conditions can impact the viability of financial institutions. In the event of failure of any of the financial institutions where we maintain our cash and cash equivalents, there can be no assurance that we would be able to access uninsured funds in a timely manner or at all. For example, bank failures in early 2023 impacted the timing of the collection of our receivables as we switched depositories. Any inability to access or delay in accessing these funds could adversely affect our business and financial condition.</w:t>
      </w:r>
    </w:p>
    <w:p>
      <w:pPr>
        <w:spacing w:after="0" w:line="179"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principles or the interpretation thereof by the Financial Accounting Standards Board (“FASB”) affecting consolidation of entities could impact our consolidation of total revenues derived from PPTG.</w:t>
      </w:r>
    </w:p>
    <w:p>
      <w:pPr>
        <w:spacing w:after="0" w:line="15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Our financial statements are consolidated and include the accounts of PPTG, a professional corporation owned and operated by physical therapists that was determined to be a variable interest entity (“VIE”) for which we are the primary beneficiary, which consolidation is effected in accordance with applicable accounting rules. In the event of a change in accounting principles promulgated by FASB or in FASB’s interpretation of its principles, an adverse determination by a regulatory agency or a court, or a change in federal or state law relating to the ability to maintain present agreements or arrangements with PPTG, we may not be permitted to continue to consolidate the total revenues of PPTG. While our revenues derived from PPTG are not material, in the event PPTG revenues were to become a material portion of our revenues in the future, any inability to include the accounts of PPTG in our financial statements could adversely affect our business, results of operations, and financial condition.</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80"/>
          </w:cols>
          <w:pgMar w:left="320" w:top="451"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Risks Relating to Our Common Stock and this Offering</w:t>
      </w:r>
    </w:p>
    <w:p>
      <w:pPr>
        <w:spacing w:after="0" w:line="220"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There may not be an active trading market for our common stock, which may cause shares of our common stock to trade at a discount from the initial public offering price and make it difficult to sell the shares of common stock you purchase.</w:t>
      </w:r>
    </w:p>
    <w:p>
      <w:pPr>
        <w:spacing w:after="0" w:line="159"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It is possible that after this offering, an active trading market will not develop or, if developed, that any market will not be sustained, which would make it difficult for you to sell your shares of common stock at an attractive price or at all. The initial public offering price per share of common stock will be determined by agreement among us and the representatives of the underwriters and may not be indicative of the price at which shares of our common stock will trade in the public market, if any, after this offering. The market value of our common stock may decrease from the initial public offering price. Furthermore, an inactive market may also impair our ability to raise capital in the future by selling shares of our common stock.</w:t>
      </w:r>
    </w:p>
    <w:p>
      <w:pPr>
        <w:spacing w:after="0" w:line="183"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are an “emerging growth company,” as defined in the JOBS Act. We will remain an “emerging growth company” until the earliest to occur of:</w:t>
      </w:r>
    </w:p>
    <w:p>
      <w:pPr>
        <w:spacing w:after="0" w:line="259" w:lineRule="exact"/>
        <w:rPr>
          <w:sz w:val="20"/>
          <w:szCs w:val="20"/>
          <w:color w:val="auto"/>
        </w:rPr>
      </w:pPr>
    </w:p>
    <w:p>
      <w:pPr>
        <w:ind w:left="1140" w:hanging="539"/>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during which our total annual revenue equals or exceeds $1.235 billion (subject to adjustment for inflation);</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following the fifth anniversary of this offering;</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during the previous three-year period, issued more than $1 billion in non-convertible debt; or</w:t>
      </w:r>
    </w:p>
    <w:p>
      <w:pPr>
        <w:spacing w:after="0" w:line="247"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are deemed to be a “large accelerated filer” under the Securities Exchange Act of 1934, as amended (the “Exchange Act”).</w:t>
      </w:r>
    </w:p>
    <w:p>
      <w:pPr>
        <w:spacing w:after="0" w:line="163"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As a result of our “emerging growth company” status, we may take advantage of exemptions from various reporting requirements that would otherwise be applicable to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2"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Investors may find our common stock less attractive because we may rely on these exemptions. If some investors find our common stock less attractive as a result, there may be a less active trading market for our common stock and the market price of our common stock may be adversely affected and more volatile.</w:t>
      </w:r>
    </w:p>
    <w:p>
      <w:pPr>
        <w:spacing w:after="0" w:line="173"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and become subject to additional regulations and requirements as a result of becoming a public company, which could lower our profits or make it more difficult to run our business.</w:t>
      </w:r>
    </w:p>
    <w:p>
      <w:pPr>
        <w:spacing w:after="0" w:line="159"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have not incurred as a private company, including costs associated with public company reporting requirements. We also have incurred and will continue to incur costs associated with the Sarbanes-Oxley Act and related rules implemented by the U.S. Securities and Exchange Commission (the “SEC”) and the exchange our securities are listed on.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80"/>
          </w:cols>
          <w:pgMar w:left="320" w:top="451" w:right="4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Furthermore, if we are unable to satisfy our obligations as a public company, we could be subject to delisting of our common stock, fines, sanctions, other regulatory action, and potentially civil litigation.</w:t>
      </w:r>
    </w:p>
    <w:p>
      <w:pPr>
        <w:spacing w:after="0" w:line="179" w:lineRule="exact"/>
        <w:rPr>
          <w:sz w:val="20"/>
          <w:szCs w:val="20"/>
          <w:color w:val="auto"/>
        </w:rPr>
      </w:pPr>
    </w:p>
    <w:p>
      <w:pPr>
        <w:jc w:val="both"/>
        <w:ind w:left="18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our remediation of the material weaknesses is not effective, or if we experience additional material weaknesses in the future or otherwise fail to maintain an effective system of internal controls in the future, we may not be able to accurately or timely report our results of operations or financial condition, which may adversely affect investor confidence in us and, as a result, the value of our common stock.</w:t>
      </w:r>
    </w:p>
    <w:p>
      <w:pPr>
        <w:spacing w:after="0" w:line="17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As a public company, we will be required to maintain internal control over financial reporting and to report any material weaknesses in such internal controls. In addition, beginning with our second annual report on Form 10-K, we will be required to furnish a report by management on the effectiveness of our internal control over financial reporting, pursuant to Section 404 of the Sarbanes-Oxley Act. Effective internal control over financial reporting is necessary for us to provide reliable and timely financial reports and, together with adequate disclosure controls and procedures, are designed to reasonably detect and prevent fraud. Any failure to implement required new or improved controls, or difficulties encountered in their implementation, could cause us to fail to meet our reporting obligations. The process of designing, implementing, and testing the internal control over financial reporting required to comply with this obligation is time consuming, costly, and complicated.</w:t>
      </w:r>
    </w:p>
    <w:p>
      <w:pPr>
        <w:spacing w:after="0" w:line="189"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We have experienced control deficiencies, including material weaknesses, in our internal control over financial reporting and may experience control deficiencies in the future. In preparing the financial statements as of and for the years ended December 31, 2023 and 2024,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Management determined they had not fully maintained all components of the framework issued by the Committee of Sponsoring Organizations of the Treadway Commission (the “COSO”), a system for establishing internal controls. Specifically, the control deficiencies related to: (i) inadequate segregation of duties within our financial reporting process, leading to certain duties being performed by the same individuals, (ii) an insufficient complement of personnel with an appropriate level of technical knowledge to properly account for significant transactions, and (iii) inadequate formalized processes and control activities to support the financial close and reporting process, including the review of financial information, account analysis, and journal entries.</w:t>
      </w:r>
    </w:p>
    <w:p>
      <w:pPr>
        <w:spacing w:after="0" w:line="1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These material weaknesses resulted in adjustments to the financial statements.</w:t>
      </w:r>
    </w:p>
    <w:p>
      <w:pPr>
        <w:spacing w:after="0" w:line="220"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 response to the identified material weaknesses, we are committed to improving our internal control over financial reporting by implementing a remediation plan that includes:</w:t>
      </w:r>
    </w:p>
    <w:p>
      <w:pPr>
        <w:spacing w:after="0" w:line="190" w:lineRule="exact"/>
        <w:rPr>
          <w:sz w:val="20"/>
          <w:szCs w:val="20"/>
          <w:color w:val="auto"/>
        </w:rPr>
      </w:pPr>
    </w:p>
    <w:p>
      <w:pPr>
        <w:ind w:left="1140" w:hanging="539"/>
        <w:spacing w:after="0" w:line="277"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qualified professionals with appropriate levels of knowledge and experience to assist in the timely resolution of accounting issues in non-routine or complex transactions;</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additional procedures to ensure a greater degree of segregation of duties and refining processes for user access within financial reporting;</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additional technology infrastructure and refinement to enhance monitoring of financial transactions and exceptions and to promote related data integrity;</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80"/>
          </w:cols>
          <w:pgMar w:left="320" w:top="451" w:right="4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140" w:hanging="539"/>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developing and documenting formal business processes and controls related to financial reporting; and</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instituting a system of independent reviews of our financial information, accounting analyses, and related disclosures by knowledgeable personnel.</w:t>
      </w:r>
    </w:p>
    <w:p>
      <w:pPr>
        <w:spacing w:after="0" w:line="16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While we believe that these efforts will improve our internal control over financial reporting, the design and implementation of our remediation is ongoing and will require validation and testing of the design and operating effectiveness of our internal controls over a sustained period of financial reporting cycles. Our remediation actions are subject to ongoing review by our senior management and oversight from our audit committee. We will not be able to conclude whether these remediation actions will fully remediate the material weaknesses in our internal control over financial reporting until we have completed our remediation efforts and subsequent evaluation of their effectiveness.</w:t>
      </w:r>
    </w:p>
    <w:p>
      <w:pPr>
        <w:spacing w:after="0" w:line="183"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We cannot assure you that the measures we have taken to date, and are continuing to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82"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If we fail to remediate our existing material weaknesses or identify new material weaknesses in our internal controls over financial reporting, if we are unable to comply with the requirements of Section 404 of the Sarbanes-Oxley Act in a timely manner, if we are unable to conclude that our internal controls over financial reporting are effective, or if our independent registered public accounting firm is unable to express an opinion as to the effectiveness of our internal controls over financial reporting when we are no longer an emerging growth company, investors may lose confidence in the accuracy and completeness of our financial reports and the market price of our common stock could be negatively affected. As a result of such failures, we could also become subject to investigations by the stock exchange on which our securities are listed, the SEC, or other regulatory authorities, and become subject to litigation from investors and stockholders, which could harm our reputation and financial condition or divert financial and management resources from our regular business activities.</w:t>
      </w:r>
    </w:p>
    <w:p>
      <w:pPr>
        <w:spacing w:after="0" w:line="181"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in the foreseeable future. As a result, your ability to achieve a return on your investment will depend on appreciation in the market price of our common stock.</w:t>
      </w:r>
    </w:p>
    <w:p>
      <w:pPr>
        <w:spacing w:after="0" w:line="15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and we do not currently intend to pay any cash dividends on our capital stock in the foreseeable future. We currently intend to retain all available funds and any future earnings to fund the development and expansion of our business. Any future determination related to dividend policy will be made at the discretion of our board of directors, subject to applicable laws, and will depend upon, among other factors, our results of operations, prospects, financial condition, contractual restrictions, and capital requirements. Additionally, our ability to pay cash dividends on our capital stock is limited by the terms of our Credit Agreement and may be limited by the terms of any future debt or preferred securities we issue or any future credit facilities we enter into. Accordingly, investors must for the foreseeable future rely on sales of their common stock after price appreciation, which may never occur, as the only way to realize any future gains on their investments.</w:t>
      </w:r>
    </w:p>
    <w:p>
      <w:pPr>
        <w:spacing w:after="0" w:line="185"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our operating and financial performance in any given period does not meet any guidance that we provide to the public, the market price of our common stock may decline.</w:t>
      </w:r>
    </w:p>
    <w:p>
      <w:pPr>
        <w:spacing w:after="0" w:line="159"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We may, but are not obligated to, provide public guidance on our expected operating and financial results for future periods. Any such guidance will be composed of forward-looking statements subject to the risks and</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80"/>
          </w:cols>
          <w:pgMar w:left="320" w:top="451" w:right="4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uncertainties described in this prospectus and in our other public filings and public statements. Our actual results may not always be in line with or exceed any guidance we have provided, especially in times of economic uncertainty. If actual circumstances differ from those in our assumptions, our operating and financial results could fall below our publicly announced guidance or the expectations of investors. If, in the future, our operating or financial results for a particular period do not meet any guidance we provide or the expectations of investment analysts or investors generally, or if we reduce our guidance for future periods, the market price of our common stock may decline. Even if we do issue public guidance, there can be no assurance that we will continue to do so in the future.</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net proceeds to us from this offering and may not use them effectively.</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will have broad discretion in the application of the net proceeds to us from this offering, including for any of the purposes described in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If we do not use the net proceeds that we receive in this offering effectively, our business, results of operations, prospects, and financial condition could be harmed, and the market price of our common stock could decline. Pending their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 These investments may not yield a favorable return to our investors.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Investors in this offering will experience immediate and substantial dilution.</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The initial public offering price of our common stock is expected to be substantially higher than the pro forma as adjusted net tangible book value per share of our common stock. Therefore, if you purchase shares of our common stock in this offering, you will pay a price per share that substantially exceeds our pro forma as adjusted net tangible book value per share after this offering. Based on the initial public offering price of $19.00 per share, the midpoint of the price range set forth on the cover page of this prospectus, you will experience immediate dilution of $16.17 per share, representing the difference between our pro forma as adjusted net tangible book value per share after giving effect to this offering and the initial public offering price. In addition, purchasers of common stock in this offering will have contributed 24.3% of the aggregate price paid by all purchasers of our common stock but will own only approximately 14.2% of our total equity outstanding after this offering. Furthermore, if the underwriters exercise their option to purchase additional shares, or outstanding options and warrants are exercised, you could experience further dilution. For a further description of the dilution that you will experience immediately after this offering, see the section titled “Dilution.”</w:t>
      </w:r>
    </w:p>
    <w:p>
      <w:pPr>
        <w:spacing w:after="0" w:line="185"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might require additional capital to support business growth, and this capital might not be available on terms favorable to us, or at all, and may dilute existing stockholders’ ownership of our common stock.</w:t>
      </w:r>
    </w:p>
    <w:p>
      <w:pPr>
        <w:spacing w:after="0" w:line="159" w:lineRule="exact"/>
        <w:rPr>
          <w:sz w:val="20"/>
          <w:szCs w:val="20"/>
          <w:color w:val="auto"/>
        </w:rPr>
      </w:pPr>
    </w:p>
    <w:p>
      <w:pPr>
        <w:jc w:val="both"/>
        <w:ind w:left="180" w:firstLine="436"/>
        <w:spacing w:after="0" w:line="268" w:lineRule="auto"/>
        <w:rPr>
          <w:sz w:val="20"/>
          <w:szCs w:val="20"/>
          <w:color w:val="auto"/>
        </w:rPr>
      </w:pPr>
      <w:r>
        <w:rPr>
          <w:rFonts w:ascii="Times New Roman" w:cs="Times New Roman" w:eastAsia="Times New Roman" w:hAnsi="Times New Roman"/>
          <w:sz w:val="17"/>
          <w:szCs w:val="17"/>
          <w:color w:val="auto"/>
        </w:rPr>
        <w:t>We intend to continue to make investments to support our business growth and may require additional funds to respond to business challenges and opportunities, including the need to develop new programs, enhance our existing programs, enhance our operating infrastructure, expand internationally, and acquire complementary businesses and technologies. In order to achieve these objectives, we may make future commitments of capital resources. Accordingly, we may need to engage in equity or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In addition, the incurrence of indebtedness would increase our fixed obligations and include covenants or other restrictions that would impede our ability to manage our operations. Further, if additional financing is needed, we may not be able to obtain additional financing on terms favorable to us, or at all. Our inability to obtain adequate financing or financing on terms</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80"/>
          </w:cols>
          <w:pgMar w:left="320" w:top="451" w:right="4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77" w:lineRule="auto"/>
        <w:rPr>
          <w:sz w:val="20"/>
          <w:szCs w:val="20"/>
          <w:color w:val="auto"/>
        </w:rPr>
      </w:pPr>
      <w:r>
        <w:rPr>
          <w:rFonts w:ascii="Times New Roman" w:cs="Times New Roman" w:eastAsia="Times New Roman" w:hAnsi="Times New Roman"/>
          <w:sz w:val="18"/>
          <w:szCs w:val="18"/>
          <w:color w:val="auto"/>
        </w:rPr>
        <w:t>satisfactory to us, when we require it, could significantly limit our ability to continue supporting our business growth and responding to business challenges and opportunities.</w:t>
      </w:r>
    </w:p>
    <w:p>
      <w:pPr>
        <w:spacing w:after="0" w:line="159"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5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Prior to this offering, as of March 31, 2025, our executive officers, directors, holders of 5% or more of our capital stock and their respective affiliates held approximately 59.9% of our outstanding voting stock and, upon the closing of this offering, that same group will hold approximately 51.4% of our outstanding voting stock (assuming no exercise of the underwriters’ option to purchase additional shares and no exercise of outstanding options or warrants, except for the Series B Warrant Exercise and the Series D Warrant Exercise). Therefore, even after this offering, these stockholders will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our common stock in the public market after the lock-up agreements or market standoff agreements and other legal restrictions on resale discussed in this prospectus lapse, the trading price of our common stock could decline. Based upon the number of shares outstanding as of March 31, 2025 and assuming (i) the conversion of our outstanding redeemable convertible preferred stock as of March 31, 2025 into an aggregate of 39,406,221 shares of our common stock immediately prior to the completion of this offering, (ii) no exercise of the underwriters’ option to purchase additional shares of common stock, and (iii) no exercise of outstanding options or warrants subsequent to March 31, 2025, except for the Series B Warrant Exercise and the Series D Warrant Exercise, upon the closing of this offering, we will have outstanding a total of 55,744,340 shares of common stock. Of these shares, all of the shares of our common stock sold in this offering, plus any shares sold upon exercise of the underwriters’ option to purchase additional shares, will be freely tradable, without restriction, in the public market immediately following this offering.</w:t>
      </w:r>
    </w:p>
    <w:p>
      <w:pPr>
        <w:spacing w:after="0" w:line="189" w:lineRule="exact"/>
        <w:rPr>
          <w:sz w:val="20"/>
          <w:szCs w:val="20"/>
          <w:color w:val="auto"/>
        </w:rPr>
      </w:pPr>
    </w:p>
    <w:p>
      <w:pPr>
        <w:jc w:val="both"/>
        <w:ind w:left="180" w:firstLine="436"/>
        <w:spacing w:after="0" w:line="249" w:lineRule="auto"/>
        <w:rPr>
          <w:sz w:val="20"/>
          <w:szCs w:val="20"/>
          <w:color w:val="auto"/>
        </w:rPr>
      </w:pPr>
      <w:r>
        <w:rPr>
          <w:rFonts w:ascii="Times New Roman" w:cs="Times New Roman" w:eastAsia="Times New Roman" w:hAnsi="Times New Roman"/>
          <w:sz w:val="18"/>
          <w:szCs w:val="18"/>
          <w:color w:val="auto"/>
        </w:rPr>
        <w:t>In connection with this offering, we, our directors, our executive officers, and the record holders of substantially all of our outstanding securities have entered into lock-up agreements with the underwriters or are subject to market standoff agreements with us. In particular, we and each of our directors and our executive officers and certain other record holders that together represent approximately 80.4% of our outstanding common stock and securities directly or indirectly convertible into or exercisable or exchangeable for our common stock have entered into lock-up agreements with the underwriters prior to the commencement of this offering. The lock-up agreements pertaining to this offering include restrictions on the sale, transfer, or other disposition of shares during the period ending (i) 180 days from the date of this prospectus, or (ii) if the period ending 180 days after the date of this prospectus is scheduled to end during, or within five trading days prior to, a broadly applicable and regularly scheduled period during which trading in our securities would not be permitted under our insider trading policy (a “Blackout Period”), then the date that is ten trading days prior to the commencement of such Blackout Period (such period, the “restricted period”). Furthermore, (i) an additional approximately 2.6% of our outstanding common stock and securities directly or indirectly convertible into or exchangeable or exercisable for our common stock are subject to the market standoff provisions in our amended and restated investors’ rights agreement, pursuant to which such holders agreed to not lend, offer, pledge,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held immediately prior to the effectiveness of this registration statement, or enter into any swap or other arrangement that transfers to another,</w:t>
      </w:r>
    </w:p>
    <w:p>
      <w:pPr>
        <w:spacing w:after="0" w:line="1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80"/>
          </w:cols>
          <w:pgMar w:left="320" w:top="451"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0" w:lineRule="auto"/>
        <w:rPr>
          <w:sz w:val="20"/>
          <w:szCs w:val="20"/>
          <w:color w:val="auto"/>
        </w:rPr>
      </w:pPr>
      <w:r>
        <w:rPr>
          <w:rFonts w:ascii="Times New Roman" w:cs="Times New Roman" w:eastAsia="Times New Roman" w:hAnsi="Times New Roman"/>
          <w:sz w:val="18"/>
          <w:szCs w:val="18"/>
          <w:color w:val="auto"/>
        </w:rPr>
        <w:t>in whole or in part, any of the economic consequences of ownership of such common stock during the restricted period and (ii) an additional approximately 17.0% of our outstanding common stock and securities directly or indirectly convertible into or exchangeable or exercisable for our common stock are subject to restrictions contained in market standoff agreements with us that include restrictions on the sale, transfer, or other disposition of shares during the restricted period. The forms and specific restrictive provisions within these market standoff provisions vary among security holders. For example, although some of these market standoff agreements do not specifically restrict hedging transactions and others may be subject to different interpretations between us and security holders as to whether they restrict hedging, our insider trading policy prohibits hedging by all of our current directors, officers, and employees. Sales, short sales, or hedging transactions involving our equity securities, whether before or after this offering and whether or not we believe them to be prohibited, could adversely affect the price of our common stock. After the restricted period expires, substantially all of the securities subject to such lock-up and market standoff restrictions will be eligible for sale in the public market subject to compliance with applicable securities laws, approximately 5.7 million of which shares are held by directors, executive officers, and other affiliates and will be subject to Rule 144 under the Securities Act of 1933, as amended (the “Securities Act”). The representatives may, however, in their sole discretion, permit our officers, directors, and other stockholders who are subject to these lock-up agreements and market standoff agreements to sell shares prior to the expiration of the restricted period.</w:t>
      </w:r>
    </w:p>
    <w:p>
      <w:pPr>
        <w:spacing w:after="0" w:line="189"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After this offering, based upon the number of shares outstanding as of March 31, 2025, the holders of approximately 39.4 million shares of our common stock, or approximately 70.7% of our total outstanding common stock, will be entitled to rights with respect to the registration of their shares under the Securities Act, subject to vesting schedules and to the lock-up agreements and market standoff agreements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Participation in this offering by our existing stockholders and/or their affiliated entities may reduce the public float for our common stock.</w:t>
      </w:r>
    </w:p>
    <w:p>
      <w:pPr>
        <w:spacing w:after="0" w:line="224" w:lineRule="exact"/>
        <w:rPr>
          <w:sz w:val="20"/>
          <w:szCs w:val="20"/>
          <w:color w:val="auto"/>
        </w:rPr>
      </w:pPr>
    </w:p>
    <w:p>
      <w:pPr>
        <w:jc w:val="both"/>
        <w:ind w:left="180" w:right="20" w:firstLine="436"/>
        <w:spacing w:after="0" w:line="253" w:lineRule="auto"/>
        <w:rPr>
          <w:sz w:val="20"/>
          <w:szCs w:val="20"/>
          <w:color w:val="auto"/>
        </w:rPr>
      </w:pPr>
      <w:r>
        <w:rPr>
          <w:rFonts w:ascii="Times New Roman" w:cs="Times New Roman" w:eastAsia="Times New Roman" w:hAnsi="Times New Roman"/>
          <w:sz w:val="18"/>
          <w:szCs w:val="18"/>
          <w:color w:val="auto"/>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 There are no assurances that any of our existing stockholders or their affiliated entities will participate in the offering to a material extent, or at all.</w:t>
      </w:r>
    </w:p>
    <w:p>
      <w:pPr>
        <w:spacing w:after="0" w:line="183"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59"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that will be in effect immediately prior to the consummation of this offering will contain provisions that could delay or prevent changes in control or changes in our management without the consent of our board of directors. These provisions will include the following:</w:t>
      </w:r>
    </w:p>
    <w:p>
      <w:pPr>
        <w:spacing w:after="0" w:line="204" w:lineRule="exact"/>
        <w:rPr>
          <w:sz w:val="20"/>
          <w:szCs w:val="20"/>
          <w:color w:val="auto"/>
        </w:rPr>
      </w:pPr>
    </w:p>
    <w:p>
      <w:pPr>
        <w:ind w:left="1140" w:right="20" w:hanging="539"/>
        <w:spacing w:after="0" w:line="277"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47"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80"/>
          </w:cols>
          <w:pgMar w:left="320" w:top="451" w:right="4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140" w:hanging="539"/>
        <w:spacing w:after="0" w:line="257"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result in significant dilution to our common stockholders (including upon the conversion of any such shares of preferred stock into common stock) and could also be used to significantly dilute the ownership of a hostile acquirer;</w:t>
      </w:r>
    </w:p>
    <w:p>
      <w:pPr>
        <w:spacing w:after="0" w:line="208"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amended and restated bylaws without obtaining stockholder approval;</w:t>
      </w:r>
    </w:p>
    <w:p>
      <w:pPr>
        <w:spacing w:after="0" w:line="247"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 2/3% of the shares entitled to vote at an election of directors to adopt, amend, or repeal our amended and restated bylaws or to repeal certain provisions of our restated certificate of incorporation;</w:t>
      </w:r>
    </w:p>
    <w:p>
      <w:pPr>
        <w:spacing w:after="0" w:line="190"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90"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our board of directors, which may delay the ability of our stockholders to force consideration of a proposal or to take action, including the removal of directors; and</w:t>
      </w:r>
    </w:p>
    <w:p>
      <w:pPr>
        <w:spacing w:after="0" w:line="190" w:lineRule="exact"/>
        <w:rPr>
          <w:rFonts w:ascii="Times New Roman" w:cs="Times New Roman" w:eastAsia="Times New Roman" w:hAnsi="Times New Roman"/>
          <w:sz w:val="18"/>
          <w:szCs w:val="18"/>
          <w:color w:val="auto"/>
        </w:rPr>
      </w:pPr>
    </w:p>
    <w:p>
      <w:pPr>
        <w:jc w:val="both"/>
        <w:ind w:left="1140" w:hanging="539"/>
        <w:spacing w:after="0" w:line="26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77"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General Corporation Law of the State of Delaware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 For a description of our capital stock, see the section titled “Description of Capital Stock.”</w:t>
      </w:r>
    </w:p>
    <w:p>
      <w:pPr>
        <w:spacing w:after="0" w:line="178"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officers, and other employees or agents may reduce our available funds to satisfy successful third-party claims against us and may reduce the amount of money available to us.</w:t>
      </w:r>
    </w:p>
    <w:p>
      <w:pPr>
        <w:spacing w:after="0" w:line="159"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will provide that we will indemnify our directors and officers, in each case to the fullest extent permitted by Delaware law.</w:t>
      </w:r>
    </w:p>
    <w:p>
      <w:pPr>
        <w:spacing w:after="0" w:line="163"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In addition, as permitted by Section 145 of the Delaware General Corporation Law, our amended and restated bylaws to be effective immediately prior to the completion of this offering and our indemnification agreements that we have entered into with our directors, officers, and certain other employees will provide that:</w:t>
      </w:r>
    </w:p>
    <w:p>
      <w:pPr>
        <w:spacing w:after="0" w:line="204" w:lineRule="exact"/>
        <w:rPr>
          <w:sz w:val="20"/>
          <w:szCs w:val="20"/>
          <w:color w:val="auto"/>
        </w:rPr>
      </w:pPr>
    </w:p>
    <w:p>
      <w:pPr>
        <w:jc w:val="both"/>
        <w:ind w:left="1140" w:hanging="539"/>
        <w:spacing w:after="0" w:line="257"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208"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247" w:lineRule="exact"/>
        <w:rPr>
          <w:rFonts w:ascii="Times New Roman" w:cs="Times New Roman" w:eastAsia="Times New Roman" w:hAnsi="Times New Roman"/>
          <w:sz w:val="18"/>
          <w:szCs w:val="18"/>
          <w:color w:val="auto"/>
        </w:rPr>
      </w:pPr>
    </w:p>
    <w:p>
      <w:pPr>
        <w:jc w:val="both"/>
        <w:ind w:left="1140" w:right="20" w:hanging="539"/>
        <w:spacing w:after="0" w:line="308" w:lineRule="auto"/>
        <w:tabs>
          <w:tab w:leader="none" w:pos="11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80"/>
          </w:cols>
          <w:pgMar w:left="320" w:top="451" w:right="4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140" w:right="20" w:hanging="539"/>
        <w:spacing w:after="0" w:line="262"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203"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 provisions to reduce our indemnification obligations to directors, officers, employees, and agents.</w:t>
      </w:r>
    </w:p>
    <w:p>
      <w:pPr>
        <w:spacing w:after="0" w:line="159" w:lineRule="exact"/>
        <w:rPr>
          <w:sz w:val="20"/>
          <w:szCs w:val="20"/>
          <w:color w:val="auto"/>
        </w:rPr>
      </w:pPr>
    </w:p>
    <w:p>
      <w:pPr>
        <w:jc w:val="both"/>
        <w:ind w:left="180"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and amended and restated bylaws will provide that the Court of Chancery of the State of Delaware will be the exclusive forum for certain disputes between us and our stockholders, which could limit our stockholders’ ability to obtain a favorable judicial forum for disputes with us or our directors, officers or employees.</w:t>
      </w:r>
    </w:p>
    <w:p>
      <w:pPr>
        <w:spacing w:after="0" w:line="173"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will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Delaware General Corporation Law, our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restated certificate of incorporation and amended and restated bylaws will also provide that the federal district courts of the United States of America will be the exclusive forum for the resolution of any complaint asserting a cause of action against us or any of our directors, officers, employees, or agents and arising under the Securities Act. Nothing in our restated certificate of incorporation or amended and restated bylaws precludes stockholders that assert claims under the Exchange Act from bringing such claims in state or federal court, subject to applicable law.</w:t>
      </w:r>
    </w:p>
    <w:p>
      <w:pPr>
        <w:spacing w:after="0" w:line="191"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this choice of forum provision may limit a stockholder’s ability to bring a claim in a judicial forum that it finds favorable for disputes with us or any of our directors, officers, other employees, or stockholders, which may discourage lawsuits with respect to such claims (including by making it more costly for stockholders to bring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 choice of forum provision that will be contained in our restated certificate of incorporation and amended and restated bylaws to be inapplicable or unenforceable in an action, we may incur additional costs associated with resolving such action in other jurisdictions, which could adversely affect our business, financial condition, results of operations, and prospects.</w:t>
      </w:r>
    </w:p>
    <w:p>
      <w:pPr>
        <w:spacing w:after="0" w:line="1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80"/>
          </w:cols>
          <w:pgMar w:left="320" w:top="451" w:right="4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cause the value of your investment to decline.</w:t>
      </w:r>
    </w:p>
    <w:p>
      <w:pPr>
        <w:spacing w:after="0" w:line="224" w:lineRule="exact"/>
        <w:rPr>
          <w:sz w:val="20"/>
          <w:szCs w:val="20"/>
          <w:color w:val="auto"/>
        </w:rPr>
      </w:pPr>
    </w:p>
    <w:p>
      <w:pPr>
        <w:jc w:val="both"/>
        <w:ind w:left="180" w:firstLine="436"/>
        <w:spacing w:after="0" w:line="267" w:lineRule="auto"/>
        <w:rPr>
          <w:sz w:val="20"/>
          <w:szCs w:val="20"/>
          <w:color w:val="auto"/>
        </w:rPr>
      </w:pPr>
      <w:r>
        <w:rPr>
          <w:rFonts w:ascii="Times New Roman" w:cs="Times New Roman" w:eastAsia="Times New Roman" w:hAnsi="Times New Roman"/>
          <w:sz w:val="17"/>
          <w:szCs w:val="17"/>
          <w:color w:val="auto"/>
        </w:rPr>
        <w:t>Even if an active trading market develops, the market price of our common stock may be highly volatile and could be subject to wide fluctuations. Securities markets worldwide experience significant price and volume fluctuations. This market volatility, as well as general economic, market, or political conditions, could reduce the market price of our common stock regardless of our operating performance. In addition, our results of operations could be below the expectations of public market analysts and investors due to a number of potential factors, including variations in our quarterly results of operations, additions or departures of key management personnel, failure to meet analysts’ earnings estimates, publication of research reports about our industry, litigation and government investigations, data privacy and security-related events,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adverse publicity about the technology or virtual care industry, or individual scandals, and, in response, the market price of our common stock could decrease significantly. You may be unable to resell your shares of common stock at or above the initial public offering price.</w:t>
      </w:r>
    </w:p>
    <w:p>
      <w:pPr>
        <w:spacing w:after="0" w:line="176"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Stock markets experience extreme price and volume fluctuations. In the past, following periods of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spacing w:after="0" w:line="173"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5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market price for our stock would be negatively impacted. In the event we obtain securities or industry analyst coverage, if any of the analysts who cover us issue an adverse or misleading opinion regarding us, our business model, our intellectual property, or our stock performance,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0"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engage in acquisitions or strategic transactions or partnerships, it may increase our capital requirements, dilute our stockholders, cause us to incur debt or assume contingent liabilities, and subject us to other risks.</w:t>
      </w:r>
    </w:p>
    <w:p>
      <w:pPr>
        <w:spacing w:after="0" w:line="159"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From time to time we may evaluate various acquisitions and strategic transactions or partnerships, including licensing or acquiring complementary offerings, intellectual property rights, technologies, or businesses. Any acquisition or strategic transaction or partnership may entail numerous risks, including:</w:t>
      </w:r>
    </w:p>
    <w:p>
      <w:pPr>
        <w:spacing w:after="0" w:line="204" w:lineRule="exact"/>
        <w:rPr>
          <w:sz w:val="20"/>
          <w:szCs w:val="20"/>
          <w:color w:val="auto"/>
        </w:rPr>
      </w:pPr>
    </w:p>
    <w:p>
      <w:pPr>
        <w:ind w:left="1140" w:hanging="539"/>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offerings of an acquired company, including difficulties associated with integrating new personnel;</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80"/>
          </w:cols>
          <w:pgMar w:left="320" w:top="451" w:right="4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140" w:hanging="539"/>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programs and initiatives in pursuing such a strategic merger or acquisition;</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 uncertainties in our ability to maintain key business relationships;</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other party to such a transaction, including the prospects of that party and their existing products or product candidates and regulatory approvals; and</w:t>
      </w:r>
    </w:p>
    <w:p>
      <w:pPr>
        <w:spacing w:after="0" w:line="190"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offerings sufficient to meet our objectives in undertaking the acquisition or even to offset the associated acquisition and maintenance costs.</w:t>
      </w:r>
    </w:p>
    <w:p>
      <w:pPr>
        <w:spacing w:after="0" w:line="163" w:lineRule="exact"/>
        <w:rPr>
          <w:sz w:val="20"/>
          <w:szCs w:val="20"/>
          <w:color w:val="auto"/>
        </w:rPr>
      </w:pPr>
    </w:p>
    <w:p>
      <w:pPr>
        <w:jc w:val="both"/>
        <w:ind w:left="180" w:firstLine="436"/>
        <w:spacing w:after="0" w:line="285" w:lineRule="auto"/>
        <w:rPr>
          <w:sz w:val="20"/>
          <w:szCs w:val="20"/>
          <w:color w:val="auto"/>
        </w:rPr>
      </w:pPr>
      <w:r>
        <w:rPr>
          <w:rFonts w:ascii="Times New Roman" w:cs="Times New Roman" w:eastAsia="Times New Roman" w:hAnsi="Times New Roman"/>
          <w:sz w:val="17"/>
          <w:szCs w:val="17"/>
          <w:color w:val="auto"/>
        </w:rPr>
        <w:t>If we undertake acquisitions or strategic transactions or partnerships, we may issue dilutive securities, assume or incur debt obligations, incur large one-time expenses, and acquire intangible assets that could result in significant future amortization expense. Acquisitions or strategic transactions or partnerships could also result in costly litigation or liabilities for any breach of representations or warranties made in connection with those transactions.</w:t>
      </w:r>
    </w:p>
    <w:p>
      <w:pPr>
        <w:spacing w:after="0" w:line="15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The identification of these transactions can be difficult, time-consuming, and costly, and the transactions may not result in the benefits we anticipate. We may not be able to locate suitable opportunities for acquisitions or strategic transactions or partnerships, and even if we do locate such opportunities we may not be able to successfully bid for or obtain them on favorable terms, if at all, due to competitive factors or lack of sufficient resources. This inability could impair our ability to grow or obtain access to technology or products that may be important to the development of our business. Entering into negotiations for transactions that are not ultimately consummated may also result in diversion of management time and significant out-of-pocket costs. In addition, any acquisitions or strategic transactions or partnerships that we announce could be viewed negatively by our customers and channel partners, our members, our investors, or the public.</w:t>
      </w:r>
    </w:p>
    <w:p>
      <w:pPr>
        <w:spacing w:after="0" w:line="185" w:lineRule="exact"/>
        <w:rPr>
          <w:sz w:val="20"/>
          <w:szCs w:val="20"/>
          <w:color w:val="auto"/>
        </w:rPr>
      </w:pPr>
    </w:p>
    <w:p>
      <w:pPr>
        <w:jc w:val="both"/>
        <w:ind w:left="180" w:right="20"/>
        <w:spacing w:after="0" w:line="312" w:lineRule="auto"/>
        <w:rPr>
          <w:sz w:val="20"/>
          <w:szCs w:val="20"/>
          <w:color w:val="auto"/>
        </w:rPr>
      </w:pPr>
      <w:r>
        <w:rPr>
          <w:rFonts w:ascii="Times New Roman" w:cs="Times New Roman" w:eastAsia="Times New Roman" w:hAnsi="Times New Roman"/>
          <w:sz w:val="17"/>
          <w:szCs w:val="17"/>
          <w:b w:val="1"/>
          <w:bCs w:val="1"/>
          <w:i w:val="1"/>
          <w:iCs w:val="1"/>
          <w:color w:val="auto"/>
        </w:rPr>
        <w:t>Economic uncertainties or downturns in the general economy or the industries in which we or our customers or channel partners operate could disproportionately affect the demand for our programs and negatively impact our business, financial condition, results of operations, and prospects.</w:t>
      </w:r>
    </w:p>
    <w:p>
      <w:pPr>
        <w:spacing w:after="0" w:line="137"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Economic downturns, market volatility, inflation, tariffs, and uncertainty make it potentially very difficult for us and our customers and channel partners to accurately forecast and plan future business activities. During challenging economic times, our customers or channel partners may have difficulty gaining timely access to sufficient credit or obtaining credit on reasonable terms, which could impair their ability to make timely payments to us and adversely affect our revenue. Bank failures have had and in the future may have a similar impact on the ability or willingness of our customers and channel partners to make payments to us and the timing of collection of our receivables. If that were to occur, our financial results could be harmed. Furthermore, we have customers in a variety of different industries. A significant downturn in the economic activity attributable to any particular industry may cause organizations to react by reducing their capital and operating expenditures in general or by specifically reducing their spending on healthcare matters, including chronic care programs. In addition, our customers or channel partners may delay or cancel healthcare projects or seek to lower their costs by renegotiating contracts. To the extent purchases of our programs are perceived by existing or potential customers and channel partners to be discretionary, our revenue may be disproportionately affected by delays or reductions in general healthcare spending. Also, competitors may respond to challenging market conditions by lowering prices and attempting to lure away our business.</w:t>
      </w:r>
    </w:p>
    <w:p>
      <w:pPr>
        <w:spacing w:after="0" w:line="193"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Further, challenging economic conditions, including as a result of increased inflation and tariffs, may impair the ability of our customers and channel partners to pay for the services they already have purchased from us, and as a result, our write-offs of accounts receivable could increase. We cannot predict the timing, strength, or duration of any economic slowdown or recovery. If the condition of the general economy or markets in which we operate worsens, our business, financial condition, results of operations, and prospects could be materially and adversely affected.</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80"/>
          </w:cols>
          <w:pgMar w:left="320" w:top="451" w:right="4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In addition, certain of our physical therapy members are covered under health plans that require the member to cover a portion of their own healthcare expenses through the payment of member cost-sharing amounts, such as copayments, deductibles, or co-insurance. PPTG may not be able to collect the full amounts due with respect to these payments that are the member’s financial responsibility. To the extent permitted by law, amounts not covered by third-party payers are the obligations of individual members for which PPTG may not receive whole or partial payment. Any increase in cost shifting from third-party payers to individual members, including as a result of high deductible plans for members, increases our collection costs and reduces overall collections, which we may not be able to offset such additional costs with sufficient revenue.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80"/>
          </w:cols>
          <w:pgMar w:left="320" w:top="451" w:right="4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215" w:lineRule="exact"/>
        <w:rPr>
          <w:sz w:val="20"/>
          <w:szCs w:val="20"/>
          <w:color w:val="auto"/>
        </w:rPr>
      </w:pPr>
    </w:p>
    <w:p>
      <w:pPr>
        <w:ind w:left="1140" w:hanging="539"/>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financial performance, including our revenue and costs;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maintain profitability;</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effectively;</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programs or for chronic condition management or other virtual care programs in general;</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competitive solutions or other technological breakthroughs for the monitoring, treatment, or prevention of chronic conditions or the delivery of virtual care programs;</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strategies to achieve and maintain meaningful member engagement, clinical outcomes, and/or cost savings;</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strategies to establish and expand our relationships with employers, health plans, PBMs, health systems, government entities, and other existing and potential customers and channel partners;</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enroll new members;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and success of our partners generally and of our channel partner relationships;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size of our target market;</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strategies to attract new customers and channel partners and increase member enrollment from existing and potential customers and channel partners;</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the size of our organization and to attract talent;</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the adoption of business models billed based on enrollments, engagement, and/or outcomes;</w:t>
      </w:r>
    </w:p>
    <w:p>
      <w:pPr>
        <w:spacing w:after="0" w:line="247" w:lineRule="exact"/>
        <w:rPr>
          <w:rFonts w:ascii="Times New Roman" w:cs="Times New Roman" w:eastAsia="Times New Roman" w:hAnsi="Times New Roman"/>
          <w:sz w:val="18"/>
          <w:szCs w:val="18"/>
          <w:color w:val="auto"/>
        </w:rPr>
      </w:pPr>
    </w:p>
    <w:p>
      <w:pPr>
        <w:jc w:val="both"/>
        <w:ind w:left="1140" w:hanging="539"/>
        <w:spacing w:after="0" w:line="262"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with third-party manufacturers and suppliers for certain devices and other supplies that we deliver to members in connection with our programs, for cellular device connectivity, and for certain complementary healthcare services provided by external partners;</w:t>
      </w:r>
    </w:p>
    <w:p>
      <w:pPr>
        <w:spacing w:after="0" w:line="203"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technology, including artificial intelligence and machine learning, to operate certain features of our programs and to enable certain business processes;</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senior leadership and key clinical, scientific, and technology employees and other service providers;</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80"/>
          </w:cols>
          <w:pgMar w:left="320" w:top="451" w:right="4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140" w:hanging="539"/>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of employer-sponsored healthcare;</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high-quality support for customers, channel partners, and members;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widespread brand awareness cost-effectively;</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affiliated professional entities, third-party service providers, vendors, business partners, or other contractors or consultants to avoid and respond to cybersecurity incidents, data breaches, and other disruptions;</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release new programs and services or to develop and release successful enhancements to, new features for, and modifications to our existing programs, services, and platform;</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on our growth initiatives, business strategies, or operating plans;</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interoperability of our programs and related connected devices across a number of devices, operating systems, and third-party applications that we do not control;</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enforce, and enhance our intellectual property;</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affiliated professional entities’ ability to comply with privacy, data protection, and security laws;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changes in FDA enforcement policies with respect to medical software products;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affiliated professional entities;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legislative or regulatory healthcare reforms;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 of the devices and supplies provided in connection with our programs;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additional regulations and requirements as a result of becoming a public company; and</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the net proceeds from this offering.</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caution you that the foregoing list does not contain all of the forward-looking statements made in this prospectus.</w:t>
      </w:r>
    </w:p>
    <w:p>
      <w:pPr>
        <w:spacing w:after="0" w:line="220"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have based the forward-looking statements contained in this prospectus primarily on our current expectations, estimates, forecasts, and projections about future events and trends that we believe may affect our business, financial condition, results of operations, and prospects.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80"/>
          </w:cols>
          <w:pgMar w:left="320" w:top="451" w:right="4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8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3"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80"/>
          </w:cols>
          <w:pgMar w:left="320" w:top="451" w:right="4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4" w:lineRule="exact"/>
        <w:rPr>
          <w:sz w:val="20"/>
          <w:szCs w:val="20"/>
          <w:color w:val="auto"/>
        </w:rPr>
      </w:pPr>
    </w:p>
    <w:p>
      <w:pPr>
        <w:jc w:val="both"/>
        <w:ind w:left="180" w:firstLine="436"/>
        <w:spacing w:after="0" w:line="265" w:lineRule="auto"/>
        <w:rPr>
          <w:sz w:val="20"/>
          <w:szCs w:val="20"/>
          <w:color w:val="auto"/>
        </w:rPr>
      </w:pPr>
      <w:r>
        <w:rPr>
          <w:rFonts w:ascii="Times New Roman" w:cs="Times New Roman" w:eastAsia="Times New Roman" w:hAnsi="Times New Roman"/>
          <w:sz w:val="17"/>
          <w:szCs w:val="17"/>
          <w:color w:val="auto"/>
        </w:rPr>
        <w:t>This prospectus contains estimates, projections, and other information concerning our industry and our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the market and industry data included in this prospectus are reliable and are based on reasonable assumptions, these data and the industry in which we operate is subject to a high degree of uncertainty and risk due to a variety of factors, including those described in the section titled “Risk Factors.” These and other factors could cause results to differ materially from those expressed in these estimates, publications and reports made by third parties or us. Unless otherwise expressly stated, we obtained this industry, business, market, and other data from reports, research surveys, studies, and similar data prepared by market research firms and other third parties, industry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sources which we paid for, sponsored, or conducted, unless otherwise expressly stated or the context otherwise requires. While we have compiled, extracted, and reproduced industry data from these sources, we have not independently verified the data. Forecasts and other forward-looking information with respect to industry, business, market, and other data are subject to the same qualifications and additional uncertainties regarding the other forward-looking statements in this prospectus. See the section titled “Special Note Regarding Forward-Looking Statements.”</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Among others, we refer to estimates compiled by, or data from, the following industry sources:</w:t>
      </w:r>
    </w:p>
    <w:p>
      <w:pPr>
        <w:spacing w:after="0" w:line="245" w:lineRule="exact"/>
        <w:rPr>
          <w:sz w:val="20"/>
          <w:szCs w:val="20"/>
          <w:color w:val="auto"/>
        </w:rPr>
      </w:pPr>
    </w:p>
    <w:p>
      <w:pPr>
        <w:ind w:left="1140" w:right="20" w:hanging="539"/>
        <w:spacing w:after="0" w:line="279"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ACR Open Rheumatology, Holman, HR, </w:t>
      </w:r>
      <w:r>
        <w:rPr>
          <w:rFonts w:ascii="Times New Roman" w:cs="Times New Roman" w:eastAsia="Times New Roman" w:hAnsi="Times New Roman"/>
          <w:sz w:val="18"/>
          <w:szCs w:val="18"/>
          <w:i w:val="1"/>
          <w:iCs w:val="1"/>
          <w:color w:val="auto"/>
        </w:rPr>
        <w:t>The Relation of the Chronic Disease Epidemic to the Health Care Crisis</w:t>
      </w:r>
      <w:r>
        <w:rPr>
          <w:rFonts w:ascii="Times New Roman" w:cs="Times New Roman" w:eastAsia="Times New Roman" w:hAnsi="Times New Roman"/>
          <w:sz w:val="18"/>
          <w:szCs w:val="18"/>
          <w:color w:val="auto"/>
        </w:rPr>
        <w:t>, March 2020; 2(3):167-173.</w:t>
      </w:r>
    </w:p>
    <w:p>
      <w:pPr>
        <w:spacing w:after="0" w:line="186" w:lineRule="exact"/>
        <w:rPr>
          <w:rFonts w:ascii="Times New Roman" w:cs="Times New Roman" w:eastAsia="Times New Roman" w:hAnsi="Times New Roman"/>
          <w:sz w:val="18"/>
          <w:szCs w:val="18"/>
          <w:color w:val="auto"/>
        </w:rPr>
      </w:pPr>
    </w:p>
    <w:p>
      <w:pPr>
        <w:ind w:left="1140" w:hanging="539"/>
        <w:spacing w:after="0" w:line="279"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American Diabetes Association, Parker, ED, Lin, J, Mahoney, T, Ume, N, Yang, G, Gabbay, RA, ElSayed, NA, Bannuru, RR, </w:t>
      </w:r>
      <w:r>
        <w:rPr>
          <w:rFonts w:ascii="Times New Roman" w:cs="Times New Roman" w:eastAsia="Times New Roman" w:hAnsi="Times New Roman"/>
          <w:sz w:val="18"/>
          <w:szCs w:val="18"/>
          <w:i w:val="1"/>
          <w:iCs w:val="1"/>
          <w:color w:val="auto"/>
        </w:rPr>
        <w:t>Economic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Costs of Diabetes in the U.S. in 2022</w:t>
      </w:r>
      <w:r>
        <w:rPr>
          <w:rFonts w:ascii="Times New Roman" w:cs="Times New Roman" w:eastAsia="Times New Roman" w:hAnsi="Times New Roman"/>
          <w:sz w:val="18"/>
          <w:szCs w:val="18"/>
          <w:color w:val="auto"/>
        </w:rPr>
        <w:t>, Diabetes Care, January 2024; 47(1):26-43.</w:t>
      </w:r>
    </w:p>
    <w:p>
      <w:pPr>
        <w:spacing w:after="0" w:line="186" w:lineRule="exact"/>
        <w:rPr>
          <w:rFonts w:ascii="Times New Roman" w:cs="Times New Roman" w:eastAsia="Times New Roman" w:hAnsi="Times New Roman"/>
          <w:sz w:val="18"/>
          <w:szCs w:val="18"/>
          <w:color w:val="auto"/>
        </w:rPr>
      </w:pPr>
    </w:p>
    <w:p>
      <w:pPr>
        <w:ind w:left="1140" w:right="20" w:hanging="539"/>
        <w:spacing w:after="0" w:line="279"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American Diabetes Association, Park, J, Bigman, E, Zhang, P, </w:t>
      </w:r>
      <w:r>
        <w:rPr>
          <w:rFonts w:ascii="Times New Roman" w:cs="Times New Roman" w:eastAsia="Times New Roman" w:hAnsi="Times New Roman"/>
          <w:sz w:val="18"/>
          <w:szCs w:val="18"/>
          <w:i w:val="1"/>
          <w:iCs w:val="1"/>
          <w:color w:val="auto"/>
        </w:rPr>
        <w:t>Productivity Loss and Medical Costs Associated with Type 2 Diabetes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Among Employees Aged 18-64 Years with Large Employer-Sponsored Insurance</w:t>
      </w:r>
      <w:r>
        <w:rPr>
          <w:rFonts w:ascii="Times New Roman" w:cs="Times New Roman" w:eastAsia="Times New Roman" w:hAnsi="Times New Roman"/>
          <w:sz w:val="18"/>
          <w:szCs w:val="18"/>
          <w:color w:val="auto"/>
        </w:rPr>
        <w:t>, Diabetes Care, November 2022; 45(11):2553-2560.</w:t>
      </w:r>
    </w:p>
    <w:p>
      <w:pPr>
        <w:spacing w:after="0" w:line="186" w:lineRule="exact"/>
        <w:rPr>
          <w:rFonts w:ascii="Times New Roman" w:cs="Times New Roman" w:eastAsia="Times New Roman" w:hAnsi="Times New Roman"/>
          <w:sz w:val="18"/>
          <w:szCs w:val="18"/>
          <w:color w:val="auto"/>
        </w:rPr>
      </w:pPr>
    </w:p>
    <w:p>
      <w:pPr>
        <w:jc w:val="both"/>
        <w:ind w:left="1140" w:right="20" w:hanging="539"/>
        <w:spacing w:after="0" w:line="310" w:lineRule="auto"/>
        <w:tabs>
          <w:tab w:leader="none" w:pos="11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American Diabetes Association, Dall, TM, Yang, W, Gillespie, K, et al., </w:t>
      </w:r>
      <w:r>
        <w:rPr>
          <w:rFonts w:ascii="Times New Roman" w:cs="Times New Roman" w:eastAsia="Times New Roman" w:hAnsi="Times New Roman"/>
          <w:sz w:val="17"/>
          <w:szCs w:val="17"/>
          <w:i w:val="1"/>
          <w:iCs w:val="1"/>
          <w:color w:val="auto"/>
        </w:rPr>
        <w:t>The Economic Burden of Elevated Blood Glucose Levels in 2017: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Diagnosed and Undiagnosed Diabetes, Gestational Diabetes Mellitus, and Prediabetes</w:t>
      </w:r>
      <w:r>
        <w:rPr>
          <w:rFonts w:ascii="Times New Roman" w:cs="Times New Roman" w:eastAsia="Times New Roman" w:hAnsi="Times New Roman"/>
          <w:sz w:val="17"/>
          <w:szCs w:val="17"/>
          <w:color w:val="auto"/>
        </w:rPr>
        <w:t>, Diabetes Care, September 2019; 42(9):1661-1668.</w:t>
      </w:r>
    </w:p>
    <w:p>
      <w:pPr>
        <w:spacing w:after="0" w:line="162" w:lineRule="exact"/>
        <w:rPr>
          <w:rFonts w:ascii="Times New Roman" w:cs="Times New Roman" w:eastAsia="Times New Roman" w:hAnsi="Times New Roman"/>
          <w:sz w:val="17"/>
          <w:szCs w:val="17"/>
          <w:color w:val="auto"/>
        </w:rPr>
      </w:pPr>
    </w:p>
    <w:p>
      <w:pPr>
        <w:ind w:left="1140" w:right="20" w:hanging="539"/>
        <w:spacing w:after="0" w:line="279"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BMJ, Yao H, Zhang A, Li D, Wu Y, Wang C, Wan J, et al., </w:t>
      </w:r>
      <w:r>
        <w:rPr>
          <w:rFonts w:ascii="Times New Roman" w:cs="Times New Roman" w:eastAsia="Times New Roman" w:hAnsi="Times New Roman"/>
          <w:sz w:val="18"/>
          <w:szCs w:val="18"/>
          <w:i w:val="1"/>
          <w:iCs w:val="1"/>
          <w:color w:val="auto"/>
        </w:rPr>
        <w:t>Comparative Effectiveness of GLP-1 Receptor Agonists on Glycaemic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Body Weight, and Lipid Profile for Type 2 Diabetes: Systematic Review and Network Meta-analysis, </w:t>
      </w:r>
      <w:r>
        <w:rPr>
          <w:rFonts w:ascii="Times New Roman" w:cs="Times New Roman" w:eastAsia="Times New Roman" w:hAnsi="Times New Roman"/>
          <w:sz w:val="18"/>
          <w:szCs w:val="18"/>
          <w:color w:val="auto"/>
        </w:rPr>
        <w:t>January 2024; 384.</w:t>
      </w:r>
    </w:p>
    <w:p>
      <w:pPr>
        <w:spacing w:after="0" w:line="186" w:lineRule="exact"/>
        <w:rPr>
          <w:rFonts w:ascii="Times New Roman" w:cs="Times New Roman" w:eastAsia="Times New Roman" w:hAnsi="Times New Roman"/>
          <w:sz w:val="18"/>
          <w:szCs w:val="18"/>
          <w:color w:val="auto"/>
        </w:rPr>
      </w:pPr>
    </w:p>
    <w:p>
      <w:pPr>
        <w:ind w:left="1140" w:right="20" w:hanging="539"/>
        <w:spacing w:after="0" w:line="279"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American Journal of Preventive Medicine, Hood CM, Gennuso KP, Swain GR, Catlin BB, </w:t>
      </w:r>
      <w:r>
        <w:rPr>
          <w:rFonts w:ascii="Times New Roman" w:cs="Times New Roman" w:eastAsia="Times New Roman" w:hAnsi="Times New Roman"/>
          <w:sz w:val="18"/>
          <w:szCs w:val="18"/>
          <w:i w:val="1"/>
          <w:iCs w:val="1"/>
          <w:color w:val="auto"/>
        </w:rPr>
        <w:t>County Health Rankings: Relationships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Between Determinant Factors and Health Outcomes</w:t>
      </w:r>
      <w:r>
        <w:rPr>
          <w:rFonts w:ascii="Times New Roman" w:cs="Times New Roman" w:eastAsia="Times New Roman" w:hAnsi="Times New Roman"/>
          <w:sz w:val="18"/>
          <w:szCs w:val="18"/>
          <w:color w:val="auto"/>
        </w:rPr>
        <w:t>, February 2016; 50(2):129-135.</w:t>
      </w:r>
    </w:p>
    <w:p>
      <w:pPr>
        <w:spacing w:after="0" w:line="186" w:lineRule="exact"/>
        <w:rPr>
          <w:rFonts w:ascii="Times New Roman" w:cs="Times New Roman" w:eastAsia="Times New Roman" w:hAnsi="Times New Roman"/>
          <w:sz w:val="18"/>
          <w:szCs w:val="18"/>
          <w:color w:val="auto"/>
        </w:rPr>
      </w:pPr>
    </w:p>
    <w:p>
      <w:pPr>
        <w:ind w:left="1140" w:hanging="539"/>
        <w:spacing w:after="0" w:line="279"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Centers for Disease Control and Prevention, </w:t>
      </w:r>
      <w:r>
        <w:rPr>
          <w:rFonts w:ascii="Times New Roman" w:cs="Times New Roman" w:eastAsia="Times New Roman" w:hAnsi="Times New Roman"/>
          <w:sz w:val="18"/>
          <w:szCs w:val="18"/>
          <w:i w:val="1"/>
          <w:iCs w:val="1"/>
          <w:color w:val="auto"/>
        </w:rPr>
        <w:t>About the National Center for Chronic Disease Prevention and Health Promotion</w:t>
      </w:r>
      <w:r>
        <w:rPr>
          <w:rFonts w:ascii="Times New Roman" w:cs="Times New Roman" w:eastAsia="Times New Roman" w:hAnsi="Times New Roman"/>
          <w:sz w:val="18"/>
          <w:szCs w:val="18"/>
          <w:color w:val="auto"/>
        </w:rPr>
        <w:t>, last updated March 2023.</w:t>
      </w:r>
    </w:p>
    <w:p>
      <w:pPr>
        <w:spacing w:after="0" w:line="186"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Centers for Disease Control and Prevention, </w:t>
      </w:r>
      <w:r>
        <w:rPr>
          <w:rFonts w:ascii="Times New Roman" w:cs="Times New Roman" w:eastAsia="Times New Roman" w:hAnsi="Times New Roman"/>
          <w:sz w:val="18"/>
          <w:szCs w:val="18"/>
          <w:i w:val="1"/>
          <w:iCs w:val="1"/>
          <w:color w:val="auto"/>
        </w:rPr>
        <w:t>Health and Economic Costs of Chronic Diseases</w:t>
      </w:r>
      <w:r>
        <w:rPr>
          <w:rFonts w:ascii="Times New Roman" w:cs="Times New Roman" w:eastAsia="Times New Roman" w:hAnsi="Times New Roman"/>
          <w:sz w:val="18"/>
          <w:szCs w:val="18"/>
          <w:color w:val="auto"/>
        </w:rPr>
        <w:t>, last updated March 2023.</w:t>
      </w:r>
    </w:p>
    <w:p>
      <w:pPr>
        <w:spacing w:after="0" w:line="15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80"/>
          </w:cols>
          <w:pgMar w:left="320" w:top="451" w:right="4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6" w:lineRule="exact"/>
        <w:rPr>
          <w:sz w:val="20"/>
          <w:szCs w:val="20"/>
          <w:color w:val="auto"/>
        </w:rPr>
      </w:pPr>
    </w:p>
    <w:p>
      <w:pPr>
        <w:ind w:left="1140" w:hanging="539"/>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Centers for Disease Control and Prevention, </w:t>
      </w:r>
      <w:r>
        <w:rPr>
          <w:rFonts w:ascii="Times New Roman" w:cs="Times New Roman" w:eastAsia="Times New Roman" w:hAnsi="Times New Roman"/>
          <w:sz w:val="18"/>
          <w:szCs w:val="18"/>
          <w:i w:val="1"/>
          <w:iCs w:val="1"/>
          <w:color w:val="auto"/>
        </w:rPr>
        <w:t>Adult Obesity Facts</w:t>
      </w:r>
      <w:r>
        <w:rPr>
          <w:rFonts w:ascii="Times New Roman" w:cs="Times New Roman" w:eastAsia="Times New Roman" w:hAnsi="Times New Roman"/>
          <w:sz w:val="18"/>
          <w:szCs w:val="18"/>
          <w:color w:val="auto"/>
        </w:rPr>
        <w:t>, last updated May 2024.</w:t>
      </w:r>
    </w:p>
    <w:p>
      <w:pPr>
        <w:spacing w:after="0" w:line="247" w:lineRule="exact"/>
        <w:rPr>
          <w:rFonts w:ascii="Times New Roman" w:cs="Times New Roman" w:eastAsia="Times New Roman" w:hAnsi="Times New Roman"/>
          <w:sz w:val="18"/>
          <w:szCs w:val="18"/>
          <w:color w:val="auto"/>
        </w:rPr>
      </w:pPr>
    </w:p>
    <w:p>
      <w:pPr>
        <w:jc w:val="both"/>
        <w:ind w:left="1140" w:right="20" w:hanging="539"/>
        <w:spacing w:after="0" w:line="263"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Centers for Disease Control and Prevention, </w:t>
      </w:r>
      <w:r>
        <w:rPr>
          <w:rFonts w:ascii="Times New Roman" w:cs="Times New Roman" w:eastAsia="Times New Roman" w:hAnsi="Times New Roman"/>
          <w:sz w:val="18"/>
          <w:szCs w:val="18"/>
          <w:i w:val="1"/>
          <w:iCs w:val="1"/>
          <w:color w:val="auto"/>
        </w:rPr>
        <w:t>Hypertension Cascade: Hypertension Prevalence, Treatment and Control Estimates Among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Adults Aged 18 Years and Older Applying the Criteria From the American College of Cardiology and American Heart Association’s 2017 Hypertension Guideline—NHANES 2017–2020</w:t>
      </w:r>
      <w:r>
        <w:rPr>
          <w:rFonts w:ascii="Times New Roman" w:cs="Times New Roman" w:eastAsia="Times New Roman" w:hAnsi="Times New Roman"/>
          <w:sz w:val="18"/>
          <w:szCs w:val="18"/>
          <w:color w:val="auto"/>
        </w:rPr>
        <w:t>, May 2023.</w:t>
      </w:r>
    </w:p>
    <w:p>
      <w:pPr>
        <w:spacing w:after="0" w:line="201"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Centers for Disease Control and Prevention, </w:t>
      </w:r>
      <w:r>
        <w:rPr>
          <w:rFonts w:ascii="Times New Roman" w:cs="Times New Roman" w:eastAsia="Times New Roman" w:hAnsi="Times New Roman"/>
          <w:sz w:val="18"/>
          <w:szCs w:val="18"/>
          <w:i w:val="1"/>
          <w:iCs w:val="1"/>
          <w:color w:val="auto"/>
        </w:rPr>
        <w:t>National Diabetes Statistics Report, 2021</w:t>
      </w:r>
      <w:r>
        <w:rPr>
          <w:rFonts w:ascii="Times New Roman" w:cs="Times New Roman" w:eastAsia="Times New Roman" w:hAnsi="Times New Roman"/>
          <w:sz w:val="18"/>
          <w:szCs w:val="18"/>
          <w:color w:val="auto"/>
        </w:rPr>
        <w:t>, last updated May 2024.</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Centers for Disease Control and Prevention, </w:t>
      </w:r>
      <w:r>
        <w:rPr>
          <w:rFonts w:ascii="Times New Roman" w:cs="Times New Roman" w:eastAsia="Times New Roman" w:hAnsi="Times New Roman"/>
          <w:sz w:val="18"/>
          <w:szCs w:val="18"/>
          <w:i w:val="1"/>
          <w:iCs w:val="1"/>
          <w:color w:val="auto"/>
        </w:rPr>
        <w:t>Diabetes and Mental Health</w:t>
      </w:r>
      <w:r>
        <w:rPr>
          <w:rFonts w:ascii="Times New Roman" w:cs="Times New Roman" w:eastAsia="Times New Roman" w:hAnsi="Times New Roman"/>
          <w:sz w:val="18"/>
          <w:szCs w:val="18"/>
          <w:color w:val="auto"/>
        </w:rPr>
        <w:t>, last updated May 2023.</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Centers for Disease Control and Prevention, </w:t>
      </w:r>
      <w:r>
        <w:rPr>
          <w:rFonts w:ascii="Times New Roman" w:cs="Times New Roman" w:eastAsia="Times New Roman" w:hAnsi="Times New Roman"/>
          <w:sz w:val="18"/>
          <w:szCs w:val="18"/>
          <w:i w:val="1"/>
          <w:iCs w:val="1"/>
          <w:color w:val="auto"/>
        </w:rPr>
        <w:t>High Blood Pressure Facts</w:t>
      </w:r>
      <w:r>
        <w:rPr>
          <w:rFonts w:ascii="Times New Roman" w:cs="Times New Roman" w:eastAsia="Times New Roman" w:hAnsi="Times New Roman"/>
          <w:sz w:val="18"/>
          <w:szCs w:val="18"/>
          <w:color w:val="auto"/>
        </w:rPr>
        <w:t>, last updated January 2025.</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Centers for Disease Control and Prevention, </w:t>
      </w:r>
      <w:r>
        <w:rPr>
          <w:rFonts w:ascii="Times New Roman" w:cs="Times New Roman" w:eastAsia="Times New Roman" w:hAnsi="Times New Roman"/>
          <w:sz w:val="18"/>
          <w:szCs w:val="18"/>
          <w:i w:val="1"/>
          <w:iCs w:val="1"/>
          <w:color w:val="auto"/>
        </w:rPr>
        <w:t>Health Topics—Heart Disease and Heart Attack</w:t>
      </w:r>
      <w:r>
        <w:rPr>
          <w:rFonts w:ascii="Times New Roman" w:cs="Times New Roman" w:eastAsia="Times New Roman" w:hAnsi="Times New Roman"/>
          <w:sz w:val="18"/>
          <w:szCs w:val="18"/>
          <w:color w:val="auto"/>
        </w:rPr>
        <w:t>, last updated August 17, 2021.</w:t>
      </w:r>
    </w:p>
    <w:p>
      <w:pPr>
        <w:spacing w:after="0" w:line="249" w:lineRule="exact"/>
        <w:rPr>
          <w:rFonts w:ascii="Times New Roman" w:cs="Times New Roman" w:eastAsia="Times New Roman" w:hAnsi="Times New Roman"/>
          <w:sz w:val="18"/>
          <w:szCs w:val="18"/>
          <w:color w:val="auto"/>
        </w:rPr>
      </w:pPr>
    </w:p>
    <w:p>
      <w:pPr>
        <w:jc w:val="both"/>
        <w:ind w:left="1140" w:right="20" w:hanging="539"/>
        <w:spacing w:after="0" w:line="262"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Diabetes, Obesity &amp; Metabolism, Wilding JPH, Batterham RL, Davies M, Van Gaal LF, Kandler K, Konakli K, Lingvay I, McGowan BM, Oral TK, Rosenstock J, Wadden TA, Wharton S, Yokote K, Kushner RF, </w:t>
      </w:r>
      <w:r>
        <w:rPr>
          <w:rFonts w:ascii="Times New Roman" w:cs="Times New Roman" w:eastAsia="Times New Roman" w:hAnsi="Times New Roman"/>
          <w:sz w:val="18"/>
          <w:szCs w:val="18"/>
          <w:i w:val="1"/>
          <w:iCs w:val="1"/>
          <w:color w:val="auto"/>
        </w:rPr>
        <w:t>STEP 1 Study Group. Weight Regain and Cardiometabolic Effects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After Withdrawal of Semaglutide: The STEP 1 Trial Extension</w:t>
      </w:r>
      <w:r>
        <w:rPr>
          <w:rFonts w:ascii="Times New Roman" w:cs="Times New Roman" w:eastAsia="Times New Roman" w:hAnsi="Times New Roman"/>
          <w:sz w:val="18"/>
          <w:szCs w:val="18"/>
          <w:color w:val="auto"/>
        </w:rPr>
        <w:t>, August 2022; 24(8):1553-1564.</w:t>
      </w:r>
    </w:p>
    <w:p>
      <w:pPr>
        <w:spacing w:after="0" w:line="201"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Endotext, Naha S, Gardner MJ, Khangura D, et al., </w:t>
      </w:r>
      <w:r>
        <w:rPr>
          <w:rFonts w:ascii="Times New Roman" w:cs="Times New Roman" w:eastAsia="Times New Roman" w:hAnsi="Times New Roman"/>
          <w:sz w:val="18"/>
          <w:szCs w:val="18"/>
          <w:i w:val="1"/>
          <w:iCs w:val="1"/>
          <w:color w:val="auto"/>
        </w:rPr>
        <w:t>Hypertension in Diabetes</w:t>
      </w:r>
      <w:r>
        <w:rPr>
          <w:rFonts w:ascii="Times New Roman" w:cs="Times New Roman" w:eastAsia="Times New Roman" w:hAnsi="Times New Roman"/>
          <w:sz w:val="18"/>
          <w:szCs w:val="18"/>
          <w:color w:val="auto"/>
        </w:rPr>
        <w:t>, August 2021.</w:t>
      </w:r>
    </w:p>
    <w:p>
      <w:pPr>
        <w:spacing w:after="0" w:line="249"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GlobalData Publications, Inc.</w:t>
      </w:r>
    </w:p>
    <w:p>
      <w:pPr>
        <w:spacing w:after="0" w:line="245" w:lineRule="exact"/>
        <w:rPr>
          <w:rFonts w:ascii="Times New Roman" w:cs="Times New Roman" w:eastAsia="Times New Roman" w:hAnsi="Times New Roman"/>
          <w:sz w:val="18"/>
          <w:szCs w:val="18"/>
          <w:color w:val="auto"/>
        </w:rPr>
      </w:pPr>
    </w:p>
    <w:p>
      <w:pPr>
        <w:ind w:left="1140" w:hanging="539"/>
        <w:spacing w:after="0" w:line="279"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Hoffman, D, </w:t>
      </w:r>
      <w:r>
        <w:rPr>
          <w:rFonts w:ascii="Times New Roman" w:cs="Times New Roman" w:eastAsia="Times New Roman" w:hAnsi="Times New Roman"/>
          <w:sz w:val="18"/>
          <w:szCs w:val="18"/>
          <w:i w:val="1"/>
          <w:iCs w:val="1"/>
          <w:color w:val="auto"/>
        </w:rPr>
        <w:t>Commentary on Chronic Disease Prevention in the US in 2022</w:t>
      </w:r>
      <w:r>
        <w:rPr>
          <w:rFonts w:ascii="Times New Roman" w:cs="Times New Roman" w:eastAsia="Times New Roman" w:hAnsi="Times New Roman"/>
          <w:sz w:val="18"/>
          <w:szCs w:val="18"/>
          <w:color w:val="auto"/>
        </w:rPr>
        <w:t>, Annals of Bioethics &amp; Clinical Applications, Volume 5, Issue 2, May 23, 2022.</w:t>
      </w:r>
    </w:p>
    <w:p>
      <w:pPr>
        <w:spacing w:after="0" w:line="186"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International Foundation of Employee Benefit Plans, </w:t>
      </w:r>
      <w:r>
        <w:rPr>
          <w:rFonts w:ascii="Times New Roman" w:cs="Times New Roman" w:eastAsia="Times New Roman" w:hAnsi="Times New Roman"/>
          <w:sz w:val="18"/>
          <w:szCs w:val="18"/>
          <w:i w:val="1"/>
          <w:iCs w:val="1"/>
          <w:color w:val="auto"/>
        </w:rPr>
        <w:t>GLP-1 Drugs (U.S.): 2024 Pulse Survey</w:t>
      </w:r>
      <w:r>
        <w:rPr>
          <w:rFonts w:ascii="Times New Roman" w:cs="Times New Roman" w:eastAsia="Times New Roman" w:hAnsi="Times New Roman"/>
          <w:sz w:val="18"/>
          <w:szCs w:val="18"/>
          <w:color w:val="auto"/>
        </w:rPr>
        <w:t>, June 2024.</w:t>
      </w:r>
    </w:p>
    <w:p>
      <w:pPr>
        <w:spacing w:after="0" w:line="247" w:lineRule="exact"/>
        <w:rPr>
          <w:rFonts w:ascii="Times New Roman" w:cs="Times New Roman" w:eastAsia="Times New Roman" w:hAnsi="Times New Roman"/>
          <w:sz w:val="18"/>
          <w:szCs w:val="18"/>
          <w:color w:val="auto"/>
        </w:rPr>
      </w:pPr>
    </w:p>
    <w:p>
      <w:pPr>
        <w:ind w:left="1140" w:hanging="539"/>
        <w:spacing w:after="0" w:line="279"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Journal of Back and Musculoskeletal Rehabilitation, Kaka B, Maharaj SS, Fatoye F, </w:t>
      </w:r>
      <w:r>
        <w:rPr>
          <w:rFonts w:ascii="Times New Roman" w:cs="Times New Roman" w:eastAsia="Times New Roman" w:hAnsi="Times New Roman"/>
          <w:sz w:val="18"/>
          <w:szCs w:val="18"/>
          <w:i w:val="1"/>
          <w:iCs w:val="1"/>
          <w:color w:val="auto"/>
        </w:rPr>
        <w:t>Prevalence of Musculoskeletal Disorders in Patients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Diabetes Mellitus: A Systematic Review and Meta-analysis</w:t>
      </w:r>
      <w:r>
        <w:rPr>
          <w:rFonts w:ascii="Times New Roman" w:cs="Times New Roman" w:eastAsia="Times New Roman" w:hAnsi="Times New Roman"/>
          <w:sz w:val="18"/>
          <w:szCs w:val="18"/>
          <w:color w:val="auto"/>
        </w:rPr>
        <w:t>, March 2019.</w:t>
      </w:r>
    </w:p>
    <w:p>
      <w:pPr>
        <w:spacing w:after="0" w:line="188" w:lineRule="exact"/>
        <w:rPr>
          <w:rFonts w:ascii="Times New Roman" w:cs="Times New Roman" w:eastAsia="Times New Roman" w:hAnsi="Times New Roman"/>
          <w:sz w:val="18"/>
          <w:szCs w:val="18"/>
          <w:color w:val="auto"/>
        </w:rPr>
      </w:pPr>
    </w:p>
    <w:p>
      <w:pPr>
        <w:jc w:val="both"/>
        <w:ind w:left="1140" w:hanging="539"/>
        <w:spacing w:after="0" w:line="262"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Journal of the American Heart Association, Kirkland EB, Heincelman M, Bishu KG, Schumann SO, Schreiner A, Axon RN, Mauldin PD, Moran WP, </w:t>
      </w:r>
      <w:r>
        <w:rPr>
          <w:rFonts w:ascii="Times New Roman" w:cs="Times New Roman" w:eastAsia="Times New Roman" w:hAnsi="Times New Roman"/>
          <w:sz w:val="18"/>
          <w:szCs w:val="18"/>
          <w:i w:val="1"/>
          <w:iCs w:val="1"/>
          <w:color w:val="auto"/>
        </w:rPr>
        <w:t>Trends in Healthcare Expenditures Among US Adults With Hypertension: National Estimates, 2003-2014</w:t>
      </w:r>
      <w:r>
        <w:rPr>
          <w:rFonts w:ascii="Times New Roman" w:cs="Times New Roman" w:eastAsia="Times New Roman" w:hAnsi="Times New Roman"/>
          <w:sz w:val="18"/>
          <w:szCs w:val="18"/>
          <w:color w:val="auto"/>
        </w:rPr>
        <w:t>, May 2018; 7(11):e008731.</w:t>
      </w:r>
    </w:p>
    <w:p>
      <w:pPr>
        <w:spacing w:after="0" w:line="203" w:lineRule="exact"/>
        <w:rPr>
          <w:rFonts w:ascii="Times New Roman" w:cs="Times New Roman" w:eastAsia="Times New Roman" w:hAnsi="Times New Roman"/>
          <w:sz w:val="18"/>
          <w:szCs w:val="18"/>
          <w:color w:val="auto"/>
        </w:rPr>
      </w:pPr>
    </w:p>
    <w:p>
      <w:pPr>
        <w:jc w:val="both"/>
        <w:ind w:left="1140" w:hanging="539"/>
        <w:spacing w:after="0" w:line="262"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Journal of Research in Medical Sciences, Alijanvand, MH, Aminorroaya, A, Kazemi, I, Amini, M, Yamini, SA, Mansourian, M, </w:t>
      </w:r>
      <w:r>
        <w:rPr>
          <w:rFonts w:ascii="Times New Roman" w:cs="Times New Roman" w:eastAsia="Times New Roman" w:hAnsi="Times New Roman"/>
          <w:sz w:val="18"/>
          <w:szCs w:val="18"/>
          <w:i w:val="1"/>
          <w:iCs w:val="1"/>
          <w:color w:val="auto"/>
        </w:rPr>
        <w:t>Prevalence and Predictors of Prediabetes and Its Coexistence with High Blood Pressure in First-degree Relatives of Patients with Type 2 Diabetes: A 9-year Cohort Study</w:t>
      </w:r>
      <w:r>
        <w:rPr>
          <w:rFonts w:ascii="Times New Roman" w:cs="Times New Roman" w:eastAsia="Times New Roman" w:hAnsi="Times New Roman"/>
          <w:sz w:val="18"/>
          <w:szCs w:val="18"/>
          <w:color w:val="auto"/>
        </w:rPr>
        <w:t>, March 2020; 25:31.</w:t>
      </w:r>
    </w:p>
    <w:p>
      <w:pPr>
        <w:spacing w:after="0" w:line="201" w:lineRule="exact"/>
        <w:rPr>
          <w:rFonts w:ascii="Times New Roman" w:cs="Times New Roman" w:eastAsia="Times New Roman" w:hAnsi="Times New Roman"/>
          <w:sz w:val="18"/>
          <w:szCs w:val="18"/>
          <w:color w:val="auto"/>
        </w:rPr>
      </w:pPr>
    </w:p>
    <w:p>
      <w:pPr>
        <w:ind w:left="1140" w:right="20" w:hanging="539"/>
        <w:spacing w:after="0" w:line="279"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2024 Employer Health Benefits Survey</w:t>
      </w:r>
      <w:r>
        <w:rPr>
          <w:rFonts w:ascii="Times New Roman" w:cs="Times New Roman" w:eastAsia="Times New Roman" w:hAnsi="Times New Roman"/>
          <w:sz w:val="18"/>
          <w:szCs w:val="18"/>
          <w:color w:val="auto"/>
        </w:rPr>
        <w:t>, (KFF, October 9, 2024), https://www.kff.org/health-costs/report/2024-employer-health-benefits-survey/ (accessed February 2025)</w:t>
      </w:r>
    </w:p>
    <w:p>
      <w:pPr>
        <w:spacing w:after="0" w:line="186" w:lineRule="exact"/>
        <w:rPr>
          <w:rFonts w:ascii="Times New Roman" w:cs="Times New Roman" w:eastAsia="Times New Roman" w:hAnsi="Times New Roman"/>
          <w:sz w:val="18"/>
          <w:szCs w:val="18"/>
          <w:color w:val="auto"/>
        </w:rPr>
      </w:pPr>
    </w:p>
    <w:p>
      <w:pPr>
        <w:ind w:left="1140" w:hanging="539"/>
        <w:spacing w:after="0" w:line="279"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Ochieng, N, Cubanski, J, Neuman, T, </w:t>
      </w:r>
      <w:r>
        <w:rPr>
          <w:rFonts w:ascii="Times New Roman" w:cs="Times New Roman" w:eastAsia="Times New Roman" w:hAnsi="Times New Roman"/>
          <w:sz w:val="18"/>
          <w:szCs w:val="18"/>
          <w:i w:val="1"/>
          <w:iCs w:val="1"/>
          <w:color w:val="auto"/>
        </w:rPr>
        <w:t>A Snapshot of Sources of Coverage Among Medicare Beneficiaries</w:t>
      </w:r>
      <w:r>
        <w:rPr>
          <w:rFonts w:ascii="Times New Roman" w:cs="Times New Roman" w:eastAsia="Times New Roman" w:hAnsi="Times New Roman"/>
          <w:sz w:val="18"/>
          <w:szCs w:val="18"/>
          <w:color w:val="auto"/>
        </w:rPr>
        <w:t xml:space="preserve"> (KFF, September 23, 2024), https://www.kff.org/medicare/issue-brief/a-snapshot-of-sources-of-coverage-among-medicare-beneficiaries/ (accessed February 2025).</w:t>
      </w:r>
    </w:p>
    <w:p>
      <w:pPr>
        <w:spacing w:after="0" w:line="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80"/>
          </w:cols>
          <w:pgMar w:left="320" w:top="451" w:right="4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6" w:lineRule="exact"/>
        <w:rPr>
          <w:sz w:val="20"/>
          <w:szCs w:val="20"/>
          <w:color w:val="auto"/>
        </w:rPr>
      </w:pPr>
    </w:p>
    <w:p>
      <w:pPr>
        <w:ind w:left="1140" w:hanging="539"/>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National Center for Health Statistics, CDC WONDER Database, </w:t>
      </w:r>
      <w:r>
        <w:rPr>
          <w:rFonts w:ascii="Times New Roman" w:cs="Times New Roman" w:eastAsia="Times New Roman" w:hAnsi="Times New Roman"/>
          <w:sz w:val="18"/>
          <w:szCs w:val="18"/>
          <w:i w:val="1"/>
          <w:iCs w:val="1"/>
          <w:color w:val="auto"/>
        </w:rPr>
        <w:t>Multiple Cause of Death Data, 2018-2022</w:t>
      </w:r>
      <w:r>
        <w:rPr>
          <w:rFonts w:ascii="Times New Roman" w:cs="Times New Roman" w:eastAsia="Times New Roman" w:hAnsi="Times New Roman"/>
          <w:sz w:val="18"/>
          <w:szCs w:val="18"/>
          <w:color w:val="auto"/>
        </w:rPr>
        <w:t>.</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9"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National Center for Health Statistics, Emmerich, S, Fryar, C, Stierman, B, Ogden, C, </w:t>
      </w:r>
      <w:r>
        <w:rPr>
          <w:rFonts w:ascii="Times New Roman" w:cs="Times New Roman" w:eastAsia="Times New Roman" w:hAnsi="Times New Roman"/>
          <w:sz w:val="18"/>
          <w:szCs w:val="18"/>
          <w:i w:val="1"/>
          <w:iCs w:val="1"/>
          <w:color w:val="auto"/>
        </w:rPr>
        <w:t>Obesity and Severe Obesity Prevalence in Adults: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United States, August 2021-August 2023</w:t>
      </w:r>
      <w:r>
        <w:rPr>
          <w:rFonts w:ascii="Times New Roman" w:cs="Times New Roman" w:eastAsia="Times New Roman" w:hAnsi="Times New Roman"/>
          <w:sz w:val="18"/>
          <w:szCs w:val="18"/>
          <w:color w:val="auto"/>
        </w:rPr>
        <w:t>, NCHS Data Brief; no. 508, September 2024.</w:t>
      </w:r>
    </w:p>
    <w:p>
      <w:pPr>
        <w:spacing w:after="0" w:line="186" w:lineRule="exact"/>
        <w:rPr>
          <w:rFonts w:ascii="Times New Roman" w:cs="Times New Roman" w:eastAsia="Times New Roman" w:hAnsi="Times New Roman"/>
          <w:sz w:val="18"/>
          <w:szCs w:val="18"/>
          <w:color w:val="auto"/>
        </w:rPr>
      </w:pPr>
    </w:p>
    <w:p>
      <w:pPr>
        <w:jc w:val="both"/>
        <w:ind w:left="1140" w:right="20" w:hanging="539"/>
        <w:spacing w:after="0" w:line="263"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National Center for Health Statistics, Stierman, B, Afful, J, Carroll, MD, Chen, TC, Davy, O, Fink, S, et al., </w:t>
      </w:r>
      <w:r>
        <w:rPr>
          <w:rFonts w:ascii="Times New Roman" w:cs="Times New Roman" w:eastAsia="Times New Roman" w:hAnsi="Times New Roman"/>
          <w:sz w:val="18"/>
          <w:szCs w:val="18"/>
          <w:i w:val="1"/>
          <w:iCs w:val="1"/>
          <w:color w:val="auto"/>
        </w:rPr>
        <w:t>National Health and Nutrition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Examination Survey 2017—March 2020 Prepandemic Data Files—Development of Files and Prevalence Estimates For Selected Health Outcomes</w:t>
      </w:r>
      <w:r>
        <w:rPr>
          <w:rFonts w:ascii="Times New Roman" w:cs="Times New Roman" w:eastAsia="Times New Roman" w:hAnsi="Times New Roman"/>
          <w:sz w:val="18"/>
          <w:szCs w:val="18"/>
          <w:color w:val="auto"/>
        </w:rPr>
        <w:t>, National Health Statistics Reports; no. 158, June 2021.</w:t>
      </w:r>
    </w:p>
    <w:p>
      <w:pPr>
        <w:spacing w:after="0" w:line="201"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NFP, </w:t>
      </w:r>
      <w:r>
        <w:rPr>
          <w:rFonts w:ascii="Times New Roman" w:cs="Times New Roman" w:eastAsia="Times New Roman" w:hAnsi="Times New Roman"/>
          <w:sz w:val="18"/>
          <w:szCs w:val="18"/>
          <w:i w:val="1"/>
          <w:iCs w:val="1"/>
          <w:color w:val="auto"/>
        </w:rPr>
        <w:t>US Benefits Trend Report 2023</w:t>
      </w:r>
      <w:r>
        <w:rPr>
          <w:rFonts w:ascii="Times New Roman" w:cs="Times New Roman" w:eastAsia="Times New Roman" w:hAnsi="Times New Roman"/>
          <w:sz w:val="18"/>
          <w:szCs w:val="18"/>
          <w:color w:val="auto"/>
        </w:rPr>
        <w:t>, Available at: https://www.nfp.com/media/djsfwbiu/2023_usbenefitstrendreport.pdf.</w:t>
      </w:r>
    </w:p>
    <w:p>
      <w:pPr>
        <w:spacing w:after="0" w:line="247" w:lineRule="exact"/>
        <w:rPr>
          <w:rFonts w:ascii="Times New Roman" w:cs="Times New Roman" w:eastAsia="Times New Roman" w:hAnsi="Times New Roman"/>
          <w:sz w:val="18"/>
          <w:szCs w:val="18"/>
          <w:color w:val="auto"/>
        </w:rPr>
      </w:pPr>
    </w:p>
    <w:p>
      <w:pPr>
        <w:ind w:left="1140" w:hanging="539"/>
        <w:spacing w:after="0" w:line="263"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60% of Americans Would Be Uncomfortable with Provider Relying on AI in Their Own Health Care</w:t>
      </w:r>
      <w:r>
        <w:rPr>
          <w:rFonts w:ascii="Times New Roman" w:cs="Times New Roman" w:eastAsia="Times New Roman" w:hAnsi="Times New Roman"/>
          <w:sz w:val="18"/>
          <w:szCs w:val="18"/>
          <w:color w:val="auto"/>
        </w:rPr>
        <w:t>,” Pew Research Center, Washington, D.C. (February 22, 2023), https://www.pewresearch.org/science/2023/02/22/60-of-americans-would-be-uncomfortable-with-provider-relying-on-ai-in-their-own-health-care/</w:t>
      </w:r>
    </w:p>
    <w:p>
      <w:pPr>
        <w:spacing w:after="0" w:line="201"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Pharmaceutical Care Management Association, </w:t>
      </w:r>
      <w:r>
        <w:rPr>
          <w:rFonts w:ascii="Times New Roman" w:cs="Times New Roman" w:eastAsia="Times New Roman" w:hAnsi="Times New Roman"/>
          <w:sz w:val="18"/>
          <w:szCs w:val="18"/>
          <w:i w:val="1"/>
          <w:iCs w:val="1"/>
          <w:color w:val="auto"/>
        </w:rPr>
        <w:t>The Value of PBMs</w:t>
      </w:r>
      <w:r>
        <w:rPr>
          <w:rFonts w:ascii="Times New Roman" w:cs="Times New Roman" w:eastAsia="Times New Roman" w:hAnsi="Times New Roman"/>
          <w:sz w:val="18"/>
          <w:szCs w:val="18"/>
          <w:color w:val="auto"/>
        </w:rPr>
        <w:t>, 2024.</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9"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Pharmaceutical Strategies Group, </w:t>
      </w:r>
      <w:r>
        <w:rPr>
          <w:rFonts w:ascii="Times New Roman" w:cs="Times New Roman" w:eastAsia="Times New Roman" w:hAnsi="Times New Roman"/>
          <w:sz w:val="18"/>
          <w:szCs w:val="18"/>
          <w:i w:val="1"/>
          <w:iCs w:val="1"/>
          <w:color w:val="auto"/>
        </w:rPr>
        <w:t>2024 Trends in Drug Benefit Design Report</w:t>
      </w:r>
      <w:r>
        <w:rPr>
          <w:rFonts w:ascii="Times New Roman" w:cs="Times New Roman" w:eastAsia="Times New Roman" w:hAnsi="Times New Roman"/>
          <w:sz w:val="18"/>
          <w:szCs w:val="18"/>
          <w:color w:val="auto"/>
        </w:rPr>
        <w:t>, Dallas, TX: PSG, Spring 2024. Available from www.psgconsults.com.</w:t>
      </w:r>
    </w:p>
    <w:p>
      <w:pPr>
        <w:spacing w:after="0" w:line="186" w:lineRule="exact"/>
        <w:rPr>
          <w:rFonts w:ascii="Times New Roman" w:cs="Times New Roman" w:eastAsia="Times New Roman" w:hAnsi="Times New Roman"/>
          <w:sz w:val="18"/>
          <w:szCs w:val="18"/>
          <w:color w:val="auto"/>
        </w:rPr>
      </w:pPr>
    </w:p>
    <w:p>
      <w:pPr>
        <w:ind w:left="1140" w:right="20" w:hanging="539"/>
        <w:spacing w:after="0" w:line="279"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PLoS One, Ward ZJ, Bleich SN, Long MW, Gortmaker SL, </w:t>
      </w:r>
      <w:r>
        <w:rPr>
          <w:rFonts w:ascii="Times New Roman" w:cs="Times New Roman" w:eastAsia="Times New Roman" w:hAnsi="Times New Roman"/>
          <w:sz w:val="18"/>
          <w:szCs w:val="18"/>
          <w:i w:val="1"/>
          <w:iCs w:val="1"/>
          <w:color w:val="auto"/>
        </w:rPr>
        <w:t>Association of Body Mass Index with Health Care Expenditures in the United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States by Age and Sex</w:t>
      </w:r>
      <w:r>
        <w:rPr>
          <w:rFonts w:ascii="Times New Roman" w:cs="Times New Roman" w:eastAsia="Times New Roman" w:hAnsi="Times New Roman"/>
          <w:sz w:val="18"/>
          <w:szCs w:val="18"/>
          <w:color w:val="auto"/>
        </w:rPr>
        <w:t>, March 2021.</w:t>
      </w:r>
    </w:p>
    <w:p>
      <w:pPr>
        <w:spacing w:after="0" w:line="186" w:lineRule="exact"/>
        <w:rPr>
          <w:rFonts w:ascii="Times New Roman" w:cs="Times New Roman" w:eastAsia="Times New Roman" w:hAnsi="Times New Roman"/>
          <w:sz w:val="18"/>
          <w:szCs w:val="18"/>
          <w:color w:val="auto"/>
        </w:rPr>
      </w:pPr>
    </w:p>
    <w:p>
      <w:pPr>
        <w:ind w:left="1140" w:right="20" w:hanging="539"/>
        <w:spacing w:after="0" w:line="279"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RAND Health, Mattke, S, Mengistu, T, Klautzer, L, Sloss, EM, Brook, RH, </w:t>
      </w:r>
      <w:r>
        <w:rPr>
          <w:rFonts w:ascii="Times New Roman" w:cs="Times New Roman" w:eastAsia="Times New Roman" w:hAnsi="Times New Roman"/>
          <w:sz w:val="18"/>
          <w:szCs w:val="18"/>
          <w:i w:val="1"/>
          <w:iCs w:val="1"/>
          <w:color w:val="auto"/>
        </w:rPr>
        <w:t>Improving Care for Chronic Conditions</w:t>
      </w:r>
      <w:r>
        <w:rPr>
          <w:rFonts w:ascii="Times New Roman" w:cs="Times New Roman" w:eastAsia="Times New Roman" w:hAnsi="Times New Roman"/>
          <w:sz w:val="18"/>
          <w:szCs w:val="18"/>
          <w:color w:val="auto"/>
        </w:rPr>
        <w:t>, June 2015. Available from https://www.rand.org/pubs/research_reports/RR393.html.</w:t>
      </w:r>
    </w:p>
    <w:p>
      <w:pPr>
        <w:spacing w:after="0" w:line="186"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Segal Group, </w:t>
      </w:r>
      <w:r>
        <w:rPr>
          <w:rFonts w:ascii="Times New Roman" w:cs="Times New Roman" w:eastAsia="Times New Roman" w:hAnsi="Times New Roman"/>
          <w:sz w:val="18"/>
          <w:szCs w:val="18"/>
          <w:i w:val="1"/>
          <w:iCs w:val="1"/>
          <w:color w:val="auto"/>
        </w:rPr>
        <w:t>2023 Segal Health Plan Cost Trend Survey</w:t>
      </w:r>
      <w:r>
        <w:rPr>
          <w:rFonts w:ascii="Times New Roman" w:cs="Times New Roman" w:eastAsia="Times New Roman" w:hAnsi="Times New Roman"/>
          <w:sz w:val="18"/>
          <w:szCs w:val="18"/>
          <w:color w:val="auto"/>
        </w:rPr>
        <w:t>, 2022.</w:t>
      </w:r>
    </w:p>
    <w:p>
      <w:pPr>
        <w:spacing w:after="0" w:line="249"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Sensor Tower, Inc., Monthly Global Application Downloads, accessed April 2025.</w:t>
      </w:r>
    </w:p>
    <w:p>
      <w:pPr>
        <w:spacing w:after="0" w:line="245" w:lineRule="exact"/>
        <w:rPr>
          <w:rFonts w:ascii="Times New Roman" w:cs="Times New Roman" w:eastAsia="Times New Roman" w:hAnsi="Times New Roman"/>
          <w:sz w:val="18"/>
          <w:szCs w:val="18"/>
          <w:color w:val="auto"/>
        </w:rPr>
      </w:pPr>
    </w:p>
    <w:p>
      <w:pPr>
        <w:ind w:left="1140" w:hanging="539"/>
        <w:spacing w:after="0" w:line="279"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Lancet Regional Health—Americas, </w:t>
      </w:r>
      <w:r>
        <w:rPr>
          <w:rFonts w:ascii="Times New Roman" w:cs="Times New Roman" w:eastAsia="Times New Roman" w:hAnsi="Times New Roman"/>
          <w:sz w:val="18"/>
          <w:szCs w:val="18"/>
          <w:i w:val="1"/>
          <w:iCs w:val="1"/>
          <w:color w:val="auto"/>
        </w:rPr>
        <w:t>Musculoskeletal Health: An Ecological Study Assessing Disease Burden and Research Funding</w:t>
      </w:r>
      <w:r>
        <w:rPr>
          <w:rFonts w:ascii="Times New Roman" w:cs="Times New Roman" w:eastAsia="Times New Roman" w:hAnsi="Times New Roman"/>
          <w:sz w:val="18"/>
          <w:szCs w:val="18"/>
          <w:color w:val="auto"/>
        </w:rPr>
        <w:t>, January 2024.</w:t>
      </w:r>
    </w:p>
    <w:p>
      <w:pPr>
        <w:spacing w:after="0" w:line="186"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 Census Bureau, </w:t>
      </w:r>
      <w:r>
        <w:rPr>
          <w:rFonts w:ascii="Times New Roman" w:cs="Times New Roman" w:eastAsia="Times New Roman" w:hAnsi="Times New Roman"/>
          <w:sz w:val="18"/>
          <w:szCs w:val="18"/>
          <w:i w:val="1"/>
          <w:iCs w:val="1"/>
          <w:color w:val="auto"/>
        </w:rPr>
        <w:t>2019 U.S. Population Estimates Continue to Show the Nation’s Growth Is Slowing</w:t>
      </w:r>
      <w:r>
        <w:rPr>
          <w:rFonts w:ascii="Times New Roman" w:cs="Times New Roman" w:eastAsia="Times New Roman" w:hAnsi="Times New Roman"/>
          <w:sz w:val="18"/>
          <w:szCs w:val="18"/>
          <w:color w:val="auto"/>
        </w:rPr>
        <w:t>, December 30, 2019.</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 Census Bureau, </w:t>
      </w:r>
      <w:r>
        <w:rPr>
          <w:rFonts w:ascii="Times New Roman" w:cs="Times New Roman" w:eastAsia="Times New Roman" w:hAnsi="Times New Roman"/>
          <w:sz w:val="18"/>
          <w:szCs w:val="18"/>
          <w:i w:val="1"/>
          <w:iCs w:val="1"/>
          <w:color w:val="auto"/>
        </w:rPr>
        <w:t>Health Insurance Coverage in the United States: 2024</w:t>
      </w:r>
      <w:r>
        <w:rPr>
          <w:rFonts w:ascii="Times New Roman" w:cs="Times New Roman" w:eastAsia="Times New Roman" w:hAnsi="Times New Roman"/>
          <w:sz w:val="18"/>
          <w:szCs w:val="18"/>
          <w:color w:val="auto"/>
        </w:rPr>
        <w:t>, September 10, 2024.</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 Census Bureau, </w:t>
      </w:r>
      <w:r>
        <w:rPr>
          <w:rFonts w:ascii="Times New Roman" w:cs="Times New Roman" w:eastAsia="Times New Roman" w:hAnsi="Times New Roman"/>
          <w:sz w:val="18"/>
          <w:szCs w:val="18"/>
          <w:i w:val="1"/>
          <w:iCs w:val="1"/>
          <w:color w:val="auto"/>
        </w:rPr>
        <w:t>QuickFacts</w:t>
      </w:r>
      <w:r>
        <w:rPr>
          <w:rFonts w:ascii="Times New Roman" w:cs="Times New Roman" w:eastAsia="Times New Roman" w:hAnsi="Times New Roman"/>
          <w:sz w:val="18"/>
          <w:szCs w:val="18"/>
          <w:color w:val="auto"/>
        </w:rPr>
        <w:t>, 2023.</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World Health Organization, </w:t>
      </w:r>
      <w:r>
        <w:rPr>
          <w:rFonts w:ascii="Times New Roman" w:cs="Times New Roman" w:eastAsia="Times New Roman" w:hAnsi="Times New Roman"/>
          <w:sz w:val="18"/>
          <w:szCs w:val="18"/>
          <w:i w:val="1"/>
          <w:iCs w:val="1"/>
          <w:color w:val="auto"/>
        </w:rPr>
        <w:t>Diabetes</w:t>
      </w:r>
      <w:r>
        <w:rPr>
          <w:rFonts w:ascii="Times New Roman" w:cs="Times New Roman" w:eastAsia="Times New Roman" w:hAnsi="Times New Roman"/>
          <w:sz w:val="18"/>
          <w:szCs w:val="18"/>
          <w:color w:val="auto"/>
        </w:rPr>
        <w:t>, April 5, 2023.</w:t>
      </w:r>
    </w:p>
    <w:p>
      <w:pPr>
        <w:spacing w:after="0" w:line="222"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Information contained on or accessible through the websites referenced above are not a part of this prospectus, and the inclusion of the website addresses above are inactive textual references only.</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80"/>
          </w:cols>
          <w:pgMar w:left="320" w:top="451" w:right="4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$133.2 million (or approximately $154.1 million if the underwriters exercise in full their option to purchase up to 1,185,000 additional shares of common stock), based on an assumed initial public offering price of $19.00 per share, which is the midpoint of the estimated price range set forth on the cover page of this prospectus, after deducting estimated underwriting discounts and commissions and estimated offering expenses payable by us.</w:t>
      </w:r>
    </w:p>
    <w:p>
      <w:pPr>
        <w:spacing w:after="0" w:line="182"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of $19.00 per share of our common stock, which is the midpoint of the estimated price range set forth on the cover page of this prospectus, would increase or decrease, as applicable, the net proceeds to us from this offering by approximately $7.3 million, assuming the number of shares offered by us, as set forth on the cover page of this prospectus, remains the same, and after deducting estimated underwriting discounts and commissions and estimated offering expenses payable by us. Similarly, each increase or decrease of 1.0 million shares in the number of shares of common stock offered by us would increase or decrease, as applicable, the net proceeds to us from this offering by approximately $17.7 million, assuming the assumed initial public offering price of $19.00 per share of our common stock, which is the midpoint of the estimated price range set forth on the cover page of this prospectus, remains the same, and after deducting estimated underwriting discounts and commissions and estimated offering expenses payable by us.</w:t>
      </w:r>
    </w:p>
    <w:p>
      <w:pPr>
        <w:spacing w:after="0" w:line="185"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principal purposes of this offering are to increase our capitalization and financial flexibility and create a public market for our common stock. We currently intend to use the net proceeds from this offering for general corporate purposes, including working capital, operating expenses, and capital expenditures. We may also use a portion of the net proceeds to repay outstanding borrowings under the MidCap Credit Agreement and/or to acquire complementary businesses, products, services, or technologies. We periodically evaluate strategic opportunities; however, we have no current understandings or commitments to enter into any such acquisitions or make any such investments.</w:t>
      </w:r>
    </w:p>
    <w:p>
      <w:pPr>
        <w:spacing w:after="0" w:line="18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The MidCap Credit Agreement is composed of the MidCap Term Facility and the MidCap Revolving Facility, each of which matures on June 1, 2028. Interest is charged on any outstanding principal of the MidCap Term Facility at the sum of the one-month forward-looking term SOFR rate, plus 0.10% (“Adjusted SOFR”), plus 7.00%, subject to a floor of 2.50%. Interest on the MidCap Revolving Facility is charged at the sum of Adjusted SOFR plus 4.00%, subject to a floor of 2.50%. As of March 31, 2025, the outstanding balance on the MidCap Term Facility was $30.0 million, and the outstanding balance on the MidCap Revolving Facility was $1.0 million. See the section titled “Management’s Discussion and Analysis of Financial Condition and Results of Operations—Liquidity and Capital Resources” for more information.</w:t>
      </w:r>
    </w:p>
    <w:p>
      <w:pPr>
        <w:spacing w:after="0" w:line="187"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Accordingly, our management will have broad discretion in applying the net proceeds of this offering. The timing and amount of our actual expenditures will be based on many factors, including cash flows from operations and the anticipated growth of our business. Pending their use, we intend to invest the net proceeds of this offering in a variety of capital-preservation investments, including short- and intermediate-term investments, interest-bearing investments, investment-grade securities, government securities, and money market funds.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80"/>
          </w:cols>
          <w:pgMar w:left="320" w:top="451" w:right="4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available funds and any future earnings, if any, to fund the development and expansion of our business, and we do not anticipate paying any cash dividends in the foreseeable future. The terms of the MidCap Credit Agreement also restrict our ability to pay cash dividends, and we may enter into additional credit agreements or other borrowing arrangements in the future that may restrict our ability to declare or pay cash dividends on our capital stock. Any future determinations regarding the declaration and payment of dividends, if any, will be at the discretion of our board of directors, subject to applicable law, and will depend upon then-existing conditions, including our financial condition, results of operations, contractual restrictions, general business conditions, capital requirements, and other factors our board of directors may deem relevant.</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80"/>
          </w:cols>
          <w:pgMar w:left="320" w:top="451" w:right="4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March 31, 2025:</w:t>
      </w:r>
    </w:p>
    <w:p>
      <w:pPr>
        <w:spacing w:after="0" w:line="247" w:lineRule="exact"/>
        <w:rPr>
          <w:sz w:val="20"/>
          <w:szCs w:val="20"/>
          <w:color w:val="auto"/>
        </w:rPr>
      </w:pPr>
    </w:p>
    <w:p>
      <w:pPr>
        <w:ind w:left="1140" w:hanging="539"/>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247" w:lineRule="exact"/>
        <w:rPr>
          <w:rFonts w:ascii="Times New Roman" w:cs="Times New Roman" w:eastAsia="Times New Roman" w:hAnsi="Times New Roman"/>
          <w:sz w:val="18"/>
          <w:szCs w:val="18"/>
          <w:color w:val="auto"/>
        </w:rPr>
      </w:pPr>
    </w:p>
    <w:p>
      <w:pPr>
        <w:jc w:val="both"/>
        <w:ind w:left="1140" w:right="20" w:hanging="539"/>
        <w:spacing w:after="0" w:line="262"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reflect: (i) the Preferred Stock Conversion, (ii) the Series B Warrant Exercise, (iii) the Series D Warrant Exercise, and (iv) the filing and effectiveness of our restated certificate of incorporation, which will become effective immediately prior to the completion of this offering; and</w:t>
      </w:r>
    </w:p>
    <w:p>
      <w:pPr>
        <w:spacing w:after="0" w:line="203" w:lineRule="exact"/>
        <w:rPr>
          <w:rFonts w:ascii="Times New Roman" w:cs="Times New Roman" w:eastAsia="Times New Roman" w:hAnsi="Times New Roman"/>
          <w:sz w:val="18"/>
          <w:szCs w:val="18"/>
          <w:color w:val="auto"/>
        </w:rPr>
      </w:pPr>
    </w:p>
    <w:p>
      <w:pPr>
        <w:jc w:val="both"/>
        <w:ind w:left="1140" w:hanging="539"/>
        <w:spacing w:after="0" w:line="257"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giving effect to the pro forma adjustments discussed above, and our receipt of estimated net proceeds from the sale of shares of common stock in this offering at an assumed initial public offering price of $19.00 per share, which is the midpoint of the estimated price range set forth on the cover page of this prospectus, after deducting estimated underwriting discounts and commissions and estimated offering expenses payable by us.</w:t>
      </w:r>
    </w:p>
    <w:p>
      <w:pPr>
        <w:spacing w:after="0" w:line="182"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You should read this table together with the sections titled “Selected Consolidated Financial Data,” “Management’s Discussion and Analysis of Financial Condition and Results of Operations,” and our audited consolidated financial statements and unaudited condensed consolidated financial statements and, in each case, the related notes included elsewhere in this prospectus. The pro forma as adjusted information below is illustrative only and our capitalization following the completion of this offering will depend on the actual initial public offering price and other terms of this offering determined at pricing.</w:t>
      </w:r>
    </w:p>
    <w:p>
      <w:pPr>
        <w:spacing w:after="0" w:line="20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640"/>
              <w:spacing w:after="0" w:line="116" w:lineRule="exact"/>
              <w:rPr>
                <w:sz w:val="20"/>
                <w:szCs w:val="20"/>
                <w:color w:val="auto"/>
              </w:rPr>
            </w:pPr>
            <w:r>
              <w:rPr>
                <w:rFonts w:ascii="Times New Roman" w:cs="Times New Roman" w:eastAsia="Times New Roman" w:hAnsi="Times New Roman"/>
                <w:sz w:val="13"/>
                <w:szCs w:val="13"/>
                <w:b w:val="1"/>
                <w:bCs w:val="1"/>
                <w:color w:val="auto"/>
              </w:rPr>
              <w:t>Pro</w:t>
            </w:r>
          </w:p>
        </w:tc>
        <w:tc>
          <w:tcPr>
            <w:tcW w:w="240" w:type="dxa"/>
            <w:vAlign w:val="bottom"/>
          </w:tcPr>
          <w:p>
            <w:pPr>
              <w:spacing w:after="0"/>
              <w:rPr>
                <w:sz w:val="10"/>
                <w:szCs w:val="10"/>
                <w:color w:val="auto"/>
              </w:rPr>
            </w:pPr>
          </w:p>
        </w:tc>
        <w:tc>
          <w:tcPr>
            <w:tcW w:w="74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Forma</w:t>
            </w:r>
          </w:p>
        </w:tc>
        <w:tc>
          <w:tcPr>
            <w:tcW w:w="240" w:type="dxa"/>
            <w:vAlign w:val="bottom"/>
          </w:tcPr>
          <w:p>
            <w:pPr>
              <w:spacing w:after="0"/>
              <w:rPr>
                <w:sz w:val="14"/>
                <w:szCs w:val="14"/>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as Adjusted</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0" w:type="dxa"/>
            <w:vAlign w:val="bottom"/>
            <w:tcBorders>
              <w:top w:val="single" w:sz="8" w:color="auto"/>
            </w:tcBorders>
            <w:gridSpan w:val="9"/>
          </w:tcPr>
          <w:p>
            <w:pPr>
              <w:jc w:val="center"/>
              <w:ind w:right="11"/>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59,397</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59,397</w:t>
            </w:r>
          </w:p>
        </w:tc>
        <w:tc>
          <w:tcPr>
            <w:tcW w:w="5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7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29,868</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29,868</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Redeemable convertible preferred stock warrant liabilities</w:t>
            </w:r>
            <w:r>
              <w:rPr>
                <w:rFonts w:ascii="Times New Roman" w:cs="Times New Roman" w:eastAsia="Times New Roman" w:hAnsi="Times New Roman"/>
                <w:sz w:val="24"/>
                <w:szCs w:val="24"/>
                <w:color w:val="auto"/>
                <w:vertAlign w:val="superscript"/>
              </w:rPr>
              <w:t>(1)</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Redeemable convertible preferred stock, par value $0.001 per share; 120,689 shares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authorized, 118,219 shares issued and outstanding, actual; no shares authorized, issued</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 outstanding, pro forma and pro forma as adjusted</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449,034</w:t>
            </w:r>
          </w:p>
        </w:tc>
        <w:tc>
          <w:tcPr>
            <w:tcW w:w="2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6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Preferred stock, par value $0.001 per share; no shares authorized, issued and</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outstanding, actual; 10,000 shares authorized, no shares issued or outstanding, pro</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forma and pro forma as adjusted</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6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Common stock, par value $0.001 per share; 181,500 shares authorized, 8,362 shares</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issued and outstanding, actual; 750,000 shares authorized and 47,844 shares issued</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and outstanding, pro forma; 750,000 shares authorized and 55,744 shares issued</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and outstanding, pro forma as adjusted</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63,357</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514,376</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96"/>
              </w:rPr>
              <w:t>(453,414)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6"/>
              </w:rPr>
              <w:t>(453,023)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(453,023)</w:t>
            </w:r>
          </w:p>
        </w:tc>
        <w:tc>
          <w:tcPr>
            <w:tcW w:w="0" w:type="dxa"/>
            <w:vAlign w:val="bottom"/>
          </w:tcPr>
          <w:p>
            <w:pPr>
              <w:spacing w:after="0"/>
              <w:rPr>
                <w:sz w:val="1"/>
                <w:szCs w:val="1"/>
                <w:color w:val="auto"/>
              </w:rPr>
            </w:pPr>
          </w:p>
        </w:tc>
      </w:tr>
      <w:tr>
        <w:trPr>
          <w:trHeight w:val="227"/>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(390,049</w:t>
            </w:r>
          </w:p>
        </w:tc>
        <w:tc>
          <w:tcPr>
            <w:tcW w:w="240" w:type="dxa"/>
            <w:vAlign w:val="bottom"/>
          </w:tcPr>
          <w:p>
            <w:pPr>
              <w:jc w:val="right"/>
              <w:ind w:right="161"/>
              <w:spacing w:after="0"/>
              <w:rPr>
                <w:sz w:val="20"/>
                <w:szCs w:val="20"/>
                <w:color w:val="auto"/>
              </w:rPr>
            </w:pPr>
            <w:r>
              <w:rPr>
                <w:rFonts w:ascii="Times New Roman" w:cs="Times New Roman" w:eastAsia="Times New Roman" w:hAnsi="Times New Roman"/>
                <w:sz w:val="8"/>
                <w:szCs w:val="8"/>
                <w:color w:val="auto"/>
                <w:w w:val="73"/>
              </w:rPr>
              <w:t>)</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61,401</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91,269</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91,269</w:t>
            </w:r>
          </w:p>
        </w:tc>
        <w:tc>
          <w:tcPr>
            <w:tcW w:w="5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93345</wp:posOffset>
            </wp:positionV>
            <wp:extent cx="7550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58" w:lineRule="exact"/>
        <w:rPr>
          <w:sz w:val="20"/>
          <w:szCs w:val="20"/>
          <w:color w:val="auto"/>
        </w:rPr>
      </w:pPr>
    </w:p>
    <w:p>
      <w:pPr>
        <w:ind w:left="600" w:right="20" w:hanging="426"/>
        <w:spacing w:after="0" w:line="254" w:lineRule="auto"/>
        <w:tabs>
          <w:tab w:leader="none" w:pos="6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redeemable convertible preferred stock warrant liabilities are included within “Warrant liabilities, non-current” in the unaudited condensed consolidated balance sheet as of March 31, 2025 included elsewhere in this prospectus.</w:t>
      </w:r>
    </w:p>
    <w:p>
      <w:pPr>
        <w:spacing w:after="0" w:line="1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80"/>
          </w:cols>
          <w:pgMar w:left="320" w:top="451" w:right="4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68" w:lineRule="auto"/>
        <w:rPr>
          <w:sz w:val="20"/>
          <w:szCs w:val="20"/>
          <w:color w:val="auto"/>
        </w:rPr>
      </w:pPr>
      <w:r>
        <w:rPr>
          <w:rFonts w:ascii="Times New Roman" w:cs="Times New Roman" w:eastAsia="Times New Roman" w:hAnsi="Times New Roman"/>
          <w:sz w:val="17"/>
          <w:szCs w:val="17"/>
          <w:color w:val="auto"/>
        </w:rPr>
        <w:t>Each $1.00 increase or decrease in the assumed initial public offering price of $19.00 per share of our common stock, which is the midpoint of the estimated price range set forth on the cover page of this prospectus, would increase or decrease, as applicable, each of our pro forma as adjusted cash and cash equivalents, additional paid-in-capital, total stockholders’ equity (deficit), and total capitalization by approximately $7.3 million, assuming the number of shares offered by us, as set forth on the cover page of this prospectus, remains the same, and after deducting estimated underwriting discounts and commissions and estimated offering expenses payable by us. Similarly, each increase or decrease of 1.0 million shares in the number of shares of common stock offered by us would increase or decrease, as applicable, each of our pro forma as adjusted cash and cash equivalents, additional paid-in-capital, total stockholders’ equity (deficit), and total capitalization by approximately $17.7 million, assuming the assumed initial public offering price of $19.00 per share of our common stock, which is the midpoint of the estimated price range set forth on the cover page of this prospectus, remains the same, and after deducting estimated underwriting discounts and commissions and estimated offering expenses payable by us.</w:t>
      </w:r>
    </w:p>
    <w:p>
      <w:pPr>
        <w:spacing w:after="0" w:line="17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If the underwriters exercise in full their option to purchase up to 1,185,000 additional shares of common stock at the assumed initial public offering price of $19.00 per share of our common stock, which is the midpoint of the estimated price range set forth on the cover page of this prospectus, after deducting estimated underwriting discounts and commissions and estimated offering expenses payable by us, our pro forma as adjusted cash and cash equivalents, additional paid-in capital, total stockholders’ equity (deficit), total capitalization, and shares of common stock outstanding as of March 31, 2025 would be $212.3 million, $662.1 million, $209.1 million, $239.0 million, and 56,929,340 shares, respectively.</w:t>
      </w:r>
    </w:p>
    <w:p>
      <w:pPr>
        <w:spacing w:after="0" w:line="183"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47,844,340 shares of our common stock outstanding as of March 31, 2025, after giving effect to the Preferred Stock Conversion, the Series B Warrant Exercise, and the Series D Warrant Exercise, and does not include:</w:t>
      </w:r>
    </w:p>
    <w:p>
      <w:pPr>
        <w:spacing w:after="0" w:line="204" w:lineRule="exact"/>
        <w:rPr>
          <w:sz w:val="20"/>
          <w:szCs w:val="20"/>
          <w:color w:val="auto"/>
        </w:rPr>
      </w:pPr>
    </w:p>
    <w:p>
      <w:pPr>
        <w:ind w:left="1140" w:right="20" w:hanging="539"/>
        <w:spacing w:after="0" w:line="277"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43,420 shares of our common stock issuable upon the exercise of outstanding warrants to purchase shares of common stock as of March 31, 2025, with a weighted-average exercise price of $3.24 per share;</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12,249,492 shares of our common stock issuable upon the exercise of outstanding stock options as of March 31, 2025, with a weighted-average exercise price of $7.31 per share;</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262,461 shares of our common stock issuable upon the exercise of outstanding stock options granted subsequent to March 31, 2025, with a weighted-average exercise price of $12.72 per share; and</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6,166,772 shares of our common stock reserved for future issuance under our equity compensation plans, consisting of:</w:t>
      </w:r>
    </w:p>
    <w:p>
      <w:pPr>
        <w:spacing w:after="0" w:line="247" w:lineRule="exact"/>
        <w:rPr>
          <w:rFonts w:ascii="Times New Roman" w:cs="Times New Roman" w:eastAsia="Times New Roman" w:hAnsi="Times New Roman"/>
          <w:sz w:val="18"/>
          <w:szCs w:val="18"/>
          <w:color w:val="auto"/>
        </w:rPr>
      </w:pPr>
    </w:p>
    <w:p>
      <w:pPr>
        <w:jc w:val="both"/>
        <w:ind w:left="1580" w:hanging="431"/>
        <w:spacing w:after="0" w:line="255" w:lineRule="auto"/>
        <w:tabs>
          <w:tab w:leader="none" w:pos="15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5,045,541 shares of our common stock to be reserved for future issuance under the 2025 Plan, which will become effective on the date immediately prior to the date our registration statement relating to this offering becomes effective, from which we will grant RSUs covering approximately 629,458 shares of common stock concurrently with this offering (based on an assumed initial public offering price of $19.00 per share, which is the midpoint of the estimated price range set forth on the cover page of this prospectus), as well as any future increases in the number of shares of common stock reserved for issuance under the 2025 Plan; and</w:t>
      </w:r>
    </w:p>
    <w:p>
      <w:pPr>
        <w:spacing w:after="0" w:line="209" w:lineRule="exact"/>
        <w:rPr>
          <w:rFonts w:ascii="Times New Roman" w:cs="Times New Roman" w:eastAsia="Times New Roman" w:hAnsi="Times New Roman"/>
          <w:sz w:val="18"/>
          <w:szCs w:val="18"/>
          <w:color w:val="auto"/>
        </w:rPr>
      </w:pPr>
    </w:p>
    <w:p>
      <w:pPr>
        <w:jc w:val="both"/>
        <w:ind w:left="1580" w:right="20" w:hanging="431"/>
        <w:spacing w:after="0" w:line="262" w:lineRule="auto"/>
        <w:tabs>
          <w:tab w:leader="none" w:pos="15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1,121,231 shares of our common stock reserved for future issuance under the ESPP, which will become effective on the date immediately prior to the date our registration statement relating to this offering becomes effective, as well as any future increases in the number of shares of common stock reserved for issuance under the ESPP.</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80"/>
          </w:cols>
          <w:pgMar w:left="320" w:top="451" w:right="4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If you purchase shares of our common stock in this offering, your ownership interest will be diluted to the extent of the difference between the initial public offering price per share of our common stock and the pro forma as adjusted net tangible book value per share of our common stock after this offering.</w:t>
      </w:r>
    </w:p>
    <w:p>
      <w:pPr>
        <w:spacing w:after="0" w:line="177"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As of March 31, 2025, our historical net tangible book value (deficit) was $(426.0) million, or $(50.94) per share of our common stock. Our historical net tangible book value (deficit) per share represents our total tangible assets less total liabilities and redeemable convertible preferred stock, divided by the aggregate number of shares of our common stock outstanding as of March 31, 2025.</w:t>
      </w:r>
    </w:p>
    <w:p>
      <w:pPr>
        <w:spacing w:after="0" w:line="177"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Our pro forma net tangible book value as of March 31, 2025 was $25.5 million, or $0.53 per share. Pro forma net tangible book value per share represents tangible assets, less liabilities, divided by the aggregate number of shares of our common stock outstanding as of March 31, 2025, after giving effect to:</w:t>
      </w:r>
    </w:p>
    <w:p>
      <w:pPr>
        <w:spacing w:after="0" w:line="204" w:lineRule="exact"/>
        <w:rPr>
          <w:sz w:val="20"/>
          <w:szCs w:val="20"/>
          <w:color w:val="auto"/>
        </w:rPr>
      </w:pPr>
    </w:p>
    <w:p>
      <w:pPr>
        <w:ind w:left="1140" w:hanging="539"/>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Stock Conversion;</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B Warrant Exercise;</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D Warrant Exercise; and</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restated certificate of incorporation, which will become effective immediately prior to the completion of this offering.</w:t>
      </w:r>
    </w:p>
    <w:p>
      <w:pPr>
        <w:spacing w:after="0" w:line="163"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After giving further effect to the sale by us of 7,900,000 shares of our common stock in this offering at an assumed initial public offering price of $19.00 per share, which is the midpoint of the estimated price range set forth on the cover page of this prospectus, and after deducting estimated underwriting discounts and commissions and estimated offering expenses payable by us, our pro forma as adjusted net tangible book value as of March 31, 2025 would have been $157.9 million, or $2.83 per share. This represents an immediate increase in pro forma net tangible book value to existing stockholders of $2.30 per share and an immediate dilution in pro forma net tangible book value to new investors of $16.17 per share. Dilution per share represents the difference between the price per share to be paid by new investors for the shares of our common stock sold in this offering and the pro forma as adjusted net tangible book value per share immediately after this offering.</w:t>
      </w:r>
    </w:p>
    <w:p>
      <w:pPr>
        <w:spacing w:after="0" w:line="189" w:lineRule="exact"/>
        <w:rPr>
          <w:sz w:val="20"/>
          <w:szCs w:val="20"/>
          <w:color w:val="auto"/>
        </w:rPr>
      </w:pPr>
    </w:p>
    <w:tbl>
      <w:tblPr>
        <w:tblLayout w:type="fixed"/>
        <w:tblInd w:w="18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following table illustrates this dilution on a per-share basis:</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8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2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Historical net tangible book value (deficit) per share as of March 31, 2025</w:t>
            </w:r>
          </w:p>
        </w:tc>
        <w:tc>
          <w:tcPr>
            <w:tcW w:w="188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$(50.94)</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44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Pro forma increase in net tangible book value per share as of March 31, 2025 attributable to the pro forma</w:t>
            </w:r>
          </w:p>
        </w:tc>
        <w:tc>
          <w:tcPr>
            <w:tcW w:w="5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4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transactions described above</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7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 forma net tangible book value per share as of March 31, 2025</w:t>
            </w:r>
          </w:p>
        </w:tc>
        <w:tc>
          <w:tcPr>
            <w:tcW w:w="5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44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 investors participating in this</w:t>
            </w:r>
          </w:p>
        </w:tc>
        <w:tc>
          <w:tcPr>
            <w:tcW w:w="5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4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offering</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7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this offering</w:t>
            </w:r>
          </w:p>
        </w:tc>
        <w:tc>
          <w:tcPr>
            <w:tcW w:w="5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participating in this offering</w:t>
            </w:r>
          </w:p>
        </w:tc>
        <w:tc>
          <w:tcPr>
            <w:tcW w:w="2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The dilution information discussed above is illustrative only and may change based on the actual initial public offering price, the number of shares we sell, and other terms of this offering that will be determined at pricing. Each $1.00 increase or decrease in the assumed initial public offering price of $19.00 per share, which is the midpoint of the estimated price range set forth on the cover page of this prospectus, would increase or</w:t>
      </w:r>
    </w:p>
    <w:p>
      <w:pPr>
        <w:spacing w:after="0" w:line="1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80"/>
          </w:cols>
          <w:pgMar w:left="320" w:top="451" w:right="4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1" w:lineRule="auto"/>
        <w:rPr>
          <w:sz w:val="20"/>
          <w:szCs w:val="20"/>
          <w:color w:val="auto"/>
        </w:rPr>
      </w:pPr>
      <w:r>
        <w:rPr>
          <w:rFonts w:ascii="Times New Roman" w:cs="Times New Roman" w:eastAsia="Times New Roman" w:hAnsi="Times New Roman"/>
          <w:sz w:val="18"/>
          <w:szCs w:val="18"/>
          <w:color w:val="auto"/>
        </w:rPr>
        <w:t>decrease, as applicable, our pro forma as adjusted net tangible book value per share after this offering by $0.13 per share and the dilution in pro forma per share to investors participating in this offering by $0.87 per share, assuming that the number of shares of common stock offered by us, as set forth on the cover page of this prospectus, remains the same, and after deducting estimated underwriting discounts and commissions and estimated offering expenses payable by us. Similarly, each 1.0 million share increase in the number of shares offered by us would increase our pro forma as adjusted net tangible book value per share after this offering by $0.26 per share and decrease the dilution in pro forma as adjusted net tangible book value per share to investors participating in this offering by $0.26 per share, and each 1.0 million share decrease in the number of shares offered by us would decrease our pro forma as adjusted net tangible book value per share after this offering by $0.27 per share and increase the dilution in pro forma as adjusted net tangible book value per share to investors participating in this offering by $0.27 per share, in each case assuming the initial public offering price of $19.00 per share remains the same, and after deducting estimated underwriting discounts and commissions and estimated offering expenses payable by us.</w:t>
      </w:r>
    </w:p>
    <w:p>
      <w:pPr>
        <w:spacing w:after="0" w:line="186"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If the underwriters exercise in full their option to purchase up to 1,185,000 additional shares of common stock, the pro forma as adjusted net tangible book value per share of our common stock after this offering would be $3.14 per share, and the dilution in pro forma as adjusted net tangible book value per share to investors participating in this offering would be $15.86 per share of our common stock, in each case assuming the assumed initial public offering price of $19.00 per share, which is the midpoint of the estimated price range set forth on the cover page of this prospectus.</w:t>
      </w:r>
    </w:p>
    <w:p>
      <w:pPr>
        <w:spacing w:after="0" w:line="182" w:lineRule="exact"/>
        <w:rPr>
          <w:sz w:val="20"/>
          <w:szCs w:val="20"/>
          <w:color w:val="auto"/>
        </w:rPr>
      </w:pPr>
    </w:p>
    <w:p>
      <w:pPr>
        <w:jc w:val="both"/>
        <w:ind w:left="180" w:right="20" w:firstLine="436"/>
        <w:spacing w:after="0" w:line="253" w:lineRule="auto"/>
        <w:rPr>
          <w:sz w:val="20"/>
          <w:szCs w:val="20"/>
          <w:color w:val="auto"/>
        </w:rPr>
      </w:pPr>
      <w:r>
        <w:rPr>
          <w:rFonts w:ascii="Times New Roman" w:cs="Times New Roman" w:eastAsia="Times New Roman" w:hAnsi="Times New Roman"/>
          <w:sz w:val="18"/>
          <w:szCs w:val="18"/>
          <w:color w:val="auto"/>
        </w:rPr>
        <w:t>The following table summarizes, as of March 31, 2025, on a pro forma as adjusted basis as described above, the number of shares of our common stock, the total consideration and the average price per share (1) paid to us by existing stockholders and (2) to be paid by new investors acquiring our common stock in this offering at an assumed initial public offering price of $19.00 per share, the midpoint of the estimated price range set forth on the cover page of this prospectus, before deducting estimated underwriting discounts and commissions and estimated offering expenses payable by us. As the table below shows, investors participating in this offering will pay an average price per share substantially higher than our existing stockholders paid.</w:t>
      </w:r>
    </w:p>
    <w:p>
      <w:pPr>
        <w:spacing w:after="0" w:line="19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680" w:type="dxa"/>
            <w:vAlign w:val="bottom"/>
            <w:gridSpan w:val="3"/>
            <w:vMerge w:val="restart"/>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3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gridSpan w:val="3"/>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3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83"/>
        </w:trPr>
        <w:tc>
          <w:tcPr>
            <w:tcW w:w="5660" w:type="dxa"/>
            <w:vAlign w:val="bottom"/>
          </w:tcPr>
          <w:p>
            <w:pPr>
              <w:spacing w:after="0"/>
              <w:rPr>
                <w:sz w:val="6"/>
                <w:szCs w:val="6"/>
                <w:color w:val="auto"/>
              </w:rPr>
            </w:pPr>
          </w:p>
        </w:tc>
        <w:tc>
          <w:tcPr>
            <w:tcW w:w="1680" w:type="dxa"/>
            <w:vAlign w:val="bottom"/>
            <w:tcBorders>
              <w:bottom w:val="single" w:sz="8" w:color="auto"/>
            </w:tcBorders>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920" w:type="dxa"/>
            <w:vAlign w:val="bottom"/>
            <w:tcBorders>
              <w:bottom w:val="single" w:sz="8" w:color="auto"/>
            </w:tcBorders>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820" w:type="dxa"/>
            <w:vAlign w:val="bottom"/>
            <w:gridSpan w:val="3"/>
            <w:vMerge w:val="restart"/>
          </w:tcPr>
          <w:p>
            <w:pPr>
              <w:jc w:val="center"/>
              <w:ind w:left="60"/>
              <w:spacing w:after="0" w:line="147"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49"/>
        </w:trPr>
        <w:tc>
          <w:tcPr>
            <w:tcW w:w="5660" w:type="dxa"/>
            <w:vAlign w:val="bottom"/>
          </w:tcPr>
          <w:p>
            <w:pPr>
              <w:spacing w:after="0"/>
              <w:rPr>
                <w:sz w:val="4"/>
                <w:szCs w:val="4"/>
                <w:color w:val="auto"/>
              </w:rPr>
            </w:pPr>
          </w:p>
        </w:tc>
        <w:tc>
          <w:tcPr>
            <w:tcW w:w="840" w:type="dxa"/>
            <w:vAlign w:val="bottom"/>
            <w:vMerge w:val="restart"/>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vMerge w:val="restart"/>
          </w:tcPr>
          <w:p>
            <w:pPr>
              <w:spacing w:after="0"/>
              <w:rPr>
                <w:sz w:val="4"/>
                <w:szCs w:val="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320" w:type="dxa"/>
            <w:vAlign w:val="bottom"/>
            <w:vMerge w:val="restart"/>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56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0"/>
        </w:trPr>
        <w:tc>
          <w:tcPr>
            <w:tcW w:w="5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8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6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47,844,340</w:t>
            </w:r>
          </w:p>
        </w:tc>
        <w:tc>
          <w:tcPr>
            <w:tcW w:w="36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85.8%</w:t>
            </w:r>
          </w:p>
        </w:tc>
        <w:tc>
          <w:tcPr>
            <w:tcW w:w="18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$466,337,872</w:t>
            </w:r>
          </w:p>
        </w:tc>
        <w:tc>
          <w:tcPr>
            <w:tcW w:w="460" w:type="dxa"/>
            <w:vAlign w:val="bottom"/>
            <w:vMerge w:val="continue"/>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75.7%</w:t>
            </w:r>
          </w:p>
        </w:tc>
        <w:tc>
          <w:tcPr>
            <w:tcW w:w="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2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7,900,000</w:t>
            </w:r>
          </w:p>
        </w:tc>
        <w:tc>
          <w:tcPr>
            <w:tcW w:w="3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150,100,000</w:t>
            </w:r>
          </w:p>
        </w:tc>
        <w:tc>
          <w:tcPr>
            <w:tcW w:w="4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14"/>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55,744,340</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616,437,872</w:t>
            </w: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of $19.00 per share, which is the midpoint of the estimated price range set forth on the cover page of this prospectus, would increase or decrease, as applicable, the total consideration paid by new investors and total consideration paid by all stockholders by approximately $7.3 million, assuming that the number of shares of common stock offered by us, as set forth on the cover page of this prospectus, remains the same, before deducting estimated underwriting discounts and commissions and estimated offering expenses payable by us. Similarly, each 1.0 million share increase or decrease in the number of shares offered by us would increase or decrease, as applicable, the total consideration paid by new investors and total consideration paid by all stockholders by $17.7 million, assuming the assumed initial public offering price of $19.00 per share of common stock remains the same, before deducting estimated underwriting discounts and commissions.</w:t>
      </w:r>
    </w:p>
    <w:p>
      <w:pPr>
        <w:spacing w:after="0" w:line="189"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Except as otherwise indicated, the above discussion and tables assume no exercise of the underwriters’ option to purchase additional shares. If the underwriters exercise in full their option to purchase up to 1,185,000 additional shares of common stock, our existing stockholders would own 84.0%, and our new investors would own 16.0% of the total number of shares of our common stock outstanding upon the completion of this offering.</w:t>
      </w:r>
    </w:p>
    <w:p>
      <w:pPr>
        <w:spacing w:after="0" w:line="1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80"/>
          </w:cols>
          <w:pgMar w:left="320" w:top="451" w:right="4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47,844,340 shares of our common stock outstanding as of March 31, 2025, after giving effect to the Preferred Stock Conversion, the Series B Warrant Conversion, and the Series D Warrant Exercise, and does not include:</w:t>
      </w:r>
    </w:p>
    <w:p>
      <w:pPr>
        <w:spacing w:after="0" w:line="204" w:lineRule="exact"/>
        <w:rPr>
          <w:sz w:val="20"/>
          <w:szCs w:val="20"/>
          <w:color w:val="auto"/>
        </w:rPr>
      </w:pPr>
    </w:p>
    <w:p>
      <w:pPr>
        <w:ind w:left="1140" w:right="20" w:hanging="539"/>
        <w:spacing w:after="0" w:line="277"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43,420 shares of our common stock issuable upon the exercise of outstanding warrants to purchase shares of common stock as of March 31, 2025, with a weighted-average exercise price of $3.24 per share;</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12,249,492 shares of our common stock issuable upon the exercise of outstanding stock options as of March 31, 2025, with a weighted-average exercise price of $7.31 per share;</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262,461 shares of our common stock issuable upon the exercise of outstanding stock options granted subsequent to March 31, 2025, with a weighted-average exercise price of $12.72 per share; and</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6,166,772 shares of our common stock reserved for future issuance under our equity compensation plans, consisting of:</w:t>
      </w:r>
    </w:p>
    <w:p>
      <w:pPr>
        <w:spacing w:after="0" w:line="247" w:lineRule="exact"/>
        <w:rPr>
          <w:rFonts w:ascii="Times New Roman" w:cs="Times New Roman" w:eastAsia="Times New Roman" w:hAnsi="Times New Roman"/>
          <w:sz w:val="18"/>
          <w:szCs w:val="18"/>
          <w:color w:val="auto"/>
        </w:rPr>
      </w:pPr>
    </w:p>
    <w:p>
      <w:pPr>
        <w:jc w:val="both"/>
        <w:ind w:left="1580" w:hanging="431"/>
        <w:spacing w:after="0" w:line="255" w:lineRule="auto"/>
        <w:tabs>
          <w:tab w:leader="none" w:pos="15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5,045,541 shares of our common stock to be reserved for future issuance under the 2025 Plan, which will become effective on the date immediately prior to the date our registration statement relating to this offering becomes effective, from which we will grant RSUs covering approximately 629,458 shares of common stock concurrently with this offering (based on an assumed initial public offering price of $19.00 per share, which is the midpoint of the estimated price range set forth on the cover page of this prospectus), as well as any future increases in the number of shares of common stock reserved for issuance under the 2025 Plan; and</w:t>
      </w:r>
    </w:p>
    <w:p>
      <w:pPr>
        <w:spacing w:after="0" w:line="209" w:lineRule="exact"/>
        <w:rPr>
          <w:rFonts w:ascii="Times New Roman" w:cs="Times New Roman" w:eastAsia="Times New Roman" w:hAnsi="Times New Roman"/>
          <w:sz w:val="18"/>
          <w:szCs w:val="18"/>
          <w:color w:val="auto"/>
        </w:rPr>
      </w:pPr>
    </w:p>
    <w:p>
      <w:pPr>
        <w:jc w:val="both"/>
        <w:ind w:left="1580" w:right="20" w:hanging="431"/>
        <w:spacing w:after="0" w:line="262" w:lineRule="auto"/>
        <w:tabs>
          <w:tab w:leader="none" w:pos="15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1,121,231 shares of our common stock reserved for future issuance under the ESPP, which will become effective on the date immediately prior to the date our registration statement relating to this offering becomes effective, as well as any future increases in the number of shares of common stock reserved for issuance under the ESPP.</w:t>
      </w:r>
    </w:p>
    <w:p>
      <w:pPr>
        <w:spacing w:after="0" w:line="177"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To the extent that any outstanding warrants or options are exercised, new options or other equity awards are issued under our equity incentive plans, or we issue additional shares in the future, there will be further dilution to new investors participating in this offering.</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80"/>
          </w:cols>
          <w:pgMar w:left="320" w:top="451" w:right="4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0"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audited consolidated financial statements and unaudited condensed consolidated financial statements and, in each case, the related notes included elsewhere in this prospectus. This discussion contains forward-looking statements that involve risks and uncertainties. Our actual results could differ materially from management’s expectations as a result of various factors, including, but not limited to, those discussed in the sections titled “Risk Factors” and “Special Note Regarding Forward-Looking Statements.”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 xml:space="preserve">Our mission is to bend the curve. Our hope is that, one day, tomorrow’s epidemiologists will notice a bend in disease curves, wonder what might be happening, and conclude that part of that impact has been Omada. As part of that mission, we strive to inspire and enable people to make lasting health changes on their own terms. We deliver virtual care </w:t>
      </w:r>
      <w:r>
        <w:rPr>
          <w:rFonts w:ascii="Times New Roman" w:cs="Times New Roman" w:eastAsia="Times New Roman" w:hAnsi="Times New Roman"/>
          <w:sz w:val="18"/>
          <w:szCs w:val="18"/>
          <w:b w:val="1"/>
          <w:bCs w:val="1"/>
          <w:i w:val="1"/>
          <w:iCs w:val="1"/>
          <w:color w:val="auto"/>
        </w:rPr>
        <w:t>between</w:t>
      </w:r>
      <w:r>
        <w:rPr>
          <w:rFonts w:ascii="Times New Roman" w:cs="Times New Roman" w:eastAsia="Times New Roman" w:hAnsi="Times New Roman"/>
          <w:sz w:val="18"/>
          <w:szCs w:val="18"/>
          <w:color w:val="auto"/>
        </w:rPr>
        <w:t xml:space="preserve"> doctor’s visits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providing an engaging, personalized, and integrated experience for our members that is designed to improve their health while delivering value for the employers, health plans, health systems, pharmacy benefit managers (“PBMs”), and other entities that cover the cost of our programs.</w:t>
      </w:r>
    </w:p>
    <w:p>
      <w:pPr>
        <w:spacing w:after="0" w:line="183"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Our virtual care programs are rooted in evidence and combine relationship-based, human-led clinical care with purpose-built technology. We call this approach Compassionate Intelligence. We work to develop trust with each member and use technology to help us personalize their experience, enabling us to unlock results at scale.</w:t>
      </w:r>
    </w:p>
    <w:p>
      <w:pPr>
        <w:spacing w:after="0" w:line="177"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sell our programs to customers that cover the cost for covered individuals. Our customers include employers that cover our programs for their employees and their dependents, health systems that cover our programs for patients, and any other entity that is financially responsible for costs of our programs for a population of covered lives. We also work closely with health plans and PBMs that either cover our programs for a portion of their members as our customers or act as channel partners reselling our programs to their own end customers. Our channel partners’ end customers typically consist of employers that cover our programs for their employees and their dependents. In general, our customers cover the cost of our programs for our members, except that members in our physical therapy program may incur copays, coinsurance, or deductibles, depending on plan design, much like in-person physical therapy.</w:t>
      </w:r>
    </w:p>
    <w:p>
      <w:pPr>
        <w:spacing w:after="0" w:line="18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launched our initial program in diabetes prevention and weight health in 2012, with the goal of showing that a virtual program could achieve the same clinical results as its in-person archetype. Through feedback from our customers, channel partners, members, and the market at large, we then recognized the need to create an integrated, multi-condition care platform to address multiple, commonly comorbid, chronic conditions. Today, we offer cardiometabolic programs for prediabetes, diabetes, and hypertension; a physical therapy program to address musculoskeletal (“MSK”) conditions; additional support for members taking glucagon-like peptide-1 agonists (“GLP-1”) in our cardiometabolic programs (“GLP-1 Care Tracks”); and behavioral health support across all programs. As we have expanded, we have kept our integrated human and technology approach at the center of our business model and have continued to base our program design on clinically validated evidence.</w:t>
      </w:r>
    </w:p>
    <w:p>
      <w:pPr>
        <w:spacing w:after="0" w:line="18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Since our founding, our programs have had a meaningful, positive impact. As of March 31, 2025, we had more than 2,000 customers and over 679,000 total members enrolled in one or more programs, and we had supported over one million members since launch. We count a member as enrolled in a program to the extent their participation was billed at least once in the preceding 12 months. We believe our programs serve a clear need for our customers and channel partners as well as our members, which is reinforced by our strong customer satisfaction and member engagement rates. In 2024, our average customer satisfaction rate for the year was over 90% for each of program implementation and customer success. Our customer satisfaction rate is based on responses received from program implementation and customer success surveys, which we send to the contacts at all customers that launched a new program during the measured period and received customer experience services from us. Results are calculated by a third-party customer experience</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80"/>
          </w:cols>
          <w:pgMar w:left="320" w:top="451" w:right="4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1" w:lineRule="auto"/>
        <w:rPr>
          <w:sz w:val="20"/>
          <w:szCs w:val="20"/>
          <w:color w:val="auto"/>
        </w:rPr>
      </w:pPr>
      <w:r>
        <w:rPr>
          <w:rFonts w:ascii="Times New Roman" w:cs="Times New Roman" w:eastAsia="Times New Roman" w:hAnsi="Times New Roman"/>
          <w:sz w:val="18"/>
          <w:szCs w:val="18"/>
          <w:color w:val="auto"/>
        </w:rPr>
        <w:t>management vendor, and we consider a customer to be satisfied if they rated our program implementation and ongoing customer success, as applicable, at a 5 or higher on a 7-point scale. Based on our experience and input from this vendor, we believe that our customer satisfaction rates are strong and reflect the value of our services to customers. In 2024, more than 55% of members still engaged with our cardiometabolic programs at least once per month after a year in the program, and over 50% still engaged monthly after two years. We consider members to be still engaged after one year or two years in the program if, during their twelfth or twenty-fourth month of program participation in a cardiometabolic program, they complete at least one interaction with us, such as logging in or interacting with the Omada mobile app, sending messages to Omada Care Team members, or recording metrics such as weight, blood pressure, or blood glucose values. On average, in 2024, members in a cardiometabolic program engaged more than 30 times per month throughout their first year. Based on our experience and feedback from customers, we believe these engagement rates to be positive and to demonstrate the attractiveness of our program to members. We are proud of our progress, and we are just getting started.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148590</wp:posOffset>
            </wp:positionV>
            <wp:extent cx="6692900" cy="68453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692900" cy="6845300"/>
                    </a:xfrm>
                    <a:prstGeom prst="rect">
                      <a:avLst/>
                    </a:prstGeom>
                    <a:noFill/>
                  </pic:spPr>
                </pic:pic>
              </a:graphicData>
            </a:graphic>
          </wp:anchor>
        </w:drawing>
      </w:r>
    </w:p>
    <w:p>
      <w:pPr>
        <w:sectPr>
          <w:pgSz w:w="11900" w:h="16838" w:orient="portrait"/>
          <w:cols w:equalWidth="0" w:num="1">
            <w:col w:w="11080"/>
          </w:cols>
          <w:pgMar w:left="320" w:top="45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80"/>
          </w:cols>
          <w:pgMar w:left="320" w:top="451" w:right="49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Since launching our first program in 2012, we observed a demand from our customers and channel partners for us to expand beyond diabetes prevention and weight management and into other conditions, such as the treatment and management of diabetes, hypertension, and MSK conditions. The significant overlap across these chronic conditions created a natural growth avenue by enabling a coordinated, context-informed care approach across conditions.</w:t>
      </w:r>
    </w:p>
    <w:p>
      <w:pPr>
        <w:spacing w:after="0" w:line="205" w:lineRule="exact"/>
        <w:rPr>
          <w:sz w:val="20"/>
          <w:szCs w:val="20"/>
          <w:color w:val="auto"/>
        </w:rPr>
      </w:pPr>
    </w:p>
    <w:p>
      <w:pPr>
        <w:jc w:val="both"/>
        <w:ind w:left="1140" w:hanging="539"/>
        <w:spacing w:after="0" w:line="254"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Omada for Prevention &amp; Weight Health</w:t>
      </w:r>
      <w:r>
        <w:rPr>
          <w:rFonts w:ascii="Times New Roman" w:cs="Times New Roman" w:eastAsia="Times New Roman" w:hAnsi="Times New Roman"/>
          <w:sz w:val="18"/>
          <w:szCs w:val="18"/>
          <w:color w:val="auto"/>
        </w:rPr>
        <w:t>: Omada for Prevention &amp; Weight Health, our first program launched in 2012, focuses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prediabetes and weight management, two critical elements of preventing diabetes and heart disease. Informed by guidelines and recommendations set by the U.S. Preventive Services Task Force and the Centers for Disease Control and Prevention (the “CDC”), the goal of the program is to enable members to lose weight, maintain a healthy weight, and increase physical activity. We pair members with a dedicated health coach for the entirety of their experience and support them with a connected scale, a personalized learning path, and support from peer groups to build community.</w:t>
      </w:r>
    </w:p>
    <w:p>
      <w:pPr>
        <w:spacing w:after="0" w:line="186"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In 2018, demand from customers and channel partners, member need, and clinically appropriate interventions came together in an opportunity to expand our offering to support members with diabetes and hypertension leveraging our existing, flexible platform. Considering this market need and feedback, we decided to launch Omada for Diabetes, Omada for Hypertension, and the combined Omada for Diabetes and Hypertension programs. We refer to these, along with our Omada Prevention &amp; Weight Health program, as our cardiometabolic programs.</w:t>
      </w:r>
    </w:p>
    <w:p>
      <w:pPr>
        <w:spacing w:after="0" w:line="205" w:lineRule="exact"/>
        <w:rPr>
          <w:sz w:val="20"/>
          <w:szCs w:val="20"/>
          <w:color w:val="auto"/>
        </w:rPr>
      </w:pPr>
    </w:p>
    <w:p>
      <w:pPr>
        <w:jc w:val="both"/>
        <w:ind w:left="1140" w:hanging="539"/>
        <w:spacing w:after="0" w:line="250"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Omada for Diabetes</w:t>
      </w:r>
      <w:r>
        <w:rPr>
          <w:rFonts w:ascii="Times New Roman" w:cs="Times New Roman" w:eastAsia="Times New Roman" w:hAnsi="Times New Roman"/>
          <w:sz w:val="18"/>
          <w:szCs w:val="18"/>
          <w:color w:val="auto"/>
        </w:rPr>
        <w:t>: Launched in 2018, Omada for Diabetes is designed to help members with type 1 or type 2 diabetes achieve stable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blood glucose levels and meet and reach their goals for reducing hemoglobin A1C (“A1C”) (a measure of blood glucose levels over the past three months) based in part on treatment guidelines from the American Diabetes Association. According to the CDC, in 2023, 90% of people with type 2 diabetes had obesity or were overweight, and so we also support members with reaching and maintaining a healthy weight through modifications in diet, exercise, and other behaviors. Members are paired with a dedicated, professionally trained health coach who acts as their primary contact, except in the case of members living with type 1 diabetes, whose primary contact is a Certified Diabetes Care and Education Specialist. Care Teams for members with type 2 diabetes also include a Certified Diabetes Care and Education Specialist, in addition to the member’s primary contact. Members are also provided with connected third-party devices based on their needs, which can include a connected scale and a blood glucose meter. We can also facilitate prescriptions for connected glucose monitor sensors at certain points in the program through a third-party care partner to improve understanding of behavior and blood glucose levels. As in our Prevention &amp; Weight Health program, members are engaged with a personalized learning path and supported by peer groups.</w:t>
      </w:r>
    </w:p>
    <w:p>
      <w:pPr>
        <w:spacing w:after="0" w:line="217" w:lineRule="exact"/>
        <w:rPr>
          <w:rFonts w:ascii="Times New Roman" w:cs="Times New Roman" w:eastAsia="Times New Roman" w:hAnsi="Times New Roman"/>
          <w:sz w:val="18"/>
          <w:szCs w:val="18"/>
          <w:color w:val="auto"/>
        </w:rPr>
      </w:pPr>
    </w:p>
    <w:p>
      <w:pPr>
        <w:jc w:val="both"/>
        <w:ind w:left="1140" w:hanging="539"/>
        <w:spacing w:after="0" w:line="251"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Omada for Hypertension</w:t>
      </w:r>
      <w:r>
        <w:rPr>
          <w:rFonts w:ascii="Times New Roman" w:cs="Times New Roman" w:eastAsia="Times New Roman" w:hAnsi="Times New Roman"/>
          <w:sz w:val="18"/>
          <w:szCs w:val="18"/>
          <w:color w:val="auto"/>
        </w:rPr>
        <w:t>: Launched in 2018, Omada for Hypertension is designed to help reduce members’ blood pressure and help them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maintain healthy blood pressure based on clinical protocols recommended by the American Medical Association, the American College of Cardiology, and the American Heart Association. As with type 2 diabetes, hypertension is often comorbid with obesity; according to a June 2021 report from the National Center of Health Statistics that reviewed data between 2017 and 2020, approximately 58% of U.S. adults who were classified as having obesity also had hypertension. We help members in need of weight management support in reaching and maintaining a healthy weight through modifications to diet, exercise, and other behaviors. Members are paired with a dedicated, professionally trained health coach and a Certified Diabetes Care and Education Specialist who provide support and resources to improve blood pressure control through connected blood pressure monitors, secure asynchronous messaging, and group board discussions, as well as frequent and proactive check-ins. As in our Prevention &amp; Weight Health program, members are engaged with a personalized learning path and supported by peer groups.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80"/>
          </w:cols>
          <w:pgMar w:left="320" w:top="451" w:right="4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140" w:hanging="539"/>
        <w:spacing w:after="0" w:line="252"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Omada for MSK</w:t>
      </w:r>
      <w:r>
        <w:rPr>
          <w:rFonts w:ascii="Times New Roman" w:cs="Times New Roman" w:eastAsia="Times New Roman" w:hAnsi="Times New Roman"/>
          <w:sz w:val="18"/>
          <w:szCs w:val="18"/>
          <w:color w:val="auto"/>
        </w:rPr>
        <w:t>: Launched in 2020, Omada for MSK connects individuals to licensed physical therapists for consultation and virtual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treatment. Our program provides members access to treatment in as little as 24 hours from enrollment. We match clinically eligible patients with a dedicated physical therapist and provide ongoing access through video visits and asynchronous chat. Omada-affiliated physical therapists assign evidence-based treatment exercises and stretches to members, and the program helps members complete their prescribed care path at the recommended cadence. Physical therapists can assess patient progress through form analysis (by video), range of motion (by computer vision technology), and patient reports (in-app feedback). Members can also access an individualized education curriculum to help build healthy habits that support recovery and long-term health. Our education library includes hundreds of pieces of content, ranging from articles to interactive media and videos.</w:t>
      </w:r>
    </w:p>
    <w:p>
      <w:pPr>
        <w:spacing w:after="0" w:line="211" w:lineRule="exact"/>
        <w:rPr>
          <w:rFonts w:ascii="Times New Roman" w:cs="Times New Roman" w:eastAsia="Times New Roman" w:hAnsi="Times New Roman"/>
          <w:sz w:val="18"/>
          <w:szCs w:val="18"/>
          <w:color w:val="auto"/>
        </w:rPr>
      </w:pPr>
    </w:p>
    <w:p>
      <w:pPr>
        <w:jc w:val="both"/>
        <w:ind w:left="1140" w:hanging="539"/>
        <w:spacing w:after="0" w:line="252"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Omada GLP-1 Care Tracks</w:t>
      </w:r>
      <w:r>
        <w:rPr>
          <w:rFonts w:ascii="Times New Roman" w:cs="Times New Roman" w:eastAsia="Times New Roman" w:hAnsi="Times New Roman"/>
          <w:sz w:val="18"/>
          <w:szCs w:val="18"/>
          <w:color w:val="auto"/>
        </w:rPr>
        <w:t>: First launched in 2023, the initial version of Omada’s GLP-1 Care Track, currently embedded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cardiometabolic programs, is designed to support members on a GLP-1 therapy—while also engaged in one of those programs—to enable their success before, during, and after GLP-1 therapy. Omada does not develop or prescribe GLP-1 therapies. Rather, our GLP-1 Care Tracks are intended to build and enhance outcomes from the combination of our virtual programs and the member’s medication, with the ultimate goal of supporting members to achieve and maintain weight loss long-term—even after they decide to discontinue GLP-1 therapy. While the initial version of our GLP-1 Care Track is embedded in each of our cardiometabolic programs, customers and channel partners are also able to purchase an enhanced version (the “Enhanced GLP-1 Care Track”), which includes more specialized programming and support.</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Business Model Overview</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have experienced strong growth since our inception. Revenue increased by 38% from $122.8 million to $169.8 million for the years ended December 31, 2023 and 2024, respectively, and by 57% from $35.1 million to $55.0 million for the three months ended March 31, 2024 and 2025, respectively. We incurred net losses of $67.5 million and $47.1 million for the years ended December 31, 2023 and 2024, respectively, and $19.0 million and $9.4 million for the three months ended March 31, 2024 and 2025, respectively.</w:t>
      </w:r>
    </w:p>
    <w:p>
      <w:pPr>
        <w:spacing w:after="0" w:line="182"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sell our programs to customers that cover the cost for covered individuals. Our customers include employers that cover our programs for their employees and their dependents, health systems that cover our programs for patients, and any other entity that is financially responsible for costs of our programs for a population of covered lives. We also work closely with health plans and PBMs that either cover our programs for a portion of their members as our customers or act as channel partners reselling our programs to their own end customers. Our channel partners’ end customers typically consist of employers that cover our programs for their employees and their dependents. In general, our customers cover the cost of our programs for our members, except that members in our physical therapy program may incur copays, coinsurance, or deductibles, depending on plan design, much like in-person physical therapy.</w:t>
      </w:r>
    </w:p>
    <w:p>
      <w:pPr>
        <w:spacing w:after="0" w:line="18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generate revenue from sales to our customers and channel partners for the services that we provide to members. We generate services revenue by providing access to our programs for prevention &amp; weight health, diabetes, hypertension, and MSK conditions and hardware revenue from connected third-party devices, which are provided to the member upon enrollment in our cardiometabolic programs. Upfront payments or billings received from customers and channel partners are initially recorded as deferred revenue on the balance sheet and recognized as revenue as we fulfill our obligations. We believe our revenue is highly recurring in nature, with a three-year average customer retention rate of over 90% as of December 31, 2024. We continue to generate revenue from recurring customers, as evidenced by our net dollar retention rate, which for customers who were contracted as of the beginning of the prior period, is calculated as total billings generated in a particular period divided by total billings generated in the prior period and was 110% and 128% for the years ended December 31, 2023 and 2024, respectively.</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80"/>
          </w:cols>
          <w:pgMar w:left="320" w:top="451" w:right="4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Go-To-Market Strategy</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Our go-to-market strategy follows a business-to-business-to-consumer (“B2B2C”) motion, and as of March 31, 2025, we had more than 2,000 customers and over 679,000 total members enrolled in one or more programs that were billable in the preceding 12 months. We sell primarily to employers, who either contract with Omada directly or obtain access to our programs through a channel partner, such as a health plan or PBM, and a key part of our go-to-market strategy is winning new employer contracts during the annual benefits selling season. During that time, our sales and marketing team engages with human resources professionals, benefits managers, and decision makers across various industries to sign up new customers. We sell our programs directly to customers and through channel partners. This selling season typically spans from late spring to early fall, aligning implementation with benefits enrollment schedules and allowing us to launch our products for customers at the start of the following year.</w:t>
      </w:r>
    </w:p>
    <w:p>
      <w:pPr>
        <w:spacing w:after="0" w:line="189"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The remainder of our revenue is derived from our inclusion as a benefit in fully insured health plans, from PBMs through specific therapeutic programs, or via health systems that assume the cost of care for their patients. We leverage our partner sales team, which engages with health plans and PBMs, to identify new, and expand existing, partner channels through which we can sell directly to partners’ end customers or access and enroll their members.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Enrollment and Outreach</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After a customer or channel partner contracts with us, we collaborate to support enrollment of covered employees or dependents, covered health plan or PBM members, or patients. Our customer experience and partner management teams, account executives, and engineering and product teams work together to support technical implementation and launch of outreach communications before members begin enrolling into our programs. We work with our customers and channel partners to increase awareness through outreach campaigns designed to inform eligible members of their ability to join the respective Omada program. Outreach campaigns can be led by the customer or channel partner or led by Omada, leveraging our preferred methods and materials. The cost of our enrollment and outreach teams are recognized primarily within sales and marketing expense.</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Care Team and Devices</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Once a member enrolls in an Omada program, we support the member with an Omada Care Team and our member-facing application, and we provide the member with a set of connected third-party devices. Each Care Team consists of a primary health coach or specialist, additional relevant specialists where applicable, and/or a licensed physical therapist, depending on the program. Member Support Agents also provide device and platform support to members across all programs, via phone, email, and self-service support articles. The connected third-party devices supplied in connection with our programs can include scales, blood pressure monitors, blood glucose monitors, and continuous glucose monitors. The cost of our Care Team and our connected third-party devices are all recognized within cost of revenue.</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We believe that our future growth, success, and performance are dependent on many factors, including those set forth below. While these factors present significant opportunities for us, they also represent the challenges that we must successfully address in order to grow our business and improve our results of operations.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New Customers and Channel Partners</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We believe there is substantial opportunity to further grow our base of customers and channel partners in our large addressable market. Historically, we have relied on a limited number of customers and channel partners, including employers, health plans, PBMs, health systems, and government entities, for a substantial portion of our total sales. Our customers include employers that cover our programs for their employees and their</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80"/>
          </w:cols>
          <w:pgMar w:left="320" w:top="451" w:right="4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55" w:lineRule="auto"/>
        <w:rPr>
          <w:sz w:val="20"/>
          <w:szCs w:val="20"/>
          <w:color w:val="auto"/>
        </w:rPr>
      </w:pPr>
      <w:r>
        <w:rPr>
          <w:rFonts w:ascii="Times New Roman" w:cs="Times New Roman" w:eastAsia="Times New Roman" w:hAnsi="Times New Roman"/>
          <w:sz w:val="18"/>
          <w:szCs w:val="18"/>
          <w:color w:val="auto"/>
        </w:rPr>
        <w:t>dependents and health systems that cover our programs for patients, among other types of customers. In addition, our channel partners, which include certain of the health plans, PBMs, and other entities that we work with, operate as resellers of our programs to their employer customers or other end customers, which can limit an end customer’s ability to continue purchasing our programs if the customer no longer works with a particular channel partner. Some of the health plans and PBMs we work with as channel partners also cover our programs directly, for a portion of their own members, as our customers.</w:t>
      </w:r>
    </w:p>
    <w:p>
      <w:pPr>
        <w:spacing w:after="0" w:line="183"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seek to grow our business by acquiring more covered lives across multiple buyer categories: selling to new customers and channel partners as well as expanding within our existing channel partners to new lines of business. Our diverse go-to-market strategy affords us flexibility to pursue growth via multiple distinct channels, including through new channels and in lines of business where we have yet to place significant focus, such as Medicare Advantage.</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Customer and Channel Partner Retention</w:t>
      </w:r>
    </w:p>
    <w:p>
      <w:pPr>
        <w:spacing w:after="0" w:line="224" w:lineRule="exact"/>
        <w:rPr>
          <w:sz w:val="20"/>
          <w:szCs w:val="20"/>
          <w:color w:val="auto"/>
        </w:rPr>
      </w:pPr>
    </w:p>
    <w:p>
      <w:pPr>
        <w:jc w:val="both"/>
        <w:ind w:left="180" w:right="20" w:firstLine="436"/>
        <w:spacing w:after="0" w:line="253" w:lineRule="auto"/>
        <w:rPr>
          <w:sz w:val="20"/>
          <w:szCs w:val="20"/>
          <w:color w:val="auto"/>
        </w:rPr>
      </w:pPr>
      <w:r>
        <w:rPr>
          <w:rFonts w:ascii="Times New Roman" w:cs="Times New Roman" w:eastAsia="Times New Roman" w:hAnsi="Times New Roman"/>
          <w:sz w:val="18"/>
          <w:szCs w:val="18"/>
          <w:color w:val="auto"/>
        </w:rPr>
        <w:t>Our ability to increase revenue depends on maintaining relationships with customers and channel partners over time, driving both renewal revenue and expansion revenue as customers and channel partners add new programs to provide to their member base. We have invested and plan to continue to invest across our data, analytics, operations, and customer success capabilities to build the infrastructure that supports our go-to-market approach. The strength of our relationships with customers is evidenced in our three-year average customer retention rate of over 90%, and our customer satisfaction rate of over 90% for each of program implementation and customer success, each as of December 31, 2024, and our customer net promoter score, which we measure biannually, of 70 as of March 2025.</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Program Expansion within Existing Customer Base</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We believe that the ability to grow the share of revenue that we generate from existing customers is a key driver of long-term growth. We have seen significant expansion over time as existing customers and channel partners have added our newer Diabetes and Hypertension programs, and we remain focused on driving multi-program adoption as a key growth lever. We believe there is still opportunity to continue multi-condition expansion. As of December 31, 2024, approximately 31% of our customers covered more than one Omada program, which leaves sizable opportunities to sell additional programs.</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Member Enrollment</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Having served over one million members since launch, there is still significant opportunity to enroll more members. We are focused on achieving higher enrollment rates by helping more customers and channel partners adopt our outreach best practices, including enabling Omada-led outreach campaigns, implementing strategies to reach individuals with known risk, and evaluating new enrollment strategies and channels.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Member Engagement and Outcomes</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Member engagement in our programs and the clinical outcomes and cost savings of our offerings affect the market acceptance and adoption of our programs. Most of our customers pay fees to us based on member enrollment and/or engagement with our programs, and our contracts generally may provide that we are obligated to repay a portion of our fees if our programs fail to deliver certain member engagement targets, clinical outcomes, or cost savings. In 2024, more than 55% of members were still engaged with our cardiometabolic programs at least once per month after a year in the program. We are focused on continuing to provide engaging content and tools, foster meaningful personal connections, and demonstrate positive clinical outcomes for our members.</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Growth</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We expect to continue to focus on long-term growth of our core business, while selectively investing in areas that enhance our platform, programs, or operations. Though our focus remains on continued progress in our</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80"/>
          </w:cols>
          <w:pgMar w:left="320" w:top="451" w:right="4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77" w:lineRule="auto"/>
        <w:rPr>
          <w:sz w:val="20"/>
          <w:szCs w:val="20"/>
          <w:color w:val="auto"/>
        </w:rPr>
      </w:pPr>
      <w:r>
        <w:rPr>
          <w:rFonts w:ascii="Times New Roman" w:cs="Times New Roman" w:eastAsia="Times New Roman" w:hAnsi="Times New Roman"/>
          <w:sz w:val="18"/>
          <w:szCs w:val="18"/>
          <w:color w:val="auto"/>
        </w:rPr>
        <w:t>current care areas, we monitor the needs of our customers and channel partners, and we believe we are well positioned to respond to their requirements organically or, where appropriate, to add new capabilities through partnerships and potential acquisitions.</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Key Metric</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We monitor the following key metric to help us evaluate our business, measure our performance, identify trends affecting our business, formulate business plans, and make strategic decisions.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Total Members</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A member is a person who is enrolled in one of our virtual care programs and that generated a billing event in the preceding 12 months. We believe growth in the number of members is a key indicator of the performance of our business for both investors and management as we monitor the performance of our business, as members primarily drive services revenue. The number of members depends, in part, on our ability to successfully market our services to new customers and channel partners, our ability to sell additional programs to existing customers and channel partners, and our ability to promote awareness of our programs among covered individuals and to encourage their enrollment.</w:t>
      </w:r>
    </w:p>
    <w:p>
      <w:pPr>
        <w:spacing w:after="0" w:line="20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6640" w:type="dxa"/>
            <w:vAlign w:val="bottom"/>
          </w:tcPr>
          <w:p>
            <w:pPr>
              <w:spacing w:after="0"/>
              <w:rPr>
                <w:sz w:val="14"/>
                <w:szCs w:val="14"/>
                <w:color w:val="auto"/>
              </w:rPr>
            </w:pPr>
          </w:p>
        </w:tc>
        <w:tc>
          <w:tcPr>
            <w:tcW w:w="1820" w:type="dxa"/>
            <w:vAlign w:val="bottom"/>
            <w:gridSpan w:val="5"/>
          </w:tcPr>
          <w:p>
            <w:pPr>
              <w:jc w:val="center"/>
              <w:ind w:left="503"/>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As of March 31,</w:t>
            </w:r>
          </w:p>
        </w:tc>
      </w:tr>
      <w:tr>
        <w:trPr>
          <w:trHeight w:val="140"/>
        </w:trPr>
        <w:tc>
          <w:tcPr>
            <w:tcW w:w="66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3"/>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0"/>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3"/>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60"/>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2"/>
                <w:szCs w:val="12"/>
                <w:color w:val="auto"/>
              </w:rPr>
            </w:pPr>
          </w:p>
        </w:tc>
      </w:tr>
      <w:tr>
        <w:trPr>
          <w:trHeight w:val="207"/>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Members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572,000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461,000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679,000</w:t>
            </w:r>
          </w:p>
        </w:tc>
        <w:tc>
          <w:tcPr>
            <w:tcW w:w="60" w:type="dxa"/>
            <w:vAlign w:val="bottom"/>
            <w:shd w:val="clear" w:color="auto" w:fill="CCEEFF"/>
          </w:tcPr>
          <w:p>
            <w:pPr>
              <w:spacing w:after="0"/>
              <w:rPr>
                <w:sz w:val="18"/>
                <w:szCs w:val="18"/>
                <w:color w:val="auto"/>
              </w:rPr>
            </w:pPr>
          </w:p>
        </w:tc>
      </w:tr>
    </w:tbl>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4"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We generate services revenue from our customers by providing access to our virtual care programs in which our Care Teams implement clinically validated behavior change protocols for individuals living with prediabetes and weight management issues, diabetes, and hypertension (collectively referred to as “cardiometabolic” conditions) and MSK conditions over the term of the program. Our MSK program generally includes a fixed, upfront consultation fee and an additional fee for members that opt in to a physical therapist-guided treatment plan. We use a number of pricing models for our cardiometabolic programs. In general, our legacy pricing models for cardiometabolic programs may include a fixed, upfront enrollment fee and include variable monthly fees which are based on either outcomes or milestones for the respective member service period. In general, our latest pricing models for cardiometabolic programs are based on the respective member’s level of activity in the program. Each month, members that have completed a minimum number of qualifying activities during an agreed-upon backward-looking measurement period are considered billable members. The length of the measurement period and the qualifying activities may vary based on negotiations with customers and channel partners. Most activity measurement periods are defined as the preceding three or six months, and in most cases, members are considered active if they complete three activities during that period, such as logging in or interacting with the Omada mobile app, sending messages to Omada Care Team members, or recording metrics such as weight, blood pressure, or blood glucose values.</w:t>
      </w:r>
    </w:p>
    <w:p>
      <w:pPr>
        <w:spacing w:after="0" w:line="191"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The price for Omada for Diabetes and Omada for Hypertension is generally higher than the price for Omada for Prevention &amp; Weight Health to account for the higher costs of delivering those programs, including additional included devices and increased Care Team support appropriate for those conditions. We typically bill for our services monthly, in arrears. We recognize a portion of revenue upfront upon hardware delivery or initial consultation and the remaining revenue over the period members have access to our virtual care programs. In general, among our members in cardiometabolic programs, members in Omada for Diabetes and Omada for Hypertension remain active and enrolled in our programs for longer periods than members in Omada for Prevention &amp; Weight Health. In addition to the overall number of members, our quarterly revenues reflect the mix of members enrolled in our various programs and the pricing models for these programs.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80"/>
          </w:cols>
          <w:pgMar w:left="320" w:top="451" w:right="4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Sales from or through our top five health plan and PBM partners, including any sales to these entities as customers and sales through these entities as channel partners, represented 68% and 69% of our revenue for the years ended December 31, 2023 and 2024, respectively, and 67% and 73% of our revenue for three months ended March 31, 2024 and 2025, respectively. As of and for the year ended December 31, 2023, we had one health plan or PBM that accounted for 28% of our accounts receivable, net and 36% of our revenue, and a second health plan or PBM that accounted for 22% of our accounts receivable, net and 19% of our revenue. As of and for the year ended December 31, 2024, we had one health plan or PBM that accounted for 29% of our accounts receivable, net and 36% of our revenue, and a second health plan or PBM that accounted for 28% of our accounts receivable, net and 19% of our revenue. Each of these health plans or PBMs are affiliates of The Cigna Group.</w:t>
      </w:r>
    </w:p>
    <w:p>
      <w:pPr>
        <w:spacing w:after="0" w:line="189"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As of and for the three months ended March 31, 2024, we had one health plan or PBM that accounted for 28% of our accounts receivable, net and 37% of our revenue, and a second health plan or PBM that accounted for 22% of our accounts receivable, net and 17% of our revenue. As of and for the three months ended March 31, 2025, we had one health plan or PBM that accounted for 24% of our accounts receivable, net and 31% of our revenue, and a second health plan or PBM that accounted for 35% of our accounts receivable, net and 29% of our revenue. Each of these health plans or PBMs are affiliates of The Cigna Group.</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Cost of revenue consists of expenses that are directly related to or closely correlated to the delivery of our virtual care programs and member support. Cost of services revenue include salaries, share-based compensation expense, bonuses, benefits, travel, and meals and entertainment expenses (collectively, “personnel costs”), data server management expense, hosting costs, connectivity fees for cellular devices, and the amortization of capitalized internal-use software and developed technology. Cost of hardware revenue includes equipment costs, shipping and logistics costs, and provisions for excess and obsolete inventory. Most of the devices delivered in connection with our programs are manufactured in China and may be manufactured in other international markets in the future, and we expect that the prices of these devices may increase as a result of recent tariffs and any new or increased tariffs in the future.</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Gross profit is total revenue less total cost of revenue. Gross margin is gross profit expressed as a percentage of revenue. Gross profit and gross margin have been and will continue to be affected by various factors, including the acquisition of new customers and channel partners, renewals of existing agreements, sales of additional programs to our existing customers, the mix of programs covered by our customers and channel partners and members enrolled in those programs, the timing of members enrolling in our programs, the costs associated with third-party data server management and third-party hosting services, costs of hardware, economies of scale, and the extent to which we introduce new features or functionality or expand our Care Teams and hire other additional personnel.</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(“R&amp;D”), sales and marketing, and general and administrative expenses. Personnel costs are the most significant component of operating expenses. Operating expenses also include professional and consulting services and the allocation of shared general corporate expenses primarily related to technology.</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Our R&amp;D expenses support our efforts to add new features and content to our programs and to ensure the reliability and scalability of our virtual care platform. R&amp;D expenses consist primarily of personnel costs and the allocation of shared general corporate expenses primarily related to technology. R&amp;D costs are expensed as incurred.</w:t>
      </w:r>
    </w:p>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expect to make continued investments in our virtual care platform in connection with our future growth.</w:t>
      </w:r>
    </w:p>
    <w:p>
      <w:pPr>
        <w:spacing w:after="0" w:line="1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80"/>
          </w:cols>
          <w:pgMar w:left="320" w:top="451" w:right="4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Sales and marketing expenses consist of personnel costs, commissions for our sales and marketing teams, administrative and marketing fees that we pay to channel partners for their services, promotional marketing materials, and advertising costs. Sales and marketing expenses also include costs for third-party consulting services and the allocation of shared general corporate expenses primarily related to technology.</w:t>
      </w:r>
    </w:p>
    <w:p>
      <w:pPr>
        <w:spacing w:after="0" w:line="177"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sales and marketing teams are responsible for growing and maintaining our relationships with customers and channel partners and increasing enrollments.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General and administrative expenses consist of personnel costs for our finance, legal, compliance, human resources, and administrative teams, software and infrastructure costs, professional fees, and the allocation of shared general corporate expenses primarily related to technology.</w:t>
      </w:r>
    </w:p>
    <w:p>
      <w:pPr>
        <w:spacing w:after="0" w:line="163"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We expect general and administrative expenses to increase in absolute dollars as we grow our operations and incur additional expenses associated with operating as a public company. Increased expenses as a result of operating as a public company include expenses necessary to comply with the rules and regulations applicable to companies listed on a national securities exchange and related compliance and reporting obligations pursuant to the rules and regulations of the SEC, as well as higher expenses for general and director and officer insurance, investor relations, and other third-party consulting services.</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Interest income consists of income earned on our cash and cash equivalents.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Interest expense consists of interest costs associated with our debt financing, including amortization of debt issuance costs.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Liabilities</w:t>
      </w:r>
    </w:p>
    <w:p>
      <w:pPr>
        <w:spacing w:after="0" w:line="222"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classify our redeemable convertible preferred stock warrants and common stock warrants as liabilities on our consolidated balance sheets. We remeasure the warrant liabilities to fair value at each reporting date and recognize changes in the fair value of the warrant liabilities in our consolidated statements of operations. We will continue to adjust the warrant liabilities for changes in fair value until the earlier of the expiration or exercise of the redeemable convertible preferred stock warrants and common stock warrants.</w:t>
      </w:r>
    </w:p>
    <w:p>
      <w:pPr>
        <w:spacing w:after="0" w:line="182"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In connection with the closing of this offering, the warrants to purchase shares of our Series D redeemable convertible preferred stock will be automatically exercised in accordance with its terms, at which time we expect to adjust the warrant liabilities to fair value prior to reclassifying the warrant liabilities to additional paid-in capital. As a result, following the closing of this offering, we expect the redeemable convertible preferred stock warrants will no longer be subject to fair value accounting.</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Loss on Debt Extinguishment</w:t>
      </w:r>
    </w:p>
    <w:p>
      <w:pPr>
        <w:spacing w:after="0" w:line="22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loss on debt extinguishment for the year ended December 31, 2023 consisted primarily of unamortized debt issuance costs and prepayment fees related to that certain credit agreement and guaranty, dated as of</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80"/>
          </w:cols>
          <w:pgMar w:left="320" w:top="451" w:right="4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77" w:lineRule="auto"/>
        <w:rPr>
          <w:sz w:val="20"/>
          <w:szCs w:val="20"/>
          <w:color w:val="auto"/>
        </w:rPr>
      </w:pPr>
      <w:r>
        <w:rPr>
          <w:rFonts w:ascii="Times New Roman" w:cs="Times New Roman" w:eastAsia="Times New Roman" w:hAnsi="Times New Roman"/>
          <w:sz w:val="18"/>
          <w:szCs w:val="18"/>
          <w:color w:val="auto"/>
        </w:rPr>
        <w:t>May 18, 2020, by and among us, the subsidiary guarantors and lenders from time to time party thereto, and Perceptive Credit Holdings III, LP (the “Perceptive Credit Agreement”), described in the subsection titled “Liquidity and Capital Resources.”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4" w:lineRule="exact"/>
        <w:rPr>
          <w:sz w:val="20"/>
          <w:szCs w:val="20"/>
          <w:color w:val="auto"/>
        </w:rPr>
      </w:pPr>
    </w:p>
    <w:p>
      <w:pPr>
        <w:jc w:val="both"/>
        <w:ind w:left="180" w:firstLine="436"/>
        <w:spacing w:after="0" w:line="308" w:lineRule="auto"/>
        <w:rPr>
          <w:sz w:val="20"/>
          <w:szCs w:val="20"/>
          <w:color w:val="auto"/>
        </w:rPr>
      </w:pPr>
      <w:r>
        <w:rPr>
          <w:rFonts w:ascii="Times New Roman" w:cs="Times New Roman" w:eastAsia="Times New Roman" w:hAnsi="Times New Roman"/>
          <w:sz w:val="17"/>
          <w:szCs w:val="17"/>
          <w:color w:val="auto"/>
        </w:rPr>
        <w:t>We are subject to income taxes in U.S federal, state, and local jurisdictions in which we conduct business. We maintain a full valuation allowance on our federal and state deferred tax assets as we have concluded that it is not more likely than not that the deferred tax assets will be realized.</w:t>
      </w:r>
    </w:p>
    <w:p>
      <w:pPr>
        <w:spacing w:after="0" w:line="137" w:lineRule="exact"/>
        <w:rPr>
          <w:sz w:val="20"/>
          <w:szCs w:val="20"/>
          <w:color w:val="auto"/>
        </w:rPr>
      </w:pPr>
    </w:p>
    <w:p>
      <w:pPr>
        <w:jc w:val="both"/>
        <w:ind w:left="180" w:right="20" w:firstLine="436"/>
        <w:spacing w:after="0" w:line="258" w:lineRule="auto"/>
        <w:rPr>
          <w:sz w:val="20"/>
          <w:szCs w:val="20"/>
          <w:color w:val="auto"/>
        </w:rPr>
      </w:pPr>
      <w:r>
        <w:rPr>
          <w:rFonts w:ascii="Times New Roman" w:cs="Times New Roman" w:eastAsia="Times New Roman" w:hAnsi="Times New Roman"/>
          <w:sz w:val="18"/>
          <w:szCs w:val="18"/>
          <w:color w:val="auto"/>
        </w:rPr>
        <w:t xml:space="preserve">We account for uncertain tax positions in accordance with Accounting Standards Codification (“ASC”) 740-10, </w:t>
      </w:r>
      <w:r>
        <w:rPr>
          <w:rFonts w:ascii="Times New Roman" w:cs="Times New Roman" w:eastAsia="Times New Roman" w:hAnsi="Times New Roman"/>
          <w:sz w:val="18"/>
          <w:szCs w:val="18"/>
          <w:i w:val="1"/>
          <w:iCs w:val="1"/>
          <w:color w:val="auto"/>
        </w:rPr>
        <w:t>Accounting for Uncertainty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recognize the tax effects of an uncertain tax position only if it is more likely than not to be sustained based solely on its technical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merits as of the reporting date and only in an amount more likely than not to be sustained upon review by the tax authorities. Interest and penalties related to uncertain tax positions are classified in the consolidated financial statements as income tax expense.</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each of the periods presented:</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6"/>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40" w:type="dxa"/>
            <w:vAlign w:val="bottom"/>
            <w:tcBorders>
              <w:top w:val="single" w:sz="8" w:color="auto"/>
            </w:tcBorders>
          </w:tcPr>
          <w:p>
            <w:pPr>
              <w:jc w:val="right"/>
              <w:ind w:right="3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3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ind w:left="3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40" w:type="dxa"/>
            <w:vAlign w:val="bottom"/>
            <w:tcBorders>
              <w:top w:val="single" w:sz="8" w:color="auto"/>
            </w:tcBorders>
          </w:tcPr>
          <w:p>
            <w:pPr>
              <w:jc w:val="right"/>
              <w:ind w:right="3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020" w:type="dxa"/>
            <w:vAlign w:val="bottom"/>
            <w:tcBorders>
              <w:top w:val="single" w:sz="8" w:color="auto"/>
            </w:tcBorders>
            <w:gridSpan w:val="2"/>
          </w:tcPr>
          <w:p>
            <w:pPr>
              <w:jc w:val="right"/>
              <w:ind w:right="421"/>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60" w:type="dxa"/>
            <w:vAlign w:val="bottom"/>
            <w:tcBorders>
              <w:top w:val="single" w:sz="8" w:color="auto"/>
            </w:tcBorders>
          </w:tcPr>
          <w:p>
            <w:pPr>
              <w:jc w:val="right"/>
              <w:ind w:right="52"/>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2025 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gridSpan w:val="4"/>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4"/>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gridSpan w:val="4"/>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114,531</w:t>
            </w:r>
          </w:p>
        </w:tc>
        <w:tc>
          <w:tcPr>
            <w:tcW w:w="340" w:type="dxa"/>
            <w:vAlign w:val="bottom"/>
          </w:tcPr>
          <w:p>
            <w:pPr>
              <w:spacing w:after="0"/>
              <w:rPr>
                <w:sz w:val="18"/>
                <w:szCs w:val="18"/>
                <w:color w:val="auto"/>
              </w:rPr>
            </w:pP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157,789</w:t>
            </w:r>
          </w:p>
        </w:tc>
        <w:tc>
          <w:tcPr>
            <w:tcW w:w="36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31,904</w:t>
            </w:r>
          </w:p>
        </w:tc>
        <w:tc>
          <w:tcPr>
            <w:tcW w:w="340" w:type="dxa"/>
            <w:vAlign w:val="bottom"/>
          </w:tcPr>
          <w:p>
            <w:pPr>
              <w:spacing w:after="0"/>
              <w:rPr>
                <w:sz w:val="18"/>
                <w:szCs w:val="18"/>
                <w:color w:val="auto"/>
              </w:rPr>
            </w:pPr>
          </w:p>
        </w:tc>
        <w:tc>
          <w:tcPr>
            <w:tcW w:w="560" w:type="dxa"/>
            <w:vAlign w:val="bottom"/>
            <w:gridSpan w:val="2"/>
          </w:tcPr>
          <w:p>
            <w:pPr>
              <w:jc w:val="right"/>
              <w:ind w:right="8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Hardware</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122,784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169,800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tcPr>
          <w:p>
            <w:pPr>
              <w:ind w:left="340"/>
              <w:spacing w:after="0" w:line="213" w:lineRule="exact"/>
              <w:rPr>
                <w:sz w:val="20"/>
                <w:szCs w:val="20"/>
                <w:color w:val="auto"/>
              </w:rPr>
            </w:pPr>
            <w:r>
              <w:rPr>
                <w:rFonts w:ascii="Times New Roman" w:cs="Times New Roman" w:eastAsia="Times New Roman" w:hAnsi="Times New Roman"/>
                <w:sz w:val="24"/>
                <w:szCs w:val="24"/>
                <w:color w:val="auto"/>
                <w:vertAlign w:val="subscript"/>
              </w:rPr>
              <w:t>Services</w:t>
            </w:r>
            <w:r>
              <w:rPr>
                <w:rFonts w:ascii="Times New Roman" w:cs="Times New Roman" w:eastAsia="Times New Roman" w:hAnsi="Times New Roman"/>
                <w:sz w:val="11"/>
                <w:szCs w:val="11"/>
                <w:color w:val="auto"/>
              </w:rPr>
              <w:t>(1)(2)(3)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Hardware</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cost of revenue</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52,813</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66,923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line="213"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4"/>
                <w:szCs w:val="24"/>
                <w:color w:val="auto"/>
                <w:vertAlign w:val="superscript"/>
              </w:rPr>
              <w:t>(1)(3)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tcPr>
          <w:p>
            <w:pPr>
              <w:ind w:left="340"/>
              <w:spacing w:after="0" w:line="213" w:lineRule="exact"/>
              <w:rPr>
                <w:sz w:val="20"/>
                <w:szCs w:val="20"/>
                <w:color w:val="auto"/>
              </w:rPr>
            </w:pPr>
            <w:r>
              <w:rPr>
                <w:rFonts w:ascii="Times New Roman" w:cs="Times New Roman" w:eastAsia="Times New Roman" w:hAnsi="Times New Roman"/>
                <w:sz w:val="17"/>
                <w:szCs w:val="17"/>
                <w:color w:val="auto"/>
              </w:rPr>
              <w:t>Sales and marketing</w:t>
            </w:r>
            <w:r>
              <w:rPr>
                <w:rFonts w:ascii="Times New Roman" w:cs="Times New Roman" w:eastAsia="Times New Roman" w:hAnsi="Times New Roman"/>
                <w:sz w:val="24"/>
                <w:szCs w:val="24"/>
                <w:color w:val="auto"/>
                <w:vertAlign w:val="superscript"/>
              </w:rPr>
              <w:t>(1)(2)(3)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line="213"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4"/>
                <w:szCs w:val="24"/>
                <w:color w:val="auto"/>
                <w:vertAlign w:val="superscript"/>
              </w:rPr>
              <w:t>(1)(3)</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135,968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146,531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35,341</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(65,997)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(43,654)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(17,993)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(5,775)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(805)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(529)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(218)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expense, net</w:t>
            </w: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(67,511)</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0"/>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(67,511</w:t>
            </w:r>
          </w:p>
        </w:tc>
        <w:tc>
          <w:tcPr>
            <w:tcW w:w="340" w:type="dxa"/>
            <w:vAlign w:val="bottom"/>
          </w:tcPr>
          <w:p>
            <w:pPr>
              <w:jc w:val="right"/>
              <w:ind w:right="261"/>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(47,137</w:t>
            </w:r>
          </w:p>
        </w:tc>
        <w:tc>
          <w:tcPr>
            <w:tcW w:w="360" w:type="dxa"/>
            <w:vAlign w:val="bottom"/>
          </w:tcPr>
          <w:p>
            <w:pPr>
              <w:jc w:val="right"/>
              <w:ind w:right="281"/>
              <w:spacing w:after="0"/>
              <w:rPr>
                <w:sz w:val="20"/>
                <w:szCs w:val="20"/>
                <w:color w:val="auto"/>
              </w:rPr>
            </w:pPr>
            <w:r>
              <w:rPr>
                <w:rFonts w:ascii="Times New Roman" w:cs="Times New Roman" w:eastAsia="Times New Roman" w:hAnsi="Times New Roman"/>
                <w:sz w:val="8"/>
                <w:szCs w:val="8"/>
                <w:color w:val="auto"/>
                <w:w w:val="73"/>
              </w:rPr>
              <w:t>)</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(18,969</w:t>
            </w:r>
          </w:p>
        </w:tc>
        <w:tc>
          <w:tcPr>
            <w:tcW w:w="340" w:type="dxa"/>
            <w:vAlign w:val="bottom"/>
          </w:tcPr>
          <w:p>
            <w:pPr>
              <w:jc w:val="right"/>
              <w:ind w:right="261"/>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93345</wp:posOffset>
            </wp:positionV>
            <wp:extent cx="7550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58" w:lineRule="exact"/>
        <w:rPr>
          <w:sz w:val="20"/>
          <w:szCs w:val="20"/>
          <w:color w:val="auto"/>
        </w:rPr>
      </w:pPr>
    </w:p>
    <w:p>
      <w:pPr>
        <w:ind w:left="600" w:hanging="426"/>
        <w:spacing w:after="0"/>
        <w:tabs>
          <w:tab w:leader="none" w:pos="6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share-based compensation expense as follows:</w:t>
      </w:r>
    </w:p>
    <w:p>
      <w:pPr>
        <w:spacing w:after="0" w:line="1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80"/>
          </w:cols>
          <w:pgMar w:left="320" w:top="451" w:right="4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11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1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760" w:type="dxa"/>
            <w:vAlign w:val="bottom"/>
            <w:gridSpan w:val="3"/>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 xml:space="preserve">   2023    </w:t>
            </w:r>
          </w:p>
        </w:tc>
        <w:tc>
          <w:tcPr>
            <w:tcW w:w="66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40" w:type="dxa"/>
            <w:vAlign w:val="bottom"/>
            <w:gridSpan w:val="2"/>
          </w:tcPr>
          <w:p>
            <w:pPr>
              <w:jc w:val="right"/>
              <w:ind w:right="49"/>
              <w:spacing w:after="0" w:line="141" w:lineRule="exact"/>
              <w:rPr>
                <w:sz w:val="20"/>
                <w:szCs w:val="20"/>
                <w:color w:val="auto"/>
              </w:rPr>
            </w:pPr>
            <w:r>
              <w:rPr>
                <w:rFonts w:ascii="Times New Roman" w:cs="Times New Roman" w:eastAsia="Times New Roman" w:hAnsi="Times New Roman"/>
                <w:sz w:val="14"/>
                <w:szCs w:val="14"/>
                <w:b w:val="1"/>
                <w:bCs w:val="1"/>
                <w:color w:val="auto"/>
                <w:w w:val="95"/>
              </w:rPr>
              <w:t xml:space="preserve">   2024    </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jc w:val="right"/>
              <w:ind w:right="15"/>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680" w:type="dxa"/>
            <w:vAlign w:val="bottom"/>
            <w:gridSpan w:val="3"/>
          </w:tcPr>
          <w:p>
            <w:pPr>
              <w:jc w:val="right"/>
              <w:ind w:right="69"/>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660" w:type="dxa"/>
            <w:vAlign w:val="bottom"/>
          </w:tcPr>
          <w:p>
            <w:pPr>
              <w:spacing w:after="0"/>
              <w:rPr>
                <w:sz w:val="12"/>
                <w:szCs w:val="12"/>
                <w:color w:val="auto"/>
              </w:rPr>
            </w:pPr>
          </w:p>
        </w:tc>
        <w:tc>
          <w:tcPr>
            <w:tcW w:w="140" w:type="dxa"/>
            <w:vAlign w:val="bottom"/>
          </w:tcPr>
          <w:p>
            <w:pPr>
              <w:jc w:val="right"/>
              <w:ind w:right="55"/>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4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85"/>
              </w:rPr>
              <w:t>2025 </w:t>
            </w:r>
          </w:p>
        </w:tc>
        <w:tc>
          <w:tcPr>
            <w:tcW w:w="260" w:type="dxa"/>
            <w:vAlign w:val="bottom"/>
          </w:tcPr>
          <w:p>
            <w:pPr>
              <w:jc w:val="right"/>
              <w:ind w:right="55"/>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4"/>
            <w:vMerge w:val="continue"/>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 revenue</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7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1,585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2,180</w:t>
            </w:r>
          </w:p>
        </w:tc>
        <w:tc>
          <w:tcPr>
            <w:tcW w:w="6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6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730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4,888</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8,740</w:t>
            </w:r>
          </w:p>
        </w:tc>
        <w:tc>
          <w:tcPr>
            <w:tcW w:w="7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8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180" w:type="dxa"/>
            <w:vAlign w:val="bottom"/>
            <w:tcBorders>
              <w:bottom w:val="single" w:sz="8" w:color="auto"/>
            </w:tcBorders>
          </w:tcPr>
          <w:p>
            <w:pPr>
              <w:spacing w:after="0"/>
              <w:rPr>
                <w:sz w:val="11"/>
                <w:szCs w:val="11"/>
                <w:color w:val="auto"/>
              </w:rPr>
            </w:pPr>
          </w:p>
        </w:tc>
        <w:tc>
          <w:tcPr>
            <w:tcW w:w="3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(2)Includes amortization of intangible assets as follows:</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7"/>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1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Borders>
              <w:top w:val="single" w:sz="8" w:color="auto"/>
            </w:tcBorders>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40" w:type="dxa"/>
            <w:vAlign w:val="bottom"/>
            <w:tcBorders>
              <w:top w:val="single" w:sz="8" w:color="auto"/>
            </w:tcBorders>
            <w:gridSpan w:val="2"/>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600" w:type="dxa"/>
            <w:vAlign w:val="bottom"/>
            <w:tcBorders>
              <w:top w:val="single" w:sz="8" w:color="auto"/>
            </w:tcBorders>
          </w:tcPr>
          <w:p>
            <w:pPr>
              <w:jc w:val="right"/>
              <w:ind w:right="37"/>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160" w:type="dxa"/>
            <w:vAlign w:val="bottom"/>
            <w:tcBorders>
              <w:top w:val="single" w:sz="8" w:color="auto"/>
            </w:tcBorders>
            <w:gridSpan w:val="2"/>
          </w:tcPr>
          <w:p>
            <w:pPr>
              <w:spacing w:after="0"/>
              <w:rPr>
                <w:sz w:val="12"/>
                <w:szCs w:val="12"/>
                <w:color w:val="auto"/>
              </w:rPr>
            </w:pPr>
          </w:p>
        </w:tc>
        <w:tc>
          <w:tcPr>
            <w:tcW w:w="780" w:type="dxa"/>
            <w:vAlign w:val="bottom"/>
            <w:tcBorders>
              <w:top w:val="single" w:sz="8" w:color="auto"/>
            </w:tcBorders>
            <w:gridSpan w:val="2"/>
          </w:tcPr>
          <w:p>
            <w:pPr>
              <w:ind w:left="5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20" w:type="dxa"/>
            <w:vAlign w:val="bottom"/>
            <w:tcBorders>
              <w:top w:val="single" w:sz="8" w:color="auto"/>
            </w:tcBorders>
          </w:tcPr>
          <w:p>
            <w:pPr>
              <w:jc w:val="right"/>
              <w:ind w:right="15"/>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top w:val="single" w:sz="8" w:color="auto"/>
            </w:tcBorders>
            <w:gridSpan w:val="2"/>
          </w:tcPr>
          <w:p>
            <w:pPr>
              <w:jc w:val="right"/>
              <w:ind w:right="75"/>
              <w:spacing w:after="0"/>
              <w:rPr>
                <w:sz w:val="20"/>
                <w:szCs w:val="20"/>
                <w:color w:val="auto"/>
              </w:rPr>
            </w:pPr>
            <w:r>
              <w:rPr>
                <w:rFonts w:ascii="Times New Roman" w:cs="Times New Roman" w:eastAsia="Times New Roman" w:hAnsi="Times New Roman"/>
                <w:sz w:val="1"/>
                <w:szCs w:val="1"/>
                <w:b w:val="1"/>
                <w:bCs w:val="1"/>
                <w:color w:val="auto"/>
                <w:w w:val="4294967291"/>
              </w:rPr>
              <w:t> </w:t>
            </w:r>
          </w:p>
        </w:tc>
        <w:tc>
          <w:tcPr>
            <w:tcW w:w="12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680" w:type="dxa"/>
            <w:vAlign w:val="bottom"/>
            <w:tcBorders>
              <w:top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4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85"/>
              </w:rPr>
              <w:t>2025 </w:t>
            </w:r>
          </w:p>
        </w:tc>
        <w:tc>
          <w:tcPr>
            <w:tcW w:w="260" w:type="dxa"/>
            <w:vAlign w:val="bottom"/>
            <w:tcBorders>
              <w:top w:val="single" w:sz="8" w:color="auto"/>
            </w:tcBorders>
          </w:tcPr>
          <w:p>
            <w:pPr>
              <w:jc w:val="right"/>
              <w:ind w:right="55"/>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5"/>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4"/>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 revenue</w:t>
            </w:r>
          </w:p>
        </w:tc>
        <w:tc>
          <w:tcPr>
            <w:tcW w:w="98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2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amortization of intangible assets</w:t>
            </w:r>
          </w:p>
        </w:tc>
        <w:tc>
          <w:tcPr>
            <w:tcW w:w="98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20" w:type="dxa"/>
            <w:vAlign w:val="bottom"/>
            <w:tcBorders>
              <w:right w:val="single" w:sz="8" w:color="CCEEFF"/>
            </w:tcBorders>
            <w:shd w:val="clear" w:color="auto" w:fill="CCEEFF"/>
          </w:tcPr>
          <w:p>
            <w:pPr>
              <w:spacing w:after="0"/>
              <w:rPr>
                <w:sz w:val="19"/>
                <w:szCs w:val="19"/>
                <w:color w:val="auto"/>
              </w:rPr>
            </w:pPr>
          </w:p>
        </w:tc>
        <w:tc>
          <w:tcPr>
            <w:tcW w:w="76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502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180" w:type="dxa"/>
            <w:vAlign w:val="bottom"/>
            <w:tcBorders>
              <w:bottom w:val="single" w:sz="8" w:color="auto"/>
            </w:tcBorders>
          </w:tcPr>
          <w:p>
            <w:pPr>
              <w:spacing w:after="0"/>
              <w:rPr>
                <w:sz w:val="12"/>
                <w:szCs w:val="12"/>
                <w:color w:val="auto"/>
              </w:rPr>
            </w:pPr>
          </w:p>
        </w:tc>
        <w:tc>
          <w:tcPr>
            <w:tcW w:w="3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(3)Includes depreciation and amortization as follows:</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11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7"/>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1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680" w:type="dxa"/>
            <w:vAlign w:val="bottom"/>
            <w:tcBorders>
              <w:top w:val="single" w:sz="8" w:color="auto"/>
              <w:bottom w:val="single" w:sz="8" w:color="auto"/>
            </w:tcBorders>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71"/>
              </w:rPr>
              <w:t xml:space="preserve">    </w:t>
            </w:r>
          </w:p>
        </w:tc>
        <w:tc>
          <w:tcPr>
            <w:tcW w:w="740" w:type="dxa"/>
            <w:vAlign w:val="bottom"/>
            <w:tcBorders>
              <w:top w:val="single" w:sz="8" w:color="auto"/>
              <w:bottom w:val="single" w:sz="8" w:color="auto"/>
            </w:tcBorders>
            <w:gridSpan w:val="2"/>
          </w:tcPr>
          <w:p>
            <w:pPr>
              <w:jc w:val="right"/>
              <w:ind w:right="109"/>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64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1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680" w:type="dxa"/>
            <w:vAlign w:val="bottom"/>
            <w:tcBorders>
              <w:top w:val="single" w:sz="8" w:color="auto"/>
              <w:bottom w:val="single" w:sz="8" w:color="auto"/>
            </w:tcBorders>
            <w:gridSpan w:val="3"/>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6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4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85"/>
              </w:rPr>
              <w:t>2025 </w:t>
            </w:r>
          </w:p>
        </w:tc>
        <w:tc>
          <w:tcPr>
            <w:tcW w:w="260" w:type="dxa"/>
            <w:vAlign w:val="bottom"/>
            <w:tcBorders>
              <w:top w:val="single" w:sz="8" w:color="auto"/>
              <w:bottom w:val="single" w:sz="8" w:color="auto"/>
            </w:tcBorders>
          </w:tcPr>
          <w:p>
            <w:pPr>
              <w:jc w:val="right"/>
              <w:ind w:right="55"/>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5"/>
                <w:szCs w:val="15"/>
                <w:color w:val="auto"/>
              </w:rPr>
            </w:pPr>
          </w:p>
        </w:tc>
        <w:tc>
          <w:tcPr>
            <w:tcW w:w="860" w:type="dxa"/>
            <w:vAlign w:val="bottom"/>
            <w:gridSpan w:val="4"/>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5"/>
            <w:vMerge w:val="continue"/>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 revenue</w:t>
            </w:r>
          </w:p>
        </w:tc>
        <w:tc>
          <w:tcPr>
            <w:tcW w:w="1120" w:type="dxa"/>
            <w:vAlign w:val="bottom"/>
            <w:gridSpan w:val="5"/>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1,974</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760" w:type="dxa"/>
            <w:vAlign w:val="bottom"/>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741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00" w:type="dxa"/>
            <w:vAlign w:val="bottom"/>
            <w:gridSpan w:val="2"/>
            <w:shd w:val="clear" w:color="auto" w:fill="CCEEFF"/>
          </w:tcPr>
          <w:p>
            <w:pPr>
              <w:ind w:left="360"/>
              <w:spacing w:after="0" w:line="213" w:lineRule="exact"/>
              <w:rPr>
                <w:sz w:val="20"/>
                <w:szCs w:val="20"/>
                <w:color w:val="auto"/>
              </w:rPr>
            </w:pPr>
            <w:r>
              <w:rPr>
                <w:rFonts w:ascii="Times New Roman" w:cs="Times New Roman" w:eastAsia="Times New Roman" w:hAnsi="Times New Roman"/>
                <w:sz w:val="17"/>
                <w:szCs w:val="17"/>
                <w:color w:val="auto"/>
              </w:rPr>
              <w:t>Total depreciation and amortization</w:t>
            </w:r>
            <w:r>
              <w:rPr>
                <w:rFonts w:ascii="Times New Roman" w:cs="Times New Roman" w:eastAsia="Times New Roman" w:hAnsi="Times New Roman"/>
                <w:sz w:val="24"/>
                <w:szCs w:val="24"/>
                <w:color w:val="auto"/>
                <w:vertAlign w:val="superscript"/>
              </w:rPr>
              <w:t>(i)</w:t>
            </w:r>
          </w:p>
        </w:tc>
        <w:tc>
          <w:tcPr>
            <w:tcW w:w="1120" w:type="dxa"/>
            <w:vAlign w:val="bottom"/>
            <w:gridSpan w:val="5"/>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2,404</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760" w:type="dxa"/>
            <w:vAlign w:val="bottom"/>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831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101600</wp:posOffset>
            </wp:positionV>
            <wp:extent cx="7550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58" w:lineRule="exact"/>
        <w:rPr>
          <w:sz w:val="20"/>
          <w:szCs w:val="20"/>
          <w:color w:val="auto"/>
        </w:rPr>
      </w:pPr>
    </w:p>
    <w:p>
      <w:pPr>
        <w:ind w:left="600" w:hanging="426"/>
        <w:spacing w:after="0"/>
        <w:tabs>
          <w:tab w:leader="none" w:pos="6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includes depreciation of property and equipment and amortization of capitalized internal-use software costs.</w:t>
      </w:r>
    </w:p>
    <w:p>
      <w:pPr>
        <w:spacing w:after="0" w:line="227" w:lineRule="exact"/>
        <w:rPr>
          <w:sz w:val="20"/>
          <w:szCs w:val="20"/>
          <w:color w:val="auto"/>
        </w:rPr>
      </w:pPr>
    </w:p>
    <w:tbl>
      <w:tblPr>
        <w:tblLayout w:type="fixed"/>
        <w:tblInd w:w="180" w:type="dxa"/>
        <w:tblCellMar>
          <w:top w:w="0" w:type="dxa"/>
          <w:left w:w="0" w:type="dxa"/>
          <w:bottom w:w="0" w:type="dxa"/>
          <w:right w:w="0" w:type="dxa"/>
        </w:tblCellMar>
      </w:tblPr>
      <w:tr>
        <w:trPr>
          <w:trHeight w:val="236"/>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Percentage of Revenue Data</w:t>
            </w:r>
          </w:p>
        </w:tc>
        <w:tc>
          <w:tcPr>
            <w:tcW w:w="272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20"/>
                <w:szCs w:val="20"/>
                <w:color w:val="auto"/>
              </w:rPr>
            </w:pPr>
          </w:p>
        </w:tc>
        <w:tc>
          <w:tcPr>
            <w:tcW w:w="260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0"/>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180" w:type="dxa"/>
            <w:vAlign w:val="bottom"/>
            <w:tcBorders>
              <w:top w:val="single" w:sz="8" w:color="auto"/>
            </w:tcBorders>
            <w:gridSpan w:val="2"/>
          </w:tcPr>
          <w:p>
            <w:pPr>
              <w:jc w:val="right"/>
              <w:ind w:right="5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1120" w:type="dxa"/>
            <w:vAlign w:val="bottom"/>
            <w:tcBorders>
              <w:top w:val="single" w:sz="8" w:color="auto"/>
            </w:tcBorders>
            <w:gridSpan w:val="2"/>
          </w:tcPr>
          <w:p>
            <w:pPr>
              <w:jc w:val="right"/>
              <w:ind w:right="15"/>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Borders>
              <w:top w:val="single" w:sz="8" w:color="auto"/>
            </w:tcBorders>
            <w:gridSpan w:val="2"/>
          </w:tcPr>
          <w:p>
            <w:pPr>
              <w:jc w:val="right"/>
              <w:ind w:right="5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34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780" w:type="dxa"/>
            <w:vAlign w:val="bottom"/>
            <w:tcBorders>
              <w:top w:val="single" w:sz="8" w:color="auto"/>
            </w:tcBorders>
          </w:tcPr>
          <w:p>
            <w:pPr>
              <w:jc w:val="right"/>
              <w:ind w:right="32"/>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2025    </w:t>
            </w:r>
          </w:p>
        </w:tc>
        <w:tc>
          <w:tcPr>
            <w:tcW w:w="200" w:type="dxa"/>
            <w:vAlign w:val="bottom"/>
          </w:tcPr>
          <w:p>
            <w:pPr>
              <w:spacing w:after="0"/>
              <w:rPr>
                <w:sz w:val="12"/>
                <w:szCs w:val="12"/>
                <w:color w:val="auto"/>
              </w:rPr>
            </w:pPr>
          </w:p>
        </w:tc>
      </w:tr>
      <w:tr>
        <w:trPr>
          <w:trHeight w:val="116"/>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20" w:type="dxa"/>
            <w:vAlign w:val="bottom"/>
            <w:tcBorders>
              <w:top w:val="single" w:sz="8" w:color="auto"/>
            </w:tcBorders>
            <w:gridSpan w:val="4"/>
          </w:tcPr>
          <w:p>
            <w:pPr>
              <w:jc w:val="center"/>
              <w:ind w:left="701"/>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7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r>
      <w:tr>
        <w:trPr>
          <w:trHeight w:val="185"/>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(as a percentage of revenue)</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Services</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w:t>
            </w:r>
          </w:p>
        </w:tc>
        <w:tc>
          <w:tcPr>
            <w:tcW w:w="15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93%</w:t>
            </w:r>
          </w:p>
        </w:tc>
        <w:tc>
          <w:tcPr>
            <w:tcW w:w="15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r>
      <w:tr>
        <w:trPr>
          <w:trHeight w:val="214"/>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Hardware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5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Hardware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5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cost of revenue</w:t>
            </w:r>
          </w:p>
        </w:tc>
        <w:tc>
          <w:tcPr>
            <w:tcW w:w="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CEEFF"/>
          </w:tcPr>
          <w:p>
            <w:pPr>
              <w:spacing w:after="0"/>
              <w:rPr>
                <w:sz w:val="18"/>
                <w:szCs w:val="18"/>
                <w:color w:val="auto"/>
              </w:rPr>
            </w:pPr>
          </w:p>
        </w:tc>
      </w:tr>
      <w:tr>
        <w:trPr>
          <w:trHeight w:val="220"/>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5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Pr>
          <w:p>
            <w:pPr>
              <w:spacing w:after="0"/>
              <w:rPr>
                <w:sz w:val="19"/>
                <w:szCs w:val="19"/>
                <w:color w:val="auto"/>
              </w:rPr>
            </w:pPr>
          </w:p>
        </w:tc>
      </w:tr>
      <w:tr>
        <w:trPr>
          <w:trHeight w:val="368"/>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rPr>
              <w:t>99</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80"/>
          </w:cols>
          <w:pgMar w:left="320" w:top="451" w:right="4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tbl>
      <w:tblPr>
        <w:tblLayout w:type="fixed"/>
        <w:tblInd w:w="180" w:type="dxa"/>
        <w:tblCellMar>
          <w:top w:w="0" w:type="dxa"/>
          <w:left w:w="0" w:type="dxa"/>
          <w:bottom w:w="0" w:type="dxa"/>
          <w:right w:w="0" w:type="dxa"/>
        </w:tblCellMar>
      </w:tblPr>
      <w:tr>
        <w:trPr>
          <w:trHeight w:val="23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Percentage of Revenue Data</w:t>
            </w:r>
          </w:p>
        </w:tc>
        <w:tc>
          <w:tcPr>
            <w:tcW w:w="220" w:type="dxa"/>
            <w:vAlign w:val="bottom"/>
          </w:tcPr>
          <w:p>
            <w:pPr>
              <w:spacing w:after="0"/>
              <w:rPr>
                <w:sz w:val="20"/>
                <w:szCs w:val="20"/>
                <w:color w:val="auto"/>
              </w:rPr>
            </w:pPr>
          </w:p>
        </w:tc>
        <w:tc>
          <w:tcPr>
            <w:tcW w:w="2620" w:type="dxa"/>
            <w:vAlign w:val="bottom"/>
            <w:gridSpan w:val="9"/>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8"/>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0"/>
        </w:trPr>
        <w:tc>
          <w:tcPr>
            <w:tcW w:w="5100" w:type="dxa"/>
            <w:vAlign w:val="bottom"/>
          </w:tcPr>
          <w:p>
            <w:pPr>
              <w:spacing w:after="0"/>
              <w:rPr>
                <w:sz w:val="12"/>
                <w:szCs w:val="12"/>
                <w:color w:val="auto"/>
              </w:rPr>
            </w:pPr>
          </w:p>
        </w:tc>
        <w:tc>
          <w:tcPr>
            <w:tcW w:w="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220" w:type="dxa"/>
            <w:vAlign w:val="bottom"/>
            <w:tcBorders>
              <w:top w:val="single" w:sz="8" w:color="auto"/>
            </w:tcBorders>
          </w:tcPr>
          <w:p>
            <w:pPr>
              <w:ind w:left="10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980" w:type="dxa"/>
            <w:vAlign w:val="bottom"/>
            <w:tcBorders>
              <w:top w:val="single" w:sz="8" w:color="auto"/>
            </w:tcBorders>
            <w:gridSpan w:val="3"/>
          </w:tcPr>
          <w:p>
            <w:pPr>
              <w:jc w:val="right"/>
              <w:ind w:right="50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580" w:type="dxa"/>
            <w:vAlign w:val="bottom"/>
            <w:tcBorders>
              <w:top w:val="single" w:sz="8" w:color="auto"/>
            </w:tcBorders>
            <w:gridSpan w:val="3"/>
          </w:tcPr>
          <w:p>
            <w:pPr>
              <w:ind w:left="3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00" w:type="dxa"/>
            <w:vAlign w:val="bottom"/>
            <w:tcBorders>
              <w:top w:val="single" w:sz="8" w:color="auto"/>
            </w:tcBorders>
          </w:tcPr>
          <w:p>
            <w:pPr>
              <w:jc w:val="right"/>
              <w:ind w:right="35"/>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1420" w:type="dxa"/>
            <w:vAlign w:val="bottom"/>
            <w:tcBorders>
              <w:top w:val="single" w:sz="8" w:color="auto"/>
            </w:tcBorders>
            <w:gridSpan w:val="3"/>
          </w:tcPr>
          <w:p>
            <w:pPr>
              <w:jc w:val="right"/>
              <w:ind w:right="8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 xml:space="preserve">   2024    </w:t>
            </w:r>
          </w:p>
        </w:tc>
        <w:tc>
          <w:tcPr>
            <w:tcW w:w="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760" w:type="dxa"/>
            <w:vAlign w:val="bottom"/>
            <w:tcBorders>
              <w:top w:val="single" w:sz="8" w:color="auto"/>
            </w:tcBorders>
          </w:tcPr>
          <w:p>
            <w:pPr>
              <w:jc w:val="right"/>
              <w:ind w:right="15"/>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2025    </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16"/>
        </w:trPr>
        <w:tc>
          <w:tcPr>
            <w:tcW w:w="51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85"/>
        </w:trPr>
        <w:tc>
          <w:tcPr>
            <w:tcW w:w="5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9"/>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(as a percentage of revenue)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4"/>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r>
      <w:tr>
        <w:trPr>
          <w:trHeight w:val="214"/>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4"/>
        </w:trPr>
        <w:tc>
          <w:tcPr>
            <w:tcW w:w="5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4"/>
        </w:trPr>
        <w:tc>
          <w:tcPr>
            <w:tcW w:w="5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r>
      <w:tr>
        <w:trPr>
          <w:trHeight w:val="214"/>
        </w:trPr>
        <w:tc>
          <w:tcPr>
            <w:tcW w:w="5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0"/>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19"/>
                <w:szCs w:val="19"/>
                <w:color w:val="auto"/>
              </w:rPr>
            </w:pPr>
          </w:p>
        </w:tc>
      </w:tr>
      <w:tr>
        <w:trPr>
          <w:trHeight w:val="214"/>
        </w:trPr>
        <w:tc>
          <w:tcPr>
            <w:tcW w:w="51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4"/>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spacing w:after="0"/>
              <w:rPr>
                <w:sz w:val="18"/>
                <w:szCs w:val="18"/>
                <w:color w:val="auto"/>
              </w:rPr>
            </w:pPr>
          </w:p>
        </w:tc>
      </w:tr>
      <w:tr>
        <w:trPr>
          <w:trHeight w:val="22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5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21"/>
        </w:trPr>
        <w:tc>
          <w:tcPr>
            <w:tcW w:w="536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w w:val="99"/>
              </w:rPr>
              <w:t>Comparison of the Three Months Ended March 31, 2024 and 2025</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27"/>
        </w:trPr>
        <w:tc>
          <w:tcPr>
            <w:tcW w:w="51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87"/>
        </w:trPr>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9"/>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40"/>
        </w:trPr>
        <w:tc>
          <w:tcPr>
            <w:tcW w:w="5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Borders>
              <w:top w:val="single" w:sz="8" w:color="auto"/>
            </w:tcBorders>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980" w:type="dxa"/>
            <w:vAlign w:val="bottom"/>
            <w:tcBorders>
              <w:top w:val="single" w:sz="8" w:color="auto"/>
            </w:tcBorders>
            <w:gridSpan w:val="3"/>
          </w:tcPr>
          <w:p>
            <w:pPr>
              <w:jc w:val="right"/>
              <w:ind w:right="4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3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80" w:type="dxa"/>
            <w:vAlign w:val="bottom"/>
            <w:tcBorders>
              <w:top w:val="single" w:sz="8" w:color="auto"/>
            </w:tcBorders>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2025    </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420" w:type="dxa"/>
            <w:vAlign w:val="bottom"/>
            <w:gridSpan w:val="3"/>
          </w:tcPr>
          <w:p>
            <w:pPr>
              <w:jc w:val="right"/>
              <w:ind w:right="68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20" w:type="dxa"/>
            <w:vAlign w:val="bottom"/>
          </w:tcPr>
          <w:p>
            <w:pPr>
              <w:spacing w:after="0"/>
              <w:rPr>
                <w:sz w:val="12"/>
                <w:szCs w:val="1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020" w:type="dxa"/>
            <w:vAlign w:val="bottom"/>
            <w:gridSpan w:val="3"/>
          </w:tcPr>
          <w:p>
            <w:pPr>
              <w:jc w:val="right"/>
              <w:ind w:right="2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40"/>
        </w:trPr>
        <w:tc>
          <w:tcPr>
            <w:tcW w:w="5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440" w:type="dxa"/>
            <w:vAlign w:val="bottom"/>
            <w:tcBorders>
              <w:top w:val="single" w:sz="8" w:color="auto"/>
            </w:tcBorders>
            <w:gridSpan w:val="12"/>
          </w:tcPr>
          <w:p>
            <w:pPr>
              <w:jc w:val="right"/>
              <w:ind w:right="48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 unaudited)</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31,904</w:t>
            </w:r>
          </w:p>
        </w:tc>
        <w:tc>
          <w:tcPr>
            <w:tcW w:w="3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49,496</w:t>
            </w:r>
          </w:p>
        </w:tc>
        <w:tc>
          <w:tcPr>
            <w:tcW w:w="3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17,592</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r>
      <w:tr>
        <w:trPr>
          <w:trHeight w:val="220"/>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Hardware</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2,276</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r>
      <w:tr>
        <w:trPr>
          <w:trHeight w:val="214"/>
        </w:trPr>
        <w:tc>
          <w:tcPr>
            <w:tcW w:w="5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35,095</w:t>
            </w:r>
          </w:p>
        </w:tc>
        <w:tc>
          <w:tcPr>
            <w:tcW w:w="3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54,963</w:t>
            </w:r>
          </w:p>
        </w:tc>
        <w:tc>
          <w:tcPr>
            <w:tcW w:w="3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19,868</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5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Total revenue increased by $19.9 million, or 57%, for the three months ended March 31, 2025 compared to the three months ended March 31,</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2024.</w:t>
      </w:r>
    </w:p>
    <w:p>
      <w:pPr>
        <w:spacing w:after="0" w:line="202"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Services revenue increased by $17.6 million, or 55%, for the three months ended March 31, 2025 compared to the three months ended March 31, 2024, primarily due to an increase of $15.8 million related to growth in total members, with the average number of total members during the three months ended March 31, 2025 increasing by 47% compared to the average for the three months ended March 31, 2024, and an increase of $1.7 million driven by higher average fees per member.</w:t>
      </w:r>
    </w:p>
    <w:p>
      <w:pPr>
        <w:spacing w:after="0" w:line="182"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Hardware revenue increased by $2.3 million, or 71%, for the three months ended March 31, 2025 compared to the three months ended March 31, 2024, primarily driven by the 47% increase in total members, reflecting new members enrolled compared to the same period in the prior year, which drove the number of devices that we delivered to new members enrolled in our programs.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45"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4"/>
                <w:szCs w:val="14"/>
                <w:color w:val="auto"/>
              </w:rPr>
            </w:pPr>
          </w:p>
        </w:tc>
        <w:tc>
          <w:tcPr>
            <w:tcW w:w="114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40"/>
        </w:trPr>
        <w:tc>
          <w:tcPr>
            <w:tcW w:w="35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780" w:type="dxa"/>
            <w:vAlign w:val="bottom"/>
          </w:tcPr>
          <w:p>
            <w:pPr>
              <w:jc w:val="right"/>
              <w:ind w:right="37"/>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640" w:type="dxa"/>
            <w:vAlign w:val="bottom"/>
          </w:tcPr>
          <w:p>
            <w:pPr>
              <w:spacing w:after="0"/>
              <w:rPr>
                <w:sz w:val="12"/>
                <w:szCs w:val="12"/>
                <w:color w:val="auto"/>
              </w:rPr>
            </w:pPr>
          </w:p>
        </w:tc>
        <w:tc>
          <w:tcPr>
            <w:tcW w:w="2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60" w:type="dxa"/>
            <w:vAlign w:val="bottom"/>
          </w:tcPr>
          <w:p>
            <w:pPr>
              <w:jc w:val="right"/>
              <w:ind w:right="55"/>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2025    </w:t>
            </w:r>
          </w:p>
        </w:tc>
        <w:tc>
          <w:tcPr>
            <w:tcW w:w="760" w:type="dxa"/>
            <w:vAlign w:val="bottom"/>
            <w:gridSpan w:val="2"/>
          </w:tcPr>
          <w:p>
            <w:pPr>
              <w:ind w:left="64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18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34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40"/>
        </w:trPr>
        <w:tc>
          <w:tcPr>
            <w:tcW w:w="35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500" w:type="dxa"/>
            <w:vAlign w:val="bottom"/>
            <w:tcBorders>
              <w:top w:val="single" w:sz="8" w:color="auto"/>
            </w:tcBorders>
            <w:gridSpan w:val="7"/>
          </w:tcPr>
          <w:p>
            <w:pPr>
              <w:ind w:left="48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 unaudited)</w:t>
            </w:r>
          </w:p>
        </w:tc>
        <w:tc>
          <w:tcPr>
            <w:tcW w:w="11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78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10,296</w:t>
            </w:r>
          </w:p>
        </w:tc>
        <w:tc>
          <w:tcPr>
            <w:tcW w:w="9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12,744</w:t>
            </w:r>
          </w:p>
        </w:tc>
        <w:tc>
          <w:tcPr>
            <w:tcW w:w="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r>
      <w:tr>
        <w:trPr>
          <w:trHeight w:val="22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Hardware</w:t>
            </w:r>
          </w:p>
        </w:tc>
        <w:tc>
          <w:tcPr>
            <w:tcW w:w="1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10,319</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40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r>
      <w:tr>
        <w:trPr>
          <w:trHeight w:val="214"/>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178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17,747</w:t>
            </w:r>
          </w:p>
        </w:tc>
        <w:tc>
          <w:tcPr>
            <w:tcW w:w="9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23,063</w:t>
            </w:r>
          </w:p>
        </w:tc>
        <w:tc>
          <w:tcPr>
            <w:tcW w:w="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3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5"/>
        </w:trPr>
        <w:tc>
          <w:tcPr>
            <w:tcW w:w="3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100</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80"/>
          </w:cols>
          <w:pgMar w:left="320" w:top="451" w:right="4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Total cost of revenue increased by $5.3 million, or 30%, for the three months ended March 31, 2025 compared to the three months ended March 31, 2024.</w:t>
      </w:r>
    </w:p>
    <w:p>
      <w:pPr>
        <w:spacing w:after="0" w:line="163"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Cost of services revenue increased by $2.4 million, or 24%, for the three months ended March 31, 2025 compared to the three months ended March 31, 2024, primarily due to a $2.0 million increase in personnel costs related to increase in headcount, a $0.2 million increase in technology support and product costs to support the growth in our total members, and a $0.2 million increase in amortization of capitalized internal-use software costs.</w:t>
      </w:r>
    </w:p>
    <w:p>
      <w:pPr>
        <w:spacing w:after="0" w:line="182"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Cost of hardware revenue increased by $2.9 million, or 38%, for the three months ended March 31, 2025 compared to the three months ended March 31, 2024, primarily due to a 47% increase in total members, which drove new devices, supplies, and fulfillment costs, partially offset by lower device costs.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45"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1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9"/>
              </w:rPr>
              <w:t>Three Months Ended March 31,</w:t>
            </w:r>
          </w:p>
        </w:tc>
        <w:tc>
          <w:tcPr>
            <w:tcW w:w="440" w:type="dxa"/>
            <w:vAlign w:val="bottom"/>
          </w:tcPr>
          <w:p>
            <w:pPr>
              <w:spacing w:after="0"/>
              <w:rPr>
                <w:sz w:val="14"/>
                <w:szCs w:val="14"/>
                <w:color w:val="auto"/>
              </w:rPr>
            </w:pPr>
          </w:p>
        </w:tc>
        <w:tc>
          <w:tcPr>
            <w:tcW w:w="1080" w:type="dxa"/>
            <w:vAlign w:val="bottom"/>
          </w:tcPr>
          <w:p>
            <w:pPr>
              <w:jc w:val="right"/>
              <w:ind w:right="643"/>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40"/>
        </w:trPr>
        <w:tc>
          <w:tcPr>
            <w:tcW w:w="31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980" w:type="dxa"/>
            <w:vAlign w:val="bottom"/>
            <w:tcBorders>
              <w:top w:val="single" w:sz="8" w:color="auto"/>
            </w:tcBorders>
          </w:tcPr>
          <w:p>
            <w:pPr>
              <w:jc w:val="right"/>
              <w:ind w:right="28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36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Borders>
              <w:top w:val="single" w:sz="8" w:color="auto"/>
            </w:tcBorders>
          </w:tcPr>
          <w:p>
            <w:pPr>
              <w:jc w:val="right"/>
              <w:ind w:right="97"/>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2025    </w:t>
            </w:r>
          </w:p>
        </w:tc>
        <w:tc>
          <w:tcPr>
            <w:tcW w:w="260" w:type="dxa"/>
            <w:vAlign w:val="bottom"/>
          </w:tcPr>
          <w:p>
            <w:pPr>
              <w:spacing w:after="0"/>
              <w:rPr>
                <w:sz w:val="12"/>
                <w:szCs w:val="12"/>
                <w:color w:val="auto"/>
              </w:rPr>
            </w:pPr>
          </w:p>
        </w:tc>
        <w:tc>
          <w:tcPr>
            <w:tcW w:w="440" w:type="dxa"/>
            <w:vAlign w:val="bottom"/>
          </w:tcPr>
          <w:p>
            <w:pPr>
              <w:ind w:left="1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080" w:type="dxa"/>
            <w:vAlign w:val="bottom"/>
          </w:tcPr>
          <w:p>
            <w:pPr>
              <w:jc w:val="right"/>
              <w:ind w:right="10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30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54"/>
        </w:trPr>
        <w:tc>
          <w:tcPr>
            <w:tcW w:w="31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980" w:type="dxa"/>
            <w:vAlign w:val="bottom"/>
            <w:tcBorders>
              <w:top w:val="single" w:sz="8" w:color="auto"/>
            </w:tcBorders>
            <w:gridSpan w:val="5"/>
          </w:tcPr>
          <w:p>
            <w:pPr>
              <w:jc w:val="right"/>
              <w:ind w:right="83"/>
              <w:spacing w:after="0" w:line="154" w:lineRule="exact"/>
              <w:rPr>
                <w:sz w:val="20"/>
                <w:szCs w:val="20"/>
                <w:color w:val="auto"/>
              </w:rPr>
            </w:pPr>
            <w:r>
              <w:rPr>
                <w:rFonts w:ascii="Times New Roman" w:cs="Times New Roman" w:eastAsia="Times New Roman" w:hAnsi="Times New Roman"/>
                <w:sz w:val="14"/>
                <w:szCs w:val="14"/>
                <w:b w:val="1"/>
                <w:bCs w:val="1"/>
                <w:color w:val="auto"/>
              </w:rPr>
              <w:t>(in thousands, except percentages, unaudited)</w:t>
            </w:r>
          </w:p>
        </w:tc>
        <w:tc>
          <w:tcPr>
            <w:tcW w:w="11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14"/>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6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17,348</w:t>
            </w: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rPr>
              <w:t>14,552</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r>
      <w:tr>
        <w:trPr>
          <w:trHeight w:val="23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3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58.0%</w:t>
            </w: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76"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Gross profit increased by $14.6 million, or 84%, for the three months ended March 31, 2025 compared to the three months ended March 31, 2024, primarily due to a 47% increase in total members and a decrease in personnel costs per total member needed to support enrolled members as a result of strategic efficiency initiatives such as improving the effectiveness of our Care Team interventions and Care Team time management, as well as the expanded use of supporting technologies, such as tools that can surface helpful templates for our Care Team’s consideration in frequently recurring scenarios (“Care Team message support”).</w:t>
      </w:r>
    </w:p>
    <w:p>
      <w:pPr>
        <w:spacing w:after="0" w:line="183"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Gross margin expanded by 8.6 percentage points during the three months ended March 31, 2025 compared to the three months ended March 31, 2024. The expansion of gross margin was primarily driven by lower cost of devices and personnel costs per total member needed to support enrolled members as a result of strategic efficiency initiatives such as improving the effectiveness of our Care Team interventions and Care Team time management, as well as the expanded use of supporting technologies, such as tools for Care Team message support described above.</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Pr>
          <w:p>
            <w:pPr>
              <w:spacing w:after="0"/>
              <w:rPr>
                <w:sz w:val="14"/>
                <w:szCs w:val="14"/>
                <w:color w:val="auto"/>
              </w:rPr>
            </w:pPr>
          </w:p>
        </w:tc>
        <w:tc>
          <w:tcPr>
            <w:tcW w:w="1280" w:type="dxa"/>
            <w:vAlign w:val="bottom"/>
          </w:tcPr>
          <w:p>
            <w:pPr>
              <w:jc w:val="right"/>
              <w:ind w:right="723"/>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r>
      <w:tr>
        <w:trPr>
          <w:trHeight w:val="140"/>
        </w:trPr>
        <w:tc>
          <w:tcPr>
            <w:tcW w:w="37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920" w:type="dxa"/>
            <w:vAlign w:val="bottom"/>
          </w:tcPr>
          <w:p>
            <w:pPr>
              <w:jc w:val="right"/>
              <w:ind w:right="12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4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tcPr>
          <w:p>
            <w:pPr>
              <w:jc w:val="right"/>
              <w:ind w:right="1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2025    </w:t>
            </w:r>
          </w:p>
        </w:tc>
        <w:tc>
          <w:tcPr>
            <w:tcW w:w="360" w:type="dxa"/>
            <w:vAlign w:val="bottom"/>
          </w:tcPr>
          <w:p>
            <w:pPr>
              <w:spacing w:after="0"/>
              <w:rPr>
                <w:sz w:val="12"/>
                <w:szCs w:val="12"/>
                <w:color w:val="auto"/>
              </w:rPr>
            </w:pPr>
          </w:p>
        </w:tc>
        <w:tc>
          <w:tcPr>
            <w:tcW w:w="1280" w:type="dxa"/>
            <w:vAlign w:val="bottom"/>
          </w:tcPr>
          <w:p>
            <w:pPr>
              <w:jc w:val="center"/>
              <w:ind w:right="34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36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40"/>
        </w:trPr>
        <w:tc>
          <w:tcPr>
            <w:tcW w:w="37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920" w:type="dxa"/>
            <w:vAlign w:val="bottom"/>
            <w:tcBorders>
              <w:top w:val="single" w:sz="8" w:color="auto"/>
            </w:tcBorders>
            <w:gridSpan w:val="4"/>
          </w:tcPr>
          <w:p>
            <w:pPr>
              <w:jc w:val="right"/>
              <w:ind w:right="23"/>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 unaudited)</w:t>
            </w:r>
          </w:p>
        </w:tc>
        <w:tc>
          <w:tcPr>
            <w:tcW w:w="11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4"/>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w:t>
            </w:r>
          </w:p>
        </w:tc>
        <w:tc>
          <w:tcPr>
            <w:tcW w:w="4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8,806</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8"/>
                <w:szCs w:val="18"/>
                <w:color w:val="auto"/>
              </w:rPr>
              <w:t>(90)</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bl>
    <w:p>
      <w:pPr>
        <w:spacing w:after="0" w:line="195"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Research and development expenses decreased by $0.1 million, or 1%, for the three months ended March 31, 2025 compared to the three months ended March 31, 2024, primarily due to $0.2 million in higher capitalized internal-use software costs, partially offset by a $0.1 million increase in technology infrastructure expenses.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Pr>
          <w:p>
            <w:pPr>
              <w:spacing w:after="0"/>
              <w:rPr>
                <w:sz w:val="14"/>
                <w:szCs w:val="14"/>
                <w:color w:val="auto"/>
              </w:rPr>
            </w:pPr>
          </w:p>
        </w:tc>
        <w:tc>
          <w:tcPr>
            <w:tcW w:w="1180" w:type="dxa"/>
            <w:vAlign w:val="bottom"/>
          </w:tcPr>
          <w:p>
            <w:pPr>
              <w:jc w:val="right"/>
              <w:ind w:right="703"/>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r>
      <w:tr>
        <w:trPr>
          <w:trHeight w:val="140"/>
        </w:trPr>
        <w:tc>
          <w:tcPr>
            <w:tcW w:w="33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920" w:type="dxa"/>
            <w:vAlign w:val="bottom"/>
          </w:tcPr>
          <w:p>
            <w:pPr>
              <w:jc w:val="right"/>
              <w:ind w:right="12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4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w:t>
            </w:r>
          </w:p>
        </w:tc>
        <w:tc>
          <w:tcPr>
            <w:tcW w:w="900" w:type="dxa"/>
            <w:vAlign w:val="bottom"/>
          </w:tcPr>
          <w:p>
            <w:pPr>
              <w:jc w:val="right"/>
              <w:ind w:right="1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2025    </w:t>
            </w:r>
          </w:p>
        </w:tc>
        <w:tc>
          <w:tcPr>
            <w:tcW w:w="4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w:t>
            </w:r>
          </w:p>
        </w:tc>
        <w:tc>
          <w:tcPr>
            <w:tcW w:w="1180" w:type="dxa"/>
            <w:vAlign w:val="bottom"/>
          </w:tcPr>
          <w:p>
            <w:pPr>
              <w:jc w:val="right"/>
              <w:ind w:right="32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30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54"/>
        </w:trPr>
        <w:tc>
          <w:tcPr>
            <w:tcW w:w="33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920" w:type="dxa"/>
            <w:vAlign w:val="bottom"/>
            <w:tcBorders>
              <w:top w:val="single" w:sz="8" w:color="auto"/>
            </w:tcBorders>
            <w:gridSpan w:val="4"/>
          </w:tcPr>
          <w:p>
            <w:pPr>
              <w:jc w:val="right"/>
              <w:ind w:right="23"/>
              <w:spacing w:after="0" w:line="154" w:lineRule="exact"/>
              <w:rPr>
                <w:sz w:val="20"/>
                <w:szCs w:val="20"/>
                <w:color w:val="auto"/>
              </w:rPr>
            </w:pPr>
            <w:r>
              <w:rPr>
                <w:rFonts w:ascii="Times New Roman" w:cs="Times New Roman" w:eastAsia="Times New Roman" w:hAnsi="Times New Roman"/>
                <w:sz w:val="14"/>
                <w:szCs w:val="14"/>
                <w:b w:val="1"/>
                <w:bCs w:val="1"/>
                <w:color w:val="auto"/>
              </w:rPr>
              <w:t>(in thousands, except percentages, unaudited)</w:t>
            </w:r>
          </w:p>
        </w:tc>
        <w:tc>
          <w:tcPr>
            <w:tcW w:w="10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21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38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17,196</w:t>
            </w:r>
          </w:p>
        </w:tc>
        <w:tc>
          <w:tcPr>
            <w:tcW w:w="4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20,170</w:t>
            </w:r>
          </w:p>
        </w:tc>
        <w:tc>
          <w:tcPr>
            <w:tcW w:w="4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2,974</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r>
      <w:tr>
        <w:trPr>
          <w:trHeight w:val="361"/>
        </w:trPr>
        <w:tc>
          <w:tcPr>
            <w:tcW w:w="3380" w:type="dxa"/>
            <w:vAlign w:val="bottom"/>
          </w:tcPr>
          <w:p>
            <w:pPr>
              <w:spacing w:after="0"/>
              <w:rPr>
                <w:sz w:val="24"/>
                <w:szCs w:val="24"/>
                <w:color w:val="auto"/>
              </w:rPr>
            </w:pPr>
          </w:p>
        </w:tc>
        <w:tc>
          <w:tcPr>
            <w:tcW w:w="2380" w:type="dxa"/>
            <w:vAlign w:val="bottom"/>
            <w:gridSpan w:val="2"/>
          </w:tcPr>
          <w:p>
            <w:pPr>
              <w:jc w:val="right"/>
              <w:ind w:right="109"/>
              <w:spacing w:after="0"/>
              <w:rPr>
                <w:sz w:val="20"/>
                <w:szCs w:val="20"/>
                <w:color w:val="auto"/>
              </w:rPr>
            </w:pPr>
            <w:r>
              <w:rPr>
                <w:rFonts w:ascii="Times New Roman" w:cs="Times New Roman" w:eastAsia="Times New Roman" w:hAnsi="Times New Roman"/>
                <w:sz w:val="18"/>
                <w:szCs w:val="18"/>
                <w:color w:val="auto"/>
              </w:rPr>
              <w:t>101</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080"/>
          </w:cols>
          <w:pgMar w:left="320" w:top="451" w:right="4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Sales and marketing expenses increased by $3.0 million, or 17%, for the three months ended March 31, 2025 compared to the three months ended March 31, 2024, primarily due to a $1.9 million increase in administrative and marketing fees that we paid to channel partners for their services in support of our member enrollments, a $0.8 million increase in personnel costs related primarily to an increase in headcount and increases in wages and bonuses per employee, and a $0.4 million increase in advertising and marketing expenses. The increase was partially offset by a $0.2 million decrease in professional and outside services related to clinical studies.</w:t>
      </w:r>
    </w:p>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4"/>
                <w:szCs w:val="14"/>
                <w:color w:val="auto"/>
              </w:rPr>
            </w:pPr>
          </w:p>
        </w:tc>
        <w:tc>
          <w:tcPr>
            <w:tcW w:w="1100" w:type="dxa"/>
            <w:vAlign w:val="bottom"/>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40"/>
        </w:trPr>
        <w:tc>
          <w:tcPr>
            <w:tcW w:w="39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840" w:type="dxa"/>
            <w:vAlign w:val="bottom"/>
          </w:tcPr>
          <w:p>
            <w:pPr>
              <w:jc w:val="right"/>
              <w:ind w:right="8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tcPr>
          <w:p>
            <w:pPr>
              <w:jc w:val="right"/>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8"/>
              </w:rPr>
              <w:t xml:space="preserve">   2025    </w:t>
            </w:r>
          </w:p>
        </w:tc>
        <w:tc>
          <w:tcPr>
            <w:tcW w:w="480" w:type="dxa"/>
            <w:vAlign w:val="bottom"/>
          </w:tcPr>
          <w:p>
            <w:pPr>
              <w:ind w:left="36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100" w:type="dxa"/>
            <w:vAlign w:val="bottom"/>
          </w:tcPr>
          <w:p>
            <w:pPr>
              <w:jc w:val="right"/>
              <w:ind w:right="28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14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54"/>
        </w:trPr>
        <w:tc>
          <w:tcPr>
            <w:tcW w:w="3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820" w:type="dxa"/>
            <w:vAlign w:val="bottom"/>
            <w:tcBorders>
              <w:top w:val="single" w:sz="8" w:color="auto"/>
            </w:tcBorders>
            <w:gridSpan w:val="4"/>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(in thousands, except percentages, unaudited)</w:t>
            </w:r>
          </w:p>
        </w:tc>
        <w:tc>
          <w:tcPr>
            <w:tcW w:w="9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14"/>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4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9,249</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8"/>
                <w:szCs w:val="18"/>
                <w:color w:val="auto"/>
              </w:rPr>
              <w:t>2,071</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r>
    </w:tbl>
    <w:p>
      <w:pPr>
        <w:spacing w:after="0" w:line="195"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increased by $2.1 million, or 22%, for the three months ended March 31, 2025 compared to the three months ended March 31, 2024, primarily due to a $1.0 million increase in professional and outside services costs related to financial statement audits and preparing for public company operations, a $0.7 million increase in bad debt expense, a $0.6 million increase in personnel costs related primarily to an increase in headcount, and a $0.3 million increase in technology infrastructure expenses. The increase was partially offset by a $0.5 million decrease in stock-based compensation expense from secondary sales transactions involving our capital stock.</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4"/>
                <w:szCs w:val="14"/>
                <w:color w:val="auto"/>
              </w:rPr>
            </w:pPr>
          </w:p>
        </w:tc>
        <w:tc>
          <w:tcPr>
            <w:tcW w:w="1140" w:type="dxa"/>
            <w:vAlign w:val="bottom"/>
          </w:tcPr>
          <w:p>
            <w:pPr>
              <w:jc w:val="right"/>
              <w:ind w:right="703"/>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r>
      <w:tr>
        <w:trPr>
          <w:trHeight w:val="140"/>
        </w:trPr>
        <w:tc>
          <w:tcPr>
            <w:tcW w:w="35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840" w:type="dxa"/>
            <w:vAlign w:val="bottom"/>
          </w:tcPr>
          <w:p>
            <w:pPr>
              <w:jc w:val="right"/>
              <w:ind w:right="10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tcPr>
          <w:p>
            <w:pPr>
              <w:jc w:val="right"/>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 xml:space="preserve">   2025    </w:t>
            </w:r>
          </w:p>
        </w:tc>
        <w:tc>
          <w:tcPr>
            <w:tcW w:w="480" w:type="dxa"/>
            <w:vAlign w:val="bottom"/>
          </w:tcPr>
          <w:p>
            <w:pPr>
              <w:ind w:left="36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140" w:type="dxa"/>
            <w:vAlign w:val="bottom"/>
          </w:tcPr>
          <w:p>
            <w:pPr>
              <w:jc w:val="right"/>
              <w:ind w:right="32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22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54"/>
        </w:trPr>
        <w:tc>
          <w:tcPr>
            <w:tcW w:w="35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880" w:type="dxa"/>
            <w:vAlign w:val="bottom"/>
            <w:tcBorders>
              <w:top w:val="single" w:sz="8" w:color="auto"/>
            </w:tcBorders>
            <w:gridSpan w:val="4"/>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(in thousands, except percentages, unaudited)</w:t>
            </w:r>
          </w:p>
        </w:tc>
        <w:tc>
          <w:tcPr>
            <w:tcW w:w="9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14"/>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60" w:type="dxa"/>
            <w:vAlign w:val="bottom"/>
            <w:gridSpan w:val="2"/>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8"/>
                <w:szCs w:val="18"/>
                <w:color w:val="auto"/>
              </w:rPr>
              <w:t>(56)</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bl>
    <w:p>
      <w:pPr>
        <w:spacing w:after="0" w:line="195"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Interest expense decreased by $0.1 million, or 5%, for the three months ended March 31, 2025 compared to the three months ended March 31, 2024, primarily due to changes in interest rates.</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5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4"/>
                <w:szCs w:val="14"/>
                <w:color w:val="auto"/>
              </w:rPr>
            </w:pPr>
          </w:p>
        </w:tc>
        <w:tc>
          <w:tcPr>
            <w:tcW w:w="1120" w:type="dxa"/>
            <w:vAlign w:val="bottom"/>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40"/>
        </w:trPr>
        <w:tc>
          <w:tcPr>
            <w:tcW w:w="35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840" w:type="dxa"/>
            <w:vAlign w:val="bottom"/>
          </w:tcPr>
          <w:p>
            <w:pPr>
              <w:jc w:val="right"/>
              <w:ind w:right="8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tcPr>
          <w:p>
            <w:pPr>
              <w:jc w:val="right"/>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2025    </w:t>
            </w:r>
          </w:p>
        </w:tc>
        <w:tc>
          <w:tcPr>
            <w:tcW w:w="48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120" w:type="dxa"/>
            <w:vAlign w:val="bottom"/>
          </w:tcPr>
          <w:p>
            <w:pPr>
              <w:jc w:val="right"/>
              <w:ind w:right="30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14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54"/>
        </w:trPr>
        <w:tc>
          <w:tcPr>
            <w:tcW w:w="35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860" w:type="dxa"/>
            <w:vAlign w:val="bottom"/>
            <w:tcBorders>
              <w:top w:val="single" w:sz="8" w:color="auto"/>
            </w:tcBorders>
            <w:gridSpan w:val="4"/>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(in thousands, except percentages, unaudited)</w:t>
            </w:r>
          </w:p>
        </w:tc>
        <w:tc>
          <w:tcPr>
            <w:tcW w:w="9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1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520" w:type="dxa"/>
            <w:vAlign w:val="bottom"/>
            <w:gridSpan w:val="2"/>
            <w:shd w:val="clear" w:color="auto" w:fill="CCEEFF"/>
          </w:tcPr>
          <w:p>
            <w:pPr>
              <w:ind w:left="24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bl>
    <w:p>
      <w:pPr>
        <w:spacing w:after="0" w:line="195"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Interest income increased by less than $0.1 million, or 2%, for the three months ended March 31, 2025 compared to the three months ended March 31, 2024, primarily due to changes in interest rates.</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Liabilities</w:t>
      </w: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4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4"/>
                <w:szCs w:val="14"/>
                <w:color w:val="auto"/>
              </w:rPr>
            </w:pPr>
          </w:p>
        </w:tc>
        <w:tc>
          <w:tcPr>
            <w:tcW w:w="1120" w:type="dxa"/>
            <w:vAlign w:val="bottom"/>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40"/>
        </w:trPr>
        <w:tc>
          <w:tcPr>
            <w:tcW w:w="44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840" w:type="dxa"/>
            <w:vAlign w:val="bottom"/>
          </w:tcPr>
          <w:p>
            <w:pPr>
              <w:jc w:val="right"/>
              <w:ind w:right="8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tcPr>
          <w:p>
            <w:pPr>
              <w:jc w:val="right"/>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2025    </w:t>
            </w:r>
          </w:p>
        </w:tc>
        <w:tc>
          <w:tcPr>
            <w:tcW w:w="48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120" w:type="dxa"/>
            <w:vAlign w:val="bottom"/>
          </w:tcPr>
          <w:p>
            <w:pPr>
              <w:jc w:val="right"/>
              <w:ind w:right="30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14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54"/>
        </w:trPr>
        <w:tc>
          <w:tcPr>
            <w:tcW w:w="44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860" w:type="dxa"/>
            <w:vAlign w:val="bottom"/>
            <w:tcBorders>
              <w:top w:val="single" w:sz="8" w:color="auto"/>
            </w:tcBorders>
            <w:gridSpan w:val="4"/>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(in thousands, except percentages, unaudited)</w:t>
            </w:r>
          </w:p>
        </w:tc>
        <w:tc>
          <w:tcPr>
            <w:tcW w:w="9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14"/>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2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8"/>
                <w:szCs w:val="18"/>
                <w:color w:val="auto"/>
              </w:rPr>
              <w:t>145</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r>
    </w:tbl>
    <w:p>
      <w:pPr>
        <w:spacing w:after="0" w:line="195"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change in fair value of warrant liabilities increased by $0.2 million, or 39%, for the three months ended March 31, 2025 compared to the three months ended March 31, 2024, primarily due to changes in the expected stock volatility, risk-free rate, and reduction in time to expiry.</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80"/>
          </w:cols>
          <w:pgMar w:left="320" w:top="451" w:right="4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2024</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45"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7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40"/>
        </w:trPr>
        <w:tc>
          <w:tcPr>
            <w:tcW w:w="37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60" w:type="dxa"/>
            <w:vAlign w:val="bottom"/>
          </w:tcPr>
          <w:p>
            <w:pPr>
              <w:jc w:val="right"/>
              <w:ind w:right="38"/>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580" w:type="dxa"/>
            <w:vAlign w:val="bottom"/>
            <w:gridSpan w:val="2"/>
          </w:tcPr>
          <w:p>
            <w:pPr>
              <w:ind w:left="3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40" w:type="dxa"/>
            <w:vAlign w:val="bottom"/>
          </w:tcPr>
          <w:p>
            <w:pPr>
              <w:jc w:val="right"/>
              <w:ind w:right="35"/>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8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460" w:type="dxa"/>
            <w:vAlign w:val="bottom"/>
            <w:gridSpan w:val="2"/>
          </w:tcPr>
          <w:p>
            <w:pPr>
              <w:jc w:val="center"/>
              <w:ind w:left="38"/>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40"/>
        </w:trPr>
        <w:tc>
          <w:tcPr>
            <w:tcW w:w="37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5"/>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2580" w:type="dxa"/>
            <w:vAlign w:val="bottom"/>
            <w:gridSpan w:val="2"/>
            <w:shd w:val="clear" w:color="auto" w:fill="CCEEFF"/>
          </w:tcPr>
          <w:p>
            <w:pPr>
              <w:ind w:left="2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114,531</w:t>
            </w: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157,789</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43,258</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r>
      <w:tr>
        <w:trPr>
          <w:trHeight w:val="22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Hardware</w:t>
            </w:r>
          </w:p>
        </w:tc>
        <w:tc>
          <w:tcPr>
            <w:tcW w:w="2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3,758</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r>
      <w:tr>
        <w:trPr>
          <w:trHeight w:val="214"/>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580" w:type="dxa"/>
            <w:vAlign w:val="bottom"/>
            <w:gridSpan w:val="2"/>
            <w:shd w:val="clear" w:color="auto" w:fill="CCEEFF"/>
          </w:tcPr>
          <w:p>
            <w:pPr>
              <w:ind w:left="2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122,784</w:t>
            </w: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169,800</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47,016</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37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Total revenue increased by $47.0 million, or 38%, for the year ended December 31, 2024 compared to the year ended December 31, 2023.</w:t>
      </w:r>
    </w:p>
    <w:p>
      <w:pPr>
        <w:spacing w:after="0" w:line="220"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Services revenue increased by $43.3 million, or 38%, for the year ended December 31, 2024 compared to the year ended December 31, 2023, primarily due to an increase of $43.7 million related to growth in total members, with the average number of total members during the year ended December 31, 2024 increasing by 40% compared to the average for the year ended December 31, 2023, partially offset by an immaterial change in average fees per member.</w:t>
      </w:r>
    </w:p>
    <w:p>
      <w:pPr>
        <w:spacing w:after="0" w:line="182"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Hardware revenue increased by $3.8 million, or 46%, for the year ended December 31, 2024 compared to the year ended December 31, 2023, primarily driven by the 46% increase in total members, reflecting new members enrolled compared to the prior year, which directly drove the number of devices that we delivered to new members enrolled in our programs.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45"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40"/>
        </w:trPr>
        <w:tc>
          <w:tcPr>
            <w:tcW w:w="39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60" w:type="dxa"/>
            <w:vAlign w:val="bottom"/>
          </w:tcPr>
          <w:p>
            <w:pPr>
              <w:jc w:val="right"/>
              <w:ind w:right="38"/>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580" w:type="dxa"/>
            <w:vAlign w:val="bottom"/>
            <w:gridSpan w:val="2"/>
          </w:tcPr>
          <w:p>
            <w:pPr>
              <w:ind w:left="3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40" w:type="dxa"/>
            <w:vAlign w:val="bottom"/>
          </w:tcPr>
          <w:p>
            <w:pPr>
              <w:jc w:val="right"/>
              <w:ind w:right="35"/>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8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460" w:type="dxa"/>
            <w:vAlign w:val="bottom"/>
            <w:gridSpan w:val="2"/>
          </w:tcPr>
          <w:p>
            <w:pPr>
              <w:jc w:val="center"/>
              <w:ind w:left="38"/>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40"/>
        </w:trPr>
        <w:tc>
          <w:tcPr>
            <w:tcW w:w="39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5"/>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2320" w:type="dxa"/>
            <w:vAlign w:val="bottom"/>
            <w:gridSpan w:val="2"/>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36,735</w:t>
            </w: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42,520</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r>
      <w:tr>
        <w:trPr>
          <w:trHeight w:val="22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Hardware</w:t>
            </w:r>
          </w:p>
        </w:tc>
        <w:tc>
          <w:tcPr>
            <w:tcW w:w="2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16,078</w:t>
            </w:r>
          </w:p>
        </w:tc>
        <w:tc>
          <w:tcPr>
            <w:tcW w:w="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8,325</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r>
      <w:tr>
        <w:trPr>
          <w:trHeight w:val="214"/>
        </w:trPr>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2320" w:type="dxa"/>
            <w:vAlign w:val="bottom"/>
            <w:gridSpan w:val="2"/>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52,813</w:t>
            </w: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66,923</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14,110</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3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Total cost of revenue increased by $14.1 million, or 27%, for the year ended December 31, 2024 compared to the year ended December 31, 2023.</w:t>
      </w:r>
    </w:p>
    <w:p>
      <w:pPr>
        <w:spacing w:after="0" w:line="232"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Cost of services revenue increased by $5.8 million, or 16%, for the year ended December 31, 2024 compared to the year ended December 31, 2023, primarily due to a $4.3 million increase in personnel costs related in part to an increase in headcount and an increase in wages and bonuses per employee, a $1.1 million increase in technology support and product costs to support the growth in our total members, and a $0.4 million increase in amortization of capitalized internal-use software costs.</w:t>
      </w:r>
    </w:p>
    <w:p>
      <w:pPr>
        <w:spacing w:after="0" w:line="18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Cost of hardware revenue increased by $8.3 million, or 52%, for the year ended December 31, 2024 compared to the year ended December 31, 2023, primarily due to a 46% increase in total members, which drove new devices, supplies, and fulfillment costs.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45"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1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4"/>
                <w:szCs w:val="14"/>
                <w:color w:val="auto"/>
              </w:rPr>
            </w:pPr>
          </w:p>
        </w:tc>
        <w:tc>
          <w:tcPr>
            <w:tcW w:w="98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40"/>
        </w:trPr>
        <w:tc>
          <w:tcPr>
            <w:tcW w:w="31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4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900" w:type="dxa"/>
            <w:vAlign w:val="bottom"/>
            <w:tcBorders>
              <w:top w:val="single" w:sz="8" w:color="auto"/>
            </w:tcBorders>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380" w:type="dxa"/>
            <w:vAlign w:val="bottom"/>
            <w:tcBorders>
              <w:top w:val="single" w:sz="8" w:color="auto"/>
            </w:tcBorders>
          </w:tcPr>
          <w:p>
            <w:pPr>
              <w:ind w:left="1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40" w:type="dxa"/>
            <w:vAlign w:val="bottom"/>
            <w:tcBorders>
              <w:top w:val="single" w:sz="8" w:color="auto"/>
            </w:tcBorders>
          </w:tcPr>
          <w:p>
            <w:pPr>
              <w:jc w:val="right"/>
              <w:ind w:right="37"/>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280" w:type="dxa"/>
            <w:vAlign w:val="bottom"/>
          </w:tcPr>
          <w:p>
            <w:pPr>
              <w:spacing w:after="0"/>
              <w:rPr>
                <w:sz w:val="12"/>
                <w:szCs w:val="12"/>
                <w:color w:val="auto"/>
              </w:rPr>
            </w:pPr>
          </w:p>
        </w:tc>
        <w:tc>
          <w:tcPr>
            <w:tcW w:w="26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980" w:type="dxa"/>
            <w:vAlign w:val="bottom"/>
          </w:tcPr>
          <w:p>
            <w:pPr>
              <w:jc w:val="right"/>
              <w:ind w:right="16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28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40"/>
        </w:trPr>
        <w:tc>
          <w:tcPr>
            <w:tcW w:w="31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gridSpan w:val="5"/>
          </w:tcPr>
          <w:p>
            <w:pPr>
              <w:ind w:left="20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40" w:type="dxa"/>
            <w:vAlign w:val="bottom"/>
            <w:gridSpan w:val="2"/>
            <w:shd w:val="clear" w:color="auto" w:fill="CCEEFF"/>
          </w:tcPr>
          <w:p>
            <w:pPr>
              <w:ind w:left="28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69,971</w:t>
            </w:r>
          </w:p>
        </w:tc>
        <w:tc>
          <w:tcPr>
            <w:tcW w:w="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w w:val="99"/>
              </w:rPr>
              <w:t>   32,906</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r>
      <w:tr>
        <w:trPr>
          <w:trHeight w:val="233"/>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57.0%</w:t>
            </w:r>
          </w:p>
        </w:tc>
        <w:tc>
          <w:tcPr>
            <w:tcW w:w="3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60.6%</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42"/>
        </w:trPr>
        <w:tc>
          <w:tcPr>
            <w:tcW w:w="3140" w:type="dxa"/>
            <w:vAlign w:val="bottom"/>
          </w:tcPr>
          <w:p>
            <w:pPr>
              <w:spacing w:after="0"/>
              <w:rPr>
                <w:sz w:val="24"/>
                <w:szCs w:val="24"/>
                <w:color w:val="auto"/>
              </w:rPr>
            </w:pPr>
          </w:p>
        </w:tc>
        <w:tc>
          <w:tcPr>
            <w:tcW w:w="28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80"/>
          </w:cols>
          <w:pgMar w:left="320" w:top="451" w:right="4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Gross profit increased by $32.9 million, or 47%, for the year ended December 31, 2024 compared to the year ended December 31, 2023, due to a 46% increase in total members and a decrease in personnel costs per total member needed to support enrolled members as a result of strategic efficiency initiatives such as improving the effectiveness of our Care Team interventions and Care Team time management, as well as the expanded use of supporting technologies, such as tools for Care Team message support described above.</w:t>
      </w:r>
    </w:p>
    <w:p>
      <w:pPr>
        <w:spacing w:after="0" w:line="182"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Gross margin expanded by 3.6 percentage points during the year ended December 31, 2024 compared to the year ended December 31, 2023. The expansion of gross margin was primarily driven by decreased personnel costs per total member needed to support enrolled members as a result of strategic efficiency initiatives such as improving the effectiveness of our Care Team interventions and Care Team time management, as well as the expanded use of supporting technologies, such as tools for Care Team message support described above.</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4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4"/>
                <w:szCs w:val="14"/>
                <w:color w:val="auto"/>
              </w:rPr>
            </w:pPr>
          </w:p>
        </w:tc>
        <w:tc>
          <w:tcPr>
            <w:tcW w:w="98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40"/>
        </w:trPr>
        <w:tc>
          <w:tcPr>
            <w:tcW w:w="40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840" w:type="dxa"/>
            <w:vAlign w:val="bottom"/>
          </w:tcPr>
          <w:p>
            <w:pPr>
              <w:jc w:val="right"/>
              <w:ind w:right="22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300" w:type="dxa"/>
            <w:vAlign w:val="bottom"/>
          </w:tcPr>
          <w:p>
            <w:pPr>
              <w:ind w:left="18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40" w:type="dxa"/>
            <w:vAlign w:val="bottom"/>
          </w:tcPr>
          <w:p>
            <w:pPr>
              <w:jc w:val="right"/>
              <w:ind w:right="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 xml:space="preserve">   2024    </w:t>
            </w:r>
          </w:p>
        </w:tc>
        <w:tc>
          <w:tcPr>
            <w:tcW w:w="48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980" w:type="dxa"/>
            <w:vAlign w:val="bottom"/>
          </w:tcPr>
          <w:p>
            <w:pPr>
              <w:jc w:val="right"/>
              <w:ind w:right="16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28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40"/>
        </w:trPr>
        <w:tc>
          <w:tcPr>
            <w:tcW w:w="40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4"/>
          </w:tcPr>
          <w:p>
            <w:pPr>
              <w:jc w:val="right"/>
              <w:ind w:right="123"/>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80" w:type="dxa"/>
            <w:vAlign w:val="bottom"/>
            <w:gridSpan w:val="2"/>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33,738</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35,923</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w w:val="99"/>
              </w:rPr>
              <w:t>     2,185</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bl>
    <w:p>
      <w:pPr>
        <w:spacing w:after="0" w:line="195"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Research and development expenses increased by $2.2 million, or 6%, for the year ended December 31, 2024 compared to the year ended December 31, 2023, primarily due to a $2.2 million increase in personnel costs related primarily to increases in wages and bonuses per employee.</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7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4"/>
                <w:szCs w:val="14"/>
                <w:color w:val="auto"/>
              </w:rPr>
            </w:pPr>
          </w:p>
        </w:tc>
        <w:tc>
          <w:tcPr>
            <w:tcW w:w="98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40"/>
        </w:trPr>
        <w:tc>
          <w:tcPr>
            <w:tcW w:w="37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840" w:type="dxa"/>
            <w:vAlign w:val="bottom"/>
          </w:tcPr>
          <w:p>
            <w:pPr>
              <w:jc w:val="right"/>
              <w:ind w:right="22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300" w:type="dxa"/>
            <w:vAlign w:val="bottom"/>
          </w:tcPr>
          <w:p>
            <w:pPr>
              <w:ind w:left="18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40" w:type="dxa"/>
            <w:vAlign w:val="bottom"/>
          </w:tcPr>
          <w:p>
            <w:pPr>
              <w:jc w:val="right"/>
              <w:ind w:right="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 xml:space="preserve">   2024    </w:t>
            </w:r>
          </w:p>
        </w:tc>
        <w:tc>
          <w:tcPr>
            <w:tcW w:w="48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980" w:type="dxa"/>
            <w:vAlign w:val="bottom"/>
          </w:tcPr>
          <w:p>
            <w:pPr>
              <w:jc w:val="right"/>
              <w:ind w:right="16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28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40"/>
        </w:trPr>
        <w:tc>
          <w:tcPr>
            <w:tcW w:w="37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4"/>
          </w:tcPr>
          <w:p>
            <w:pPr>
              <w:jc w:val="right"/>
              <w:ind w:right="123"/>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520" w:type="dxa"/>
            <w:vAlign w:val="bottom"/>
            <w:gridSpan w:val="2"/>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66,249</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68,053</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w w:val="99"/>
              </w:rPr>
              <w:t>     1,804</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bl>
    <w:p>
      <w:pPr>
        <w:spacing w:after="0" w:line="195"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Sales and marketing expenses increased by $1.8 million, or 3%, for the year ended December 31, 2024 compared to the year ended December 31, 2023, primarily due to a $2.6 million increase in administrative and marketing fees that we paid to channel partners for their services in support of our member enrollments and a $1.7 million increase in personnel costs related primarily to increases in wages and bonuses per employee. The increase was partially offset by a $1.5 million decrease in professional and outside services related to clinical studies, as well as a $1.0 million decrease in commission and other marketing expenses.</w:t>
      </w:r>
    </w:p>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4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4"/>
                <w:szCs w:val="14"/>
                <w:color w:val="auto"/>
              </w:rPr>
            </w:pPr>
          </w:p>
        </w:tc>
        <w:tc>
          <w:tcPr>
            <w:tcW w:w="98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40"/>
        </w:trPr>
        <w:tc>
          <w:tcPr>
            <w:tcW w:w="40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840" w:type="dxa"/>
            <w:vAlign w:val="bottom"/>
          </w:tcPr>
          <w:p>
            <w:pPr>
              <w:jc w:val="right"/>
              <w:ind w:right="22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300" w:type="dxa"/>
            <w:vAlign w:val="bottom"/>
          </w:tcPr>
          <w:p>
            <w:pPr>
              <w:ind w:left="18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40" w:type="dxa"/>
            <w:vAlign w:val="bottom"/>
          </w:tcPr>
          <w:p>
            <w:pPr>
              <w:jc w:val="right"/>
              <w:ind w:right="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 xml:space="preserve">   2024    </w:t>
            </w:r>
          </w:p>
        </w:tc>
        <w:tc>
          <w:tcPr>
            <w:tcW w:w="48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980" w:type="dxa"/>
            <w:vAlign w:val="bottom"/>
          </w:tcPr>
          <w:p>
            <w:pPr>
              <w:jc w:val="right"/>
              <w:ind w:right="16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28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40"/>
        </w:trPr>
        <w:tc>
          <w:tcPr>
            <w:tcW w:w="40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4"/>
          </w:tcPr>
          <w:p>
            <w:pPr>
              <w:jc w:val="right"/>
              <w:ind w:right="123"/>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60" w:type="dxa"/>
            <w:vAlign w:val="bottom"/>
            <w:gridSpan w:val="2"/>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35,981</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42,555</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w w:val="99"/>
              </w:rPr>
              <w:t>     6,574</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bl>
    <w:p>
      <w:pPr>
        <w:spacing w:after="0" w:line="195"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General and administrative expenses increased by $6.6 million, or 18%, for the year ended December 31, 2024 compared to the year ended December 31, 2023, primarily due to a $3.0 million increase in professional and outside services costs related to financial statement audits and preparing for public company operations, a $2.7 million increase in personnel costs related primarily to increases in wages and bonuses per employee, and $1.0 million in bad debt expense and other costs.</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80"/>
          </w:cols>
          <w:pgMar w:left="320" w:top="451" w:right="4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6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4"/>
                <w:szCs w:val="14"/>
                <w:color w:val="auto"/>
              </w:rPr>
            </w:pPr>
          </w:p>
        </w:tc>
        <w:tc>
          <w:tcPr>
            <w:tcW w:w="1000" w:type="dxa"/>
            <w:vAlign w:val="bottom"/>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r>
      <w:tr>
        <w:trPr>
          <w:trHeight w:val="140"/>
        </w:trPr>
        <w:tc>
          <w:tcPr>
            <w:tcW w:w="36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820" w:type="dxa"/>
            <w:vAlign w:val="bottom"/>
          </w:tcPr>
          <w:p>
            <w:pPr>
              <w:jc w:val="right"/>
              <w:ind w:right="18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380" w:type="dxa"/>
            <w:vAlign w:val="bottom"/>
          </w:tcPr>
          <w:p>
            <w:pPr>
              <w:ind w:left="1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20" w:type="dxa"/>
            <w:vAlign w:val="bottom"/>
          </w:tcPr>
          <w:p>
            <w:pPr>
              <w:jc w:val="right"/>
              <w:ind w:right="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420" w:type="dxa"/>
            <w:vAlign w:val="bottom"/>
          </w:tcPr>
          <w:p>
            <w:pPr>
              <w:ind w:left="32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000" w:type="dxa"/>
            <w:vAlign w:val="bottom"/>
          </w:tcPr>
          <w:p>
            <w:pPr>
              <w:jc w:val="right"/>
              <w:ind w:right="18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30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40"/>
        </w:trPr>
        <w:tc>
          <w:tcPr>
            <w:tcW w:w="36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gridSpan w:val="4"/>
          </w:tcPr>
          <w:p>
            <w:pPr>
              <w:jc w:val="right"/>
              <w:ind w:right="83"/>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700" w:type="dxa"/>
            <w:vAlign w:val="bottom"/>
            <w:gridSpan w:val="2"/>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4,705</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(199)</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bl>
    <w:p>
      <w:pPr>
        <w:spacing w:after="0" w:line="195"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Interest expense decreased by $0.2 million, or 4%, for the year ended December 31, 2024 compared to the year ended December 31, 2023, primarily due to changes in interest rates.</w:t>
      </w:r>
    </w:p>
    <w:p>
      <w:pPr>
        <w:spacing w:after="0" w:line="2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6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4"/>
                <w:szCs w:val="14"/>
                <w:color w:val="auto"/>
              </w:rPr>
            </w:pPr>
          </w:p>
        </w:tc>
        <w:tc>
          <w:tcPr>
            <w:tcW w:w="1000" w:type="dxa"/>
            <w:vAlign w:val="bottom"/>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r>
      <w:tr>
        <w:trPr>
          <w:trHeight w:val="140"/>
        </w:trPr>
        <w:tc>
          <w:tcPr>
            <w:tcW w:w="36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820" w:type="dxa"/>
            <w:vAlign w:val="bottom"/>
          </w:tcPr>
          <w:p>
            <w:pPr>
              <w:jc w:val="right"/>
              <w:ind w:right="18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380" w:type="dxa"/>
            <w:vAlign w:val="bottom"/>
          </w:tcPr>
          <w:p>
            <w:pPr>
              <w:ind w:left="1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20" w:type="dxa"/>
            <w:vAlign w:val="bottom"/>
          </w:tcPr>
          <w:p>
            <w:pPr>
              <w:jc w:val="right"/>
              <w:ind w:right="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420" w:type="dxa"/>
            <w:vAlign w:val="bottom"/>
          </w:tcPr>
          <w:p>
            <w:pPr>
              <w:ind w:left="32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000" w:type="dxa"/>
            <w:vAlign w:val="bottom"/>
          </w:tcPr>
          <w:p>
            <w:pPr>
              <w:jc w:val="right"/>
              <w:ind w:right="18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30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40"/>
        </w:trPr>
        <w:tc>
          <w:tcPr>
            <w:tcW w:w="36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gridSpan w:val="4"/>
          </w:tcPr>
          <w:p>
            <w:pPr>
              <w:jc w:val="right"/>
              <w:ind w:right="83"/>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4"/>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720" w:type="dxa"/>
            <w:vAlign w:val="bottom"/>
            <w:gridSpan w:val="2"/>
            <w:shd w:val="clear" w:color="auto" w:fill="CCEEFF"/>
          </w:tcPr>
          <w:p>
            <w:pPr>
              <w:ind w:left="25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5,775</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(4,970)</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r>
    </w:tbl>
    <w:p>
      <w:pPr>
        <w:spacing w:after="0" w:line="195"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Interest income decreased by $5.0 million, or 86%, for the year ended December 31, 2024 compared to the year ended December 31, 2023, primarily driven by the decrease in cash and cash equivalents that were utilized to fund our operating activities and due to the timing of capital deployment during the transition to a new banking partner in connection with the closure of our prior bank.</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Liabilities</w:t>
      </w: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4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4"/>
                <w:szCs w:val="14"/>
                <w:color w:val="auto"/>
              </w:rPr>
            </w:pPr>
          </w:p>
        </w:tc>
        <w:tc>
          <w:tcPr>
            <w:tcW w:w="1000" w:type="dxa"/>
            <w:vAlign w:val="bottom"/>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r>
      <w:tr>
        <w:trPr>
          <w:trHeight w:val="140"/>
        </w:trPr>
        <w:tc>
          <w:tcPr>
            <w:tcW w:w="45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800" w:type="dxa"/>
            <w:vAlign w:val="bottom"/>
            <w:tcBorders>
              <w:top w:val="single" w:sz="8" w:color="auto"/>
            </w:tcBorders>
          </w:tcPr>
          <w:p>
            <w:pPr>
              <w:jc w:val="right"/>
              <w:ind w:right="18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280" w:type="dxa"/>
            <w:vAlign w:val="bottom"/>
            <w:tcBorders>
              <w:top w:val="single" w:sz="8" w:color="auto"/>
            </w:tcBorders>
          </w:tcPr>
          <w:p>
            <w:pPr>
              <w:ind w:left="16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40" w:type="dxa"/>
            <w:vAlign w:val="bottom"/>
            <w:tcBorders>
              <w:top w:val="single" w:sz="8" w:color="auto"/>
            </w:tcBorders>
          </w:tcPr>
          <w:p>
            <w:pPr>
              <w:jc w:val="right"/>
              <w:ind w:right="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 xml:space="preserve">   2024    </w:t>
            </w:r>
          </w:p>
        </w:tc>
        <w:tc>
          <w:tcPr>
            <w:tcW w:w="200" w:type="dxa"/>
            <w:vAlign w:val="bottom"/>
          </w:tcPr>
          <w:p>
            <w:pPr>
              <w:spacing w:after="0"/>
              <w:rPr>
                <w:sz w:val="12"/>
                <w:szCs w:val="12"/>
                <w:color w:val="auto"/>
              </w:rPr>
            </w:pPr>
          </w:p>
        </w:tc>
        <w:tc>
          <w:tcPr>
            <w:tcW w:w="26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000" w:type="dxa"/>
            <w:vAlign w:val="bottom"/>
          </w:tcPr>
          <w:p>
            <w:pPr>
              <w:jc w:val="right"/>
              <w:ind w:right="18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30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40"/>
        </w:trPr>
        <w:tc>
          <w:tcPr>
            <w:tcW w:w="45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5"/>
          </w:tcPr>
          <w:p>
            <w:pPr>
              <w:jc w:val="right"/>
              <w:ind w:right="103"/>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4"/>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80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1,048</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w:t>
            </w: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(1,266)</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r>
    </w:tbl>
    <w:p>
      <w:pPr>
        <w:spacing w:after="0" w:line="195"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change in fair value of warrant liabilities decreased by $1.3 million, or 121%, for the year ended December 31, 2024 compared to the year ended December 31, 2023, primarily due to changes in the expected stock volatility, risk-free rate, and reduction in time to expiry.</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Loss on Debt Extinguishment</w:t>
      </w: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4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r>
      <w:tr>
        <w:trPr>
          <w:trHeight w:val="140"/>
        </w:trPr>
        <w:tc>
          <w:tcPr>
            <w:tcW w:w="4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800" w:type="dxa"/>
            <w:vAlign w:val="bottom"/>
          </w:tcPr>
          <w:p>
            <w:pPr>
              <w:jc w:val="right"/>
              <w:ind w:right="16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820" w:type="dxa"/>
            <w:vAlign w:val="bottom"/>
          </w:tcPr>
          <w:p>
            <w:pPr>
              <w:ind w:left="160"/>
              <w:spacing w:after="0" w:line="141" w:lineRule="exact"/>
              <w:rPr>
                <w:sz w:val="20"/>
                <w:szCs w:val="20"/>
                <w:color w:val="auto"/>
              </w:rPr>
            </w:pPr>
            <w:r>
              <w:rPr>
                <w:rFonts w:ascii="Times New Roman" w:cs="Times New Roman" w:eastAsia="Times New Roman" w:hAnsi="Times New Roman"/>
                <w:sz w:val="14"/>
                <w:szCs w:val="14"/>
                <w:b w:val="1"/>
                <w:bCs w:val="1"/>
                <w:color w:val="auto"/>
                <w:w w:val="87"/>
              </w:rPr>
              <w:t>      2024 </w:t>
            </w:r>
          </w:p>
        </w:tc>
        <w:tc>
          <w:tcPr>
            <w:tcW w:w="200" w:type="dxa"/>
            <w:vAlign w:val="bottom"/>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w w:val="99"/>
              </w:rPr>
              <w:t> </w:t>
            </w:r>
          </w:p>
        </w:tc>
        <w:tc>
          <w:tcPr>
            <w:tcW w:w="400" w:type="dxa"/>
            <w:vAlign w:val="bottom"/>
          </w:tcPr>
          <w:p>
            <w:pPr>
              <w:ind w:left="28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980" w:type="dxa"/>
            <w:vAlign w:val="bottom"/>
          </w:tcPr>
          <w:p>
            <w:pPr>
              <w:jc w:val="right"/>
              <w:ind w:right="16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300" w:type="dxa"/>
            <w:vAlign w:val="bottom"/>
            <w:gridSpan w:val="2"/>
          </w:tcPr>
          <w:p>
            <w:pPr>
              <w:jc w:val="right"/>
              <w:ind w:right="3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40"/>
        </w:trPr>
        <w:tc>
          <w:tcPr>
            <w:tcW w:w="4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0" w:type="dxa"/>
            <w:vAlign w:val="bottom"/>
            <w:tcBorders>
              <w:top w:val="single" w:sz="8" w:color="auto"/>
            </w:tcBorders>
            <w:gridSpan w:val="4"/>
          </w:tcPr>
          <w:p>
            <w:pPr>
              <w:jc w:val="right"/>
              <w:ind w:right="63"/>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4"/>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280" w:type="dxa"/>
            <w:vAlign w:val="bottom"/>
            <w:gridSpan w:val="2"/>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rPr>
              <w:t>1,536</w:t>
            </w:r>
          </w:p>
        </w:tc>
        <w:tc>
          <w:tcPr>
            <w:tcW w:w="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rPr>
              <w:t>(1,536)</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5"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We did not extinguish any debt during the year ended December 31, 2024, whereas we recorded a loss on debt extinguishment of $1.5 million during the year ended December 31, 2023 in connection with the extinguishment of the Perceptive Credit Agreement in 2023.</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use certain non-GAAP financial measures to supplement the performance measures in our audited consolidated financial statements and unaudited condensed consolidated financial statements, which are presented in accordance with GAAP. These non-GAAP financial measures include non-GAAP gross profit, non-GAAP gross margin, non-GAAP operating expenses, non-GAAP operating expenses margin, adjusted EBITDA, and adjusted EBITDA margin. We use these non-GAAP financial measures for financial and</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80"/>
          </w:cols>
          <w:pgMar w:left="320" w:top="451" w:right="4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0" w:lineRule="auto"/>
        <w:rPr>
          <w:sz w:val="20"/>
          <w:szCs w:val="20"/>
          <w:color w:val="auto"/>
        </w:rPr>
      </w:pPr>
      <w:r>
        <w:rPr>
          <w:rFonts w:ascii="Times New Roman" w:cs="Times New Roman" w:eastAsia="Times New Roman" w:hAnsi="Times New Roman"/>
          <w:sz w:val="18"/>
          <w:szCs w:val="18"/>
          <w:color w:val="auto"/>
        </w:rPr>
        <w:t>operational decision-making and as a means to assist us in evaluating period-to-period comparisons. By excluding certain items that may not be indicative of our recurring core operating results, we believe that non-GAAP gross profit, non-GAAP gross margin, non-GAAP operating expenses, non-GAAP operating expenses margin, adjusted EBITDA, and adjusted EBITDA margin provide meaningful supplemental information regarding our performance. Accordingly, we believe these non-GAAP financial measures, when taken collectively with GAAP financial information, are useful to investors and others because they allow for additional information with respect to financial measures used by management in its financial and operational decision-making and may be used by our institutional investors and the analyst community to help them analyze the health of our business. However, there are a number of limitations related to the use of non-GAAP financial measures, and these non-GAAP financial measures should be considered in addition to, and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Non-GAAP Gross Profit and Non-GAAP Gross Margin</w:t>
      </w:r>
    </w:p>
    <w:p>
      <w:pPr>
        <w:spacing w:after="0" w:line="224" w:lineRule="exact"/>
        <w:rPr>
          <w:sz w:val="20"/>
          <w:szCs w:val="20"/>
          <w:color w:val="auto"/>
        </w:rPr>
      </w:pPr>
    </w:p>
    <w:p>
      <w:pPr>
        <w:jc w:val="both"/>
        <w:ind w:left="180" w:firstLine="436"/>
        <w:spacing w:after="0" w:line="270" w:lineRule="auto"/>
        <w:rPr>
          <w:sz w:val="20"/>
          <w:szCs w:val="20"/>
          <w:color w:val="auto"/>
        </w:rPr>
      </w:pPr>
      <w:r>
        <w:rPr>
          <w:rFonts w:ascii="Times New Roman" w:cs="Times New Roman" w:eastAsia="Times New Roman" w:hAnsi="Times New Roman"/>
          <w:sz w:val="17"/>
          <w:szCs w:val="17"/>
          <w:color w:val="auto"/>
        </w:rPr>
        <w:t>We define non-GAAP gross profit as gross profit, excluding share-based compensation expense, amortization of intangible assets, and depreciation and amortization, and non-GAAP gross margin as gross margin, excluding share-based compensation expense, amortization of intangible assets, and depreciation and amortization. We consider non-GAAP gross profit and non-GAAP gross margin to be useful metrics for investors and other users of our financial information in evaluating our operating performance because they exclude the impact of share-based compensation expense, amortization of intangible assets, and depreciation and amortization, which are non-cash charges that can vary from period to period for reasons that are unrelated to our core operating performance. These metrics also provide investors and other users of our financial information with additional tools to compare business performance across periods, while eliminating the effects of items that may vary for reasons unrelated to core operating performance.</w:t>
      </w:r>
    </w:p>
    <w:p>
      <w:pPr>
        <w:spacing w:after="0" w:line="170"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A reconciliation of gross profit and gross margin, the most directly comparable GAAP financial measures, to non-GAAP gross profit and non-GAAP gross margin is presented below:</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4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0"/>
        </w:trPr>
        <w:tc>
          <w:tcPr>
            <w:tcW w:w="4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5"/>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5"/>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5"/>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r>
      <w:tr>
        <w:trPr>
          <w:trHeight w:val="140"/>
        </w:trPr>
        <w:tc>
          <w:tcPr>
            <w:tcW w:w="4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gridSpan w:val="6"/>
          </w:tcPr>
          <w:p>
            <w:pPr>
              <w:jc w:val="right"/>
              <w:ind w:right="44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gross profit</w:t>
            </w:r>
          </w:p>
        </w:tc>
        <w:tc>
          <w:tcPr>
            <w:tcW w:w="10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69,971</w:t>
            </w:r>
          </w:p>
        </w:tc>
        <w:tc>
          <w:tcPr>
            <w:tcW w:w="2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102,877</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17,348</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31,900</w:t>
            </w:r>
          </w:p>
        </w:tc>
        <w:tc>
          <w:tcPr>
            <w:tcW w:w="200" w:type="dxa"/>
            <w:vAlign w:val="bottom"/>
            <w:shd w:val="clear" w:color="auto" w:fill="CCEEFF"/>
          </w:tcPr>
          <w:p>
            <w:pPr>
              <w:spacing w:after="0"/>
              <w:rPr>
                <w:sz w:val="18"/>
                <w:szCs w:val="18"/>
                <w:color w:val="auto"/>
              </w:rPr>
            </w:pPr>
          </w:p>
        </w:tc>
      </w:tr>
      <w:tr>
        <w:trPr>
          <w:trHeight w:val="21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4"/>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spacing w:after="0"/>
              <w:rPr>
                <w:sz w:val="18"/>
                <w:szCs w:val="18"/>
                <w:color w:val="auto"/>
              </w:rPr>
            </w:pPr>
          </w:p>
        </w:tc>
      </w:tr>
      <w:tr>
        <w:trPr>
          <w:trHeight w:val="214"/>
        </w:trPr>
        <w:tc>
          <w:tcPr>
            <w:tcW w:w="4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00" w:type="dxa"/>
            <w:vAlign w:val="bottom"/>
          </w:tcPr>
          <w:p>
            <w:pPr>
              <w:spacing w:after="0"/>
              <w:rPr>
                <w:sz w:val="18"/>
                <w:szCs w:val="18"/>
                <w:color w:val="auto"/>
              </w:rPr>
            </w:pPr>
          </w:p>
        </w:tc>
      </w:tr>
      <w:tr>
        <w:trPr>
          <w:trHeight w:val="214"/>
        </w:trPr>
        <w:tc>
          <w:tcPr>
            <w:tcW w:w="4720" w:type="dxa"/>
            <w:vAlign w:val="bottom"/>
            <w:shd w:val="clear" w:color="auto" w:fill="CCEEFF"/>
          </w:tcPr>
          <w:p>
            <w:pPr>
              <w:ind w:left="360"/>
              <w:spacing w:after="0" w:line="213" w:lineRule="exact"/>
              <w:rPr>
                <w:sz w:val="20"/>
                <w:szCs w:val="20"/>
                <w:color w:val="auto"/>
              </w:rPr>
            </w:pPr>
            <w:r>
              <w:rPr>
                <w:rFonts w:ascii="Times New Roman" w:cs="Times New Roman" w:eastAsia="Times New Roman" w:hAnsi="Times New Roman"/>
                <w:sz w:val="17"/>
                <w:szCs w:val="17"/>
                <w:color w:val="auto"/>
              </w:rPr>
              <w:t>Depreciation and amortization</w:t>
            </w:r>
            <w:r>
              <w:rPr>
                <w:rFonts w:ascii="Times New Roman" w:cs="Times New Roman" w:eastAsia="Times New Roman" w:hAnsi="Times New Roman"/>
                <w:sz w:val="24"/>
                <w:szCs w:val="24"/>
                <w:color w:val="auto"/>
                <w:vertAlign w:val="superscript"/>
              </w:rPr>
              <w:t>(1)</w:t>
            </w:r>
          </w:p>
        </w:tc>
        <w:tc>
          <w:tcPr>
            <w:tcW w:w="8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00" w:type="dxa"/>
            <w:vAlign w:val="bottom"/>
            <w:shd w:val="clear" w:color="auto" w:fill="CCEEFF"/>
          </w:tcPr>
          <w:p>
            <w:pPr>
              <w:spacing w:after="0"/>
              <w:rPr>
                <w:sz w:val="18"/>
                <w:szCs w:val="18"/>
                <w:color w:val="auto"/>
              </w:rPr>
            </w:pPr>
          </w:p>
        </w:tc>
      </w:tr>
      <w:tr>
        <w:trPr>
          <w:trHeight w:val="22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88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73,825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107,257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18,371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33,118</w:t>
            </w:r>
          </w:p>
        </w:tc>
        <w:tc>
          <w:tcPr>
            <w:tcW w:w="200" w:type="dxa"/>
            <w:vAlign w:val="bottom"/>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7"/>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gross margin (as a percentage of revenue)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58.0%</w:t>
            </w:r>
          </w:p>
        </w:tc>
      </w:tr>
      <w:tr>
        <w:trPr>
          <w:trHeight w:val="23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margin (as a percentage of revenue)</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73025</wp:posOffset>
            </wp:positionV>
            <wp:extent cx="7550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25" w:lineRule="exact"/>
        <w:rPr>
          <w:sz w:val="20"/>
          <w:szCs w:val="20"/>
          <w:color w:val="auto"/>
        </w:rPr>
      </w:pPr>
    </w:p>
    <w:p>
      <w:pPr>
        <w:ind w:left="600" w:hanging="426"/>
        <w:spacing w:after="0"/>
        <w:tabs>
          <w:tab w:leader="none" w:pos="6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includes amortization of capitalized internal-use software costs.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Non-GAAP Operating Expenses and Non-GAAP Operating Expenses Margin</w:t>
      </w:r>
    </w:p>
    <w:p>
      <w:pPr>
        <w:spacing w:after="0" w:line="224"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We define non-GAAP operating expenses as total operating expenses reported on our consolidated statements of operations, excluding share-based compensation expense, amortization of intangible assets,</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80"/>
          </w:cols>
          <w:pgMar w:left="320" w:top="451" w:right="4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2" w:lineRule="auto"/>
        <w:rPr>
          <w:sz w:val="20"/>
          <w:szCs w:val="20"/>
          <w:color w:val="auto"/>
        </w:rPr>
      </w:pPr>
      <w:r>
        <w:rPr>
          <w:rFonts w:ascii="Times New Roman" w:cs="Times New Roman" w:eastAsia="Times New Roman" w:hAnsi="Times New Roman"/>
          <w:sz w:val="18"/>
          <w:szCs w:val="18"/>
          <w:color w:val="auto"/>
        </w:rPr>
        <w:t>depreciation and amortization, and loss on disposal of property and equipment. We define non-GAAP operating expenses margin as non-GAAP operating expenses divided by GAAP total revenue reported on our consolidated statements of operations. We consider non-GAAP operating expenses and non-GAAP operating expenses margin to be useful metrics for investors and other users of our financial information in evaluating our operating performance because they exclude the impact of share-based compensation expense, amortization of intangible assets, depreciation and amortization, and loss on disposal of property and equipment, which are non-cash charges that can vary from period to period for reasons that are unrelated to our core operating performance. These metrics also provide investors and other users of our financial information with additional tools to compare business performance across periods, while eliminating the effects of items that may vary for reasons unrelated to core operating performance.</w:t>
      </w:r>
    </w:p>
    <w:p>
      <w:pPr>
        <w:spacing w:after="0" w:line="189"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A reconciliation of operating expenses and operating expenses margin, the most directly comparable GAAP financial measures, to non-GAAP operating expenses and non-GAAP operating expenses margin is presented below:</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5"/>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5"/>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5"/>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3"/>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20" w:type="dxa"/>
            <w:vAlign w:val="bottom"/>
            <w:gridSpan w:val="6"/>
          </w:tcPr>
          <w:p>
            <w:pPr>
              <w:jc w:val="right"/>
              <w:ind w:right="62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operating expenses</w:t>
            </w:r>
          </w:p>
        </w:tc>
        <w:tc>
          <w:tcPr>
            <w:tcW w:w="6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135,968</w:t>
            </w:r>
          </w:p>
        </w:tc>
        <w:tc>
          <w:tcPr>
            <w:tcW w:w="3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146,531</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35,341</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line="213" w:lineRule="exact"/>
              <w:rPr>
                <w:sz w:val="20"/>
                <w:szCs w:val="20"/>
                <w:color w:val="auto"/>
              </w:rPr>
            </w:pPr>
            <w:r>
              <w:rPr>
                <w:rFonts w:ascii="Times New Roman" w:cs="Times New Roman" w:eastAsia="Times New Roman" w:hAnsi="Times New Roman"/>
                <w:sz w:val="17"/>
                <w:szCs w:val="17"/>
                <w:color w:val="auto"/>
              </w:rPr>
              <w:t>Depreciation and amortization</w:t>
            </w:r>
            <w:r>
              <w:rPr>
                <w:rFonts w:ascii="Times New Roman" w:cs="Times New Roman" w:eastAsia="Times New Roman" w:hAnsi="Times New Roman"/>
                <w:sz w:val="24"/>
                <w:szCs w:val="24"/>
                <w:color w:val="auto"/>
                <w:vertAlign w:val="superscript"/>
              </w:rPr>
              <w:t>(1)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6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xml:space="preserve">$ </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  126,483</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136,686</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32,370</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37,336</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GAAP operating expenses margin (as a percentage of revenue)</w:t>
            </w: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8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Non-GAAP operating expenses margin (as a percentage of</w:t>
            </w: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92.2%</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85090</wp:posOffset>
            </wp:positionV>
            <wp:extent cx="7550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44" w:lineRule="exact"/>
        <w:rPr>
          <w:sz w:val="20"/>
          <w:szCs w:val="20"/>
          <w:color w:val="auto"/>
        </w:rPr>
      </w:pPr>
    </w:p>
    <w:p>
      <w:pPr>
        <w:ind w:left="600" w:hanging="426"/>
        <w:spacing w:after="0"/>
        <w:tabs>
          <w:tab w:leader="none" w:pos="6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includes depreciation of property and equipment.</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We monitor adjusted EBITDA and adjusted EBITDA margin for planning and performance measurement purposes. We define adjusted EBITDA as net loss and comprehensive loss reported on our consolidated statements of operations, excluding the impact of interest expense, interest income, change in fair value of warrant liabilities, loss on debt extinguishment, provision for income taxes, share-based compensation expense, amortization of intangible assets, depreciation and amortization, and loss on disposal of property and equipment. We define adjusted EBITDA margin as adjusted EBITDA divided by GAAP total revenue reported on our consolidated statements of operations. We have presented adjusted EBITDA and adjusted EBITDA margin because we believe that the exclusion of these charges allows for a more relevant comparison of our results of operations and facilitates period-to-period comparisons as it eliminates the effect of certain factors unrelated to our overall operating performance. Our calculation of adjusted EBITDA and adjusted EBITDA margin does not currently include the tax effects of the share-based compensation expense adjustment because such tax effects have not been material to date.</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80"/>
          </w:cols>
          <w:pgMar w:left="320" w:top="451" w:right="4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80" w:firstLine="436"/>
        <w:spacing w:after="0" w:line="277" w:lineRule="auto"/>
        <w:rPr>
          <w:sz w:val="20"/>
          <w:szCs w:val="20"/>
          <w:color w:val="auto"/>
        </w:rPr>
      </w:pPr>
      <w:r>
        <w:rPr>
          <w:rFonts w:ascii="Times New Roman" w:cs="Times New Roman" w:eastAsia="Times New Roman" w:hAnsi="Times New Roman"/>
          <w:sz w:val="18"/>
          <w:szCs w:val="18"/>
          <w:color w:val="auto"/>
        </w:rPr>
        <w:t>A reconciliation of net loss and comprehensive loss and net loss and comprehensive loss margin, the most directly comparable GAAP financial measures, to adjusted EBITDA and adjusted EBITDA margin are presented below:</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8"/>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7"/>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0"/>
        </w:trPr>
        <w:tc>
          <w:tcPr>
            <w:tcW w:w="5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980" w:type="dxa"/>
            <w:vAlign w:val="bottom"/>
            <w:tcBorders>
              <w:top w:val="single" w:sz="8" w:color="auto"/>
              <w:bottom w:val="single" w:sz="8" w:color="auto"/>
            </w:tcBorders>
            <w:gridSpan w:val="2"/>
          </w:tcPr>
          <w:p>
            <w:pPr>
              <w:jc w:val="right"/>
              <w:ind w:right="362"/>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700" w:type="dxa"/>
            <w:vAlign w:val="bottom"/>
            <w:tcBorders>
              <w:top w:val="single" w:sz="8" w:color="auto"/>
              <w:bottom w:val="single" w:sz="8" w:color="auto"/>
            </w:tcBorders>
          </w:tcPr>
          <w:p>
            <w:pPr>
              <w:jc w:val="right"/>
              <w:ind w:right="112"/>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80" w:type="dxa"/>
            <w:vAlign w:val="bottom"/>
            <w:tcBorders>
              <w:top w:val="single" w:sz="8" w:color="auto"/>
              <w:bottom w:val="single" w:sz="8" w:color="auto"/>
            </w:tcBorders>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900" w:type="dxa"/>
            <w:vAlign w:val="bottom"/>
            <w:tcBorders>
              <w:top w:val="single" w:sz="8" w:color="auto"/>
              <w:bottom w:val="single" w:sz="8" w:color="auto"/>
            </w:tcBorders>
            <w:gridSpan w:val="2"/>
          </w:tcPr>
          <w:p>
            <w:pPr>
              <w:jc w:val="right"/>
              <w:ind w:right="381"/>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700" w:type="dxa"/>
            <w:vAlign w:val="bottom"/>
            <w:tcBorders>
              <w:top w:val="single" w:sz="8" w:color="auto"/>
              <w:bottom w:val="single" w:sz="8" w:color="auto"/>
            </w:tcBorders>
          </w:tcPr>
          <w:p>
            <w:pPr>
              <w:jc w:val="right"/>
              <w:ind w:right="72"/>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2025    </w:t>
            </w:r>
          </w:p>
        </w:tc>
        <w:tc>
          <w:tcPr>
            <w:tcW w:w="260" w:type="dxa"/>
            <w:vAlign w:val="bottom"/>
          </w:tcPr>
          <w:p>
            <w:pPr>
              <w:spacing w:after="0"/>
              <w:rPr>
                <w:sz w:val="12"/>
                <w:szCs w:val="12"/>
                <w:color w:val="auto"/>
              </w:rPr>
            </w:pPr>
          </w:p>
        </w:tc>
      </w:tr>
      <w:tr>
        <w:trPr>
          <w:trHeight w:val="154"/>
        </w:trPr>
        <w:tc>
          <w:tcPr>
            <w:tcW w:w="5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20" w:type="dxa"/>
            <w:vAlign w:val="bottom"/>
            <w:gridSpan w:val="9"/>
          </w:tcPr>
          <w:p>
            <w:pPr>
              <w:jc w:val="right"/>
              <w:ind w:right="361"/>
              <w:spacing w:after="0" w:line="154"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14"/>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and comprehensive loss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(67,511)</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(47,137)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(18,969)</w:t>
            </w:r>
          </w:p>
        </w:tc>
        <w:tc>
          <w:tcPr>
            <w:tcW w:w="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(9,448)</w:t>
            </w:r>
          </w:p>
        </w:tc>
      </w:tr>
      <w:tr>
        <w:trPr>
          <w:trHeight w:val="21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4"/>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60" w:type="dxa"/>
            <w:vAlign w:val="bottom"/>
            <w:shd w:val="clear" w:color="auto" w:fill="CCEEFF"/>
          </w:tcPr>
          <w:p>
            <w:pPr>
              <w:spacing w:after="0"/>
              <w:rPr>
                <w:sz w:val="18"/>
                <w:szCs w:val="18"/>
                <w:color w:val="auto"/>
              </w:rPr>
            </w:pPr>
          </w:p>
        </w:tc>
      </w:tr>
      <w:tr>
        <w:trPr>
          <w:trHeight w:val="214"/>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(5,775)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(542)</w:t>
            </w:r>
          </w:p>
        </w:tc>
      </w:tr>
      <w:tr>
        <w:trPr>
          <w:trHeight w:val="214"/>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60" w:type="dxa"/>
            <w:vAlign w:val="bottom"/>
            <w:shd w:val="clear" w:color="auto" w:fill="CCEEFF"/>
          </w:tcPr>
          <w:p>
            <w:pPr>
              <w:spacing w:after="0"/>
              <w:rPr>
                <w:sz w:val="18"/>
                <w:szCs w:val="18"/>
                <w:color w:val="auto"/>
              </w:rPr>
            </w:pPr>
          </w:p>
        </w:tc>
      </w:tr>
      <w:tr>
        <w:trPr>
          <w:trHeight w:val="214"/>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77"/>
              </w:rPr>
              <w:t> </w:t>
            </w:r>
          </w:p>
        </w:tc>
        <w:tc>
          <w:tcPr>
            <w:tcW w:w="98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w w:val="88"/>
              </w:rPr>
              <w:t>     8,740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9,420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  2,869</w:t>
            </w:r>
          </w:p>
        </w:tc>
        <w:tc>
          <w:tcPr>
            <w:tcW w:w="80" w:type="dxa"/>
            <w:vAlign w:val="bottom"/>
          </w:tcPr>
          <w:p>
            <w:pPr>
              <w:spacing w:after="0"/>
              <w:rPr>
                <w:sz w:val="18"/>
                <w:szCs w:val="18"/>
                <w:color w:val="auto"/>
              </w:rPr>
            </w:pPr>
          </w:p>
        </w:tc>
        <w:tc>
          <w:tcPr>
            <w:tcW w:w="24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w w:val="70"/>
              </w:rPr>
              <w:t> </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88"/>
              </w:rPr>
              <w:t>     2,844</w:t>
            </w:r>
          </w:p>
        </w:tc>
      </w:tr>
      <w:tr>
        <w:trPr>
          <w:trHeight w:val="214"/>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60" w:type="dxa"/>
            <w:vAlign w:val="bottom"/>
            <w:shd w:val="clear" w:color="auto" w:fill="CCEEFF"/>
          </w:tcPr>
          <w:p>
            <w:pPr>
              <w:spacing w:after="0"/>
              <w:rPr>
                <w:sz w:val="18"/>
                <w:szCs w:val="18"/>
                <w:color w:val="auto"/>
              </w:rPr>
            </w:pPr>
          </w:p>
        </w:tc>
      </w:tr>
      <w:tr>
        <w:trPr>
          <w:trHeight w:val="214"/>
        </w:trPr>
        <w:tc>
          <w:tcPr>
            <w:tcW w:w="5560" w:type="dxa"/>
            <w:vAlign w:val="bottom"/>
          </w:tcPr>
          <w:p>
            <w:pPr>
              <w:ind w:left="360"/>
              <w:spacing w:after="0" w:line="213" w:lineRule="exact"/>
              <w:rPr>
                <w:sz w:val="20"/>
                <w:szCs w:val="20"/>
                <w:color w:val="auto"/>
              </w:rPr>
            </w:pPr>
            <w:r>
              <w:rPr>
                <w:rFonts w:ascii="Times New Roman" w:cs="Times New Roman" w:eastAsia="Times New Roman" w:hAnsi="Times New Roman"/>
                <w:sz w:val="17"/>
                <w:szCs w:val="17"/>
                <w:color w:val="auto"/>
              </w:rPr>
              <w:t>Depreciation and amortization</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60" w:type="dxa"/>
            <w:vAlign w:val="bottom"/>
          </w:tcPr>
          <w:p>
            <w:pPr>
              <w:spacing w:after="0"/>
              <w:rPr>
                <w:sz w:val="18"/>
                <w:szCs w:val="18"/>
                <w:color w:val="auto"/>
              </w:rPr>
            </w:pPr>
          </w:p>
        </w:tc>
      </w:tr>
      <w:tr>
        <w:trPr>
          <w:trHeight w:val="214"/>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r>
      <w:tr>
        <w:trPr>
          <w:trHeight w:val="22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(52,658</w:t>
            </w:r>
          </w:p>
        </w:tc>
        <w:tc>
          <w:tcPr>
            <w:tcW w:w="28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(29,429)</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(13,999</w:t>
            </w:r>
          </w:p>
        </w:tc>
        <w:tc>
          <w:tcPr>
            <w:tcW w:w="260" w:type="dxa"/>
            <w:vAlign w:val="bottom"/>
          </w:tcPr>
          <w:p>
            <w:pPr>
              <w:jc w:val="right"/>
              <w:ind w:right="18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26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7"/>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and comprehensive loss margin (as a percentage of revenue)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(55.0)%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w:t>
            </w:r>
          </w:p>
        </w:tc>
      </w:tr>
      <w:tr>
        <w:trPr>
          <w:trHeight w:val="23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 (as a percentage of revenue)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(42.9)%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73025</wp:posOffset>
            </wp:positionV>
            <wp:extent cx="7550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25" w:lineRule="exact"/>
        <w:rPr>
          <w:sz w:val="20"/>
          <w:szCs w:val="20"/>
          <w:color w:val="auto"/>
        </w:rPr>
      </w:pPr>
    </w:p>
    <w:p>
      <w:pPr>
        <w:ind w:left="600" w:hanging="426"/>
        <w:spacing w:after="0"/>
        <w:tabs>
          <w:tab w:leader="none" w:pos="6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includes depreciation of property and equipment and amortization of capitalized internal-use software costs.</w:t>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Trends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typically close a higher percentage of sales to new customers, as well as renewals or expansions with existing customers, in the second and third quarters, aligning with benefits enrollment schedules and allowing us to launch our products at the start of the following year. This seasonality generally leads to higher new member enrollment in the first and second quarters, resulting in increased Care Team costs to support the newly enrolled members. These higher new member enrollments also require shipments of new devices to newly enrolled members in the same quarter of enrollment or the beginning of the following quarter and increased hardware revenue in those periods. These increased costs result in lower overall gross margins in those quarters and there is typically a decrease in these costs in subsequent quarters. After the effects of these early program costs of new enrollments, increases in the number of members will generally be reflected in increased revenue in subsequent quarters as services revenue is generally recognized in arrears after the provision of our virtual care programs begins.</w:t>
      </w:r>
    </w:p>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Obesity and Weight Management</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While Omada does not develop or prescribe GLP-1 therapies, we believe the approval of several GLP-1s to treat diabetes and obesity alongside changes in diet and exercise has the potential to increase interest in cardiometabolic programs such as ours. The GLP-1 treatment landscape is relatively new and evolving, and the continued growth of GLP-1 prescriptions may drive fluctuations in demand for our cardiometabolic programs and impact revenue in future periods.</w:t>
      </w:r>
    </w:p>
    <w:p>
      <w:pPr>
        <w:spacing w:after="0" w:line="18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GLP-1 therapies have driven significant spending related to cardiometabolic conditions and obesity, with combined global sales of Ozempic, Rybelsus, Wegovy, and Mounjaro reaching approximately $41.4 billion in</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80"/>
          </w:cols>
          <w:pgMar w:left="320" w:top="451" w:right="4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60"/>
        <w:spacing w:after="0" w:line="252" w:lineRule="auto"/>
        <w:rPr>
          <w:sz w:val="20"/>
          <w:szCs w:val="20"/>
          <w:color w:val="auto"/>
        </w:rPr>
      </w:pPr>
      <w:r>
        <w:rPr>
          <w:rFonts w:ascii="Times New Roman" w:cs="Times New Roman" w:eastAsia="Times New Roman" w:hAnsi="Times New Roman"/>
          <w:sz w:val="18"/>
          <w:szCs w:val="18"/>
          <w:color w:val="auto"/>
        </w:rPr>
        <w:t>2024, a 73% increase compared to 2023, according to public filings by the respective drug manufacturers. GLP-1 therapies can represent a significant cost burden to employers and other entities (including health plans and PBMs). For example, employers pay for GLP-1 therapies with list prices that can exceed $1,000 per month. However, the lasting value derived from the prescription alone may be limited without long-term behavior change. As of December 31, 2024, FDA-approved labels guided that GLP-1 therapies prescribed in adults for obesity or chronic weight management should be prescribed concurrently with a behavioral and lifestyle treatment plan. Accordingly, we believe that the growth in GLP-1 medication prescriptions may also result in increased interest in lifestyle modification programs such as our cardiometabolic programs, which can support members on a GLP-1 therapy.</w:t>
      </w:r>
    </w:p>
    <w:p>
      <w:pPr>
        <w:spacing w:after="0" w:line="189" w:lineRule="exact"/>
        <w:rPr>
          <w:sz w:val="20"/>
          <w:szCs w:val="20"/>
          <w:color w:val="auto"/>
        </w:rPr>
      </w:pPr>
    </w:p>
    <w:p>
      <w:pPr>
        <w:jc w:val="both"/>
        <w:ind w:left="180" w:right="260" w:firstLine="436"/>
        <w:spacing w:after="0" w:line="257" w:lineRule="auto"/>
        <w:rPr>
          <w:sz w:val="20"/>
          <w:szCs w:val="20"/>
          <w:color w:val="auto"/>
        </w:rPr>
      </w:pPr>
      <w:r>
        <w:rPr>
          <w:rFonts w:ascii="Times New Roman" w:cs="Times New Roman" w:eastAsia="Times New Roman" w:hAnsi="Times New Roman"/>
          <w:sz w:val="18"/>
          <w:szCs w:val="18"/>
          <w:color w:val="auto"/>
        </w:rPr>
        <w:t>The GLP-1 treatment landscape is relatively new and evolving, and actions by employers, health plans, PBMs, pharmaceutical companies, regulators, and other third parties could impact the adoption of our GLP-1 Care Tracks. While our GLP-1 Care Tracks are designed to be offered only to eligible members who are also engaged in one of our cardiometabolic programs, demand for those cardiometabolic programs could fluctuate and impact our financial condition.</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Quarterly Results of Operations and Other Data</w:t>
      </w:r>
    </w:p>
    <w:p>
      <w:pPr>
        <w:spacing w:after="0" w:line="118" w:lineRule="exact"/>
        <w:rPr>
          <w:sz w:val="20"/>
          <w:szCs w:val="20"/>
          <w:color w:val="auto"/>
        </w:rPr>
      </w:pPr>
    </w:p>
    <w:p>
      <w:pPr>
        <w:jc w:val="both"/>
        <w:ind w:left="180" w:right="280" w:firstLine="436"/>
        <w:spacing w:after="0" w:line="252" w:lineRule="auto"/>
        <w:rPr>
          <w:sz w:val="20"/>
          <w:szCs w:val="20"/>
          <w:color w:val="auto"/>
        </w:rPr>
      </w:pPr>
      <w:r>
        <w:rPr>
          <w:rFonts w:ascii="Times New Roman" w:cs="Times New Roman" w:eastAsia="Times New Roman" w:hAnsi="Times New Roman"/>
          <w:sz w:val="18"/>
          <w:szCs w:val="18"/>
          <w:color w:val="auto"/>
        </w:rPr>
        <w:t>The following table sets forth our unaudited quarterly statements of operations data for each of the 13 quarterly periods ended March 31, 2025. The unaudited quarterly statements of operations data set forth below have been prepared on the same basis as our audited consolidated financial statements and unaudited condensed consolidated financial statements and, in the opinion of management, reflect all adjustments, consisting only of normal recurring adjustments, that are necessary for the fair statement of such data. Our historical results are not necessarily indicative of the results that may be expected in the future, and the results for any quarter are not necessarily indicative of results to be expected for any other period. The following quarterly financial data should be read in conjunction with our audited consolidated financial statements and unaudited condensed consolidated financial statements and, in each case, the related notes included elsewhere in this prospectus.</w:t>
      </w:r>
    </w:p>
    <w:p>
      <w:pPr>
        <w:spacing w:after="0" w:line="218" w:lineRule="exact"/>
        <w:rPr>
          <w:sz w:val="20"/>
          <w:szCs w:val="20"/>
          <w:color w:val="auto"/>
        </w:rPr>
      </w:pPr>
    </w:p>
    <w:tbl>
      <w:tblPr>
        <w:tblLayout w:type="fixed"/>
        <w:tblInd w:w="18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8"/>
          </w:tcPr>
          <w:p>
            <w:pPr>
              <w:ind w:left="52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74"/>
        </w:trPr>
        <w:tc>
          <w:tcPr>
            <w:tcW w:w="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tcPr>
          <w:p>
            <w:pPr>
              <w:jc w:val="right"/>
              <w:ind w:right="18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2"/>
          </w:tcPr>
          <w:p>
            <w:pPr>
              <w:jc w:val="right"/>
              <w:ind w:right="22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760" w:type="dxa"/>
            <w:vAlign w:val="bottom"/>
            <w:gridSpan w:val="4"/>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60" w:type="dxa"/>
            <w:vAlign w:val="bottom"/>
          </w:tcPr>
          <w:p>
            <w:pPr>
              <w:spacing w:after="0"/>
              <w:rPr>
                <w:sz w:val="6"/>
                <w:szCs w:val="6"/>
                <w:color w:val="auto"/>
              </w:rPr>
            </w:pPr>
          </w:p>
        </w:tc>
        <w:tc>
          <w:tcPr>
            <w:tcW w:w="700" w:type="dxa"/>
            <w:vAlign w:val="bottom"/>
            <w:gridSpan w:val="3"/>
          </w:tcPr>
          <w:p>
            <w:pPr>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tcPr>
          <w:p>
            <w:pPr>
              <w:jc w:val="right"/>
              <w:ind w:right="18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2"/>
          </w:tcPr>
          <w:p>
            <w:pPr>
              <w:jc w:val="right"/>
              <w:ind w:right="22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760" w:type="dxa"/>
            <w:vAlign w:val="bottom"/>
            <w:gridSpan w:val="4"/>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60" w:type="dxa"/>
            <w:vAlign w:val="bottom"/>
          </w:tcPr>
          <w:p>
            <w:pPr>
              <w:spacing w:after="0"/>
              <w:rPr>
                <w:sz w:val="6"/>
                <w:szCs w:val="6"/>
                <w:color w:val="auto"/>
              </w:rPr>
            </w:pPr>
          </w:p>
        </w:tc>
        <w:tc>
          <w:tcPr>
            <w:tcW w:w="700" w:type="dxa"/>
            <w:vAlign w:val="bottom"/>
            <w:gridSpan w:val="3"/>
          </w:tcPr>
          <w:p>
            <w:pPr>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gridSpan w:val="2"/>
          </w:tcPr>
          <w:p>
            <w:pPr>
              <w:jc w:val="right"/>
              <w:ind w:right="16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2"/>
          </w:tcPr>
          <w:p>
            <w:pPr>
              <w:jc w:val="right"/>
              <w:ind w:right="22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760" w:type="dxa"/>
            <w:vAlign w:val="bottom"/>
            <w:gridSpan w:val="4"/>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60" w:type="dxa"/>
            <w:vAlign w:val="bottom"/>
          </w:tcPr>
          <w:p>
            <w:pPr>
              <w:spacing w:after="0"/>
              <w:rPr>
                <w:sz w:val="6"/>
                <w:szCs w:val="6"/>
                <w:color w:val="auto"/>
              </w:rPr>
            </w:pPr>
          </w:p>
        </w:tc>
        <w:tc>
          <w:tcPr>
            <w:tcW w:w="700" w:type="dxa"/>
            <w:vAlign w:val="bottom"/>
            <w:gridSpan w:val="3"/>
          </w:tcPr>
          <w:p>
            <w:pPr>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jc w:val="right"/>
              <w:ind w:right="39"/>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20" w:type="dxa"/>
            <w:vAlign w:val="bottom"/>
          </w:tcPr>
          <w:p>
            <w:pPr>
              <w:spacing w:after="0"/>
              <w:rPr>
                <w:sz w:val="6"/>
                <w:szCs w:val="6"/>
                <w:color w:val="auto"/>
              </w:rPr>
            </w:pPr>
          </w:p>
        </w:tc>
      </w:tr>
      <w:tr>
        <w:trPr>
          <w:trHeight w:val="134"/>
        </w:trPr>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rPr>
              <w:t>2022</w:t>
            </w: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2022</w:t>
            </w: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11"/>
                <w:szCs w:val="11"/>
                <w:color w:val="auto"/>
              </w:rPr>
            </w:pPr>
          </w:p>
        </w:tc>
      </w:tr>
      <w:tr>
        <w:trPr>
          <w:trHeight w:val="100"/>
        </w:trPr>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4"/>
          </w:tcPr>
          <w:p>
            <w:pPr>
              <w:ind w:left="40"/>
              <w:spacing w:after="0" w:line="101"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34"/>
        </w:trPr>
        <w:tc>
          <w:tcPr>
            <w:tcW w:w="20" w:type="dxa"/>
            <w:vAlign w:val="bottom"/>
          </w:tcPr>
          <w:p>
            <w:pPr>
              <w:spacing w:after="0"/>
              <w:rPr>
                <w:sz w:val="11"/>
                <w:szCs w:val="11"/>
                <w:color w:val="auto"/>
              </w:rPr>
            </w:pPr>
          </w:p>
        </w:tc>
        <w:tc>
          <w:tcPr>
            <w:tcW w:w="130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Revenue</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1300" w:type="dxa"/>
            <w:vAlign w:val="bottom"/>
          </w:tcPr>
          <w:p>
            <w:pPr>
              <w:ind w:left="100"/>
              <w:spacing w:after="0" w:line="134" w:lineRule="exact"/>
              <w:rPr>
                <w:sz w:val="20"/>
                <w:szCs w:val="20"/>
                <w:color w:val="auto"/>
              </w:rPr>
            </w:pPr>
            <w:r>
              <w:rPr>
                <w:rFonts w:ascii="Times New Roman" w:cs="Times New Roman" w:eastAsia="Times New Roman" w:hAnsi="Times New Roman"/>
                <w:sz w:val="12"/>
                <w:szCs w:val="12"/>
                <w:color w:val="auto"/>
              </w:rPr>
              <w:t>Services</w:t>
            </w:r>
          </w:p>
        </w:tc>
        <w:tc>
          <w:tcPr>
            <w:tcW w:w="8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17,979</w:t>
            </w:r>
          </w:p>
        </w:tc>
        <w:tc>
          <w:tcPr>
            <w:tcW w:w="80" w:type="dxa"/>
            <w:vAlign w:val="bottom"/>
          </w:tcPr>
          <w:p>
            <w:pPr>
              <w:spacing w:after="0"/>
              <w:rPr>
                <w:sz w:val="11"/>
                <w:szCs w:val="11"/>
                <w:color w:val="auto"/>
              </w:rPr>
            </w:pPr>
          </w:p>
        </w:tc>
        <w:tc>
          <w:tcPr>
            <w:tcW w:w="120" w:type="dxa"/>
            <w:vAlign w:val="bottom"/>
            <w:gridSpan w:val="2"/>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20,698</w:t>
            </w:r>
          </w:p>
        </w:tc>
        <w:tc>
          <w:tcPr>
            <w:tcW w:w="80" w:type="dxa"/>
            <w:vAlign w:val="bottom"/>
          </w:tcPr>
          <w:p>
            <w:pPr>
              <w:spacing w:after="0"/>
              <w:rPr>
                <w:sz w:val="11"/>
                <w:szCs w:val="11"/>
                <w:color w:val="auto"/>
              </w:rPr>
            </w:pPr>
          </w:p>
        </w:tc>
        <w:tc>
          <w:tcPr>
            <w:tcW w:w="18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20,405</w:t>
            </w:r>
          </w:p>
        </w:tc>
        <w:tc>
          <w:tcPr>
            <w:tcW w:w="60" w:type="dxa"/>
            <w:vAlign w:val="bottom"/>
          </w:tcPr>
          <w:p>
            <w:pPr>
              <w:spacing w:after="0"/>
              <w:rPr>
                <w:sz w:val="11"/>
                <w:szCs w:val="11"/>
                <w:color w:val="auto"/>
              </w:rPr>
            </w:pPr>
          </w:p>
        </w:tc>
        <w:tc>
          <w:tcPr>
            <w:tcW w:w="18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23,608</w:t>
            </w:r>
          </w:p>
        </w:tc>
        <w:tc>
          <w:tcPr>
            <w:tcW w:w="60" w:type="dxa"/>
            <w:vAlign w:val="bottom"/>
          </w:tcPr>
          <w:p>
            <w:pPr>
              <w:spacing w:after="0"/>
              <w:rPr>
                <w:sz w:val="11"/>
                <w:szCs w:val="11"/>
                <w:color w:val="auto"/>
              </w:rPr>
            </w:pPr>
          </w:p>
        </w:tc>
        <w:tc>
          <w:tcPr>
            <w:tcW w:w="12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23,954</w:t>
            </w:r>
          </w:p>
        </w:tc>
        <w:tc>
          <w:tcPr>
            <w:tcW w:w="80" w:type="dxa"/>
            <w:vAlign w:val="bottom"/>
          </w:tcPr>
          <w:p>
            <w:pPr>
              <w:spacing w:after="0"/>
              <w:rPr>
                <w:sz w:val="11"/>
                <w:szCs w:val="11"/>
                <w:color w:val="auto"/>
              </w:rPr>
            </w:pPr>
          </w:p>
        </w:tc>
        <w:tc>
          <w:tcPr>
            <w:tcW w:w="120" w:type="dxa"/>
            <w:vAlign w:val="bottom"/>
            <w:gridSpan w:val="2"/>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28,680</w:t>
            </w:r>
          </w:p>
        </w:tc>
        <w:tc>
          <w:tcPr>
            <w:tcW w:w="80" w:type="dxa"/>
            <w:vAlign w:val="bottom"/>
          </w:tcPr>
          <w:p>
            <w:pPr>
              <w:spacing w:after="0"/>
              <w:rPr>
                <w:sz w:val="11"/>
                <w:szCs w:val="11"/>
                <w:color w:val="auto"/>
              </w:rPr>
            </w:pPr>
          </w:p>
        </w:tc>
        <w:tc>
          <w:tcPr>
            <w:tcW w:w="18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30,956</w:t>
            </w:r>
          </w:p>
        </w:tc>
        <w:tc>
          <w:tcPr>
            <w:tcW w:w="60" w:type="dxa"/>
            <w:vAlign w:val="bottom"/>
          </w:tcPr>
          <w:p>
            <w:pPr>
              <w:spacing w:after="0"/>
              <w:rPr>
                <w:sz w:val="11"/>
                <w:szCs w:val="11"/>
                <w:color w:val="auto"/>
              </w:rPr>
            </w:pPr>
          </w:p>
        </w:tc>
        <w:tc>
          <w:tcPr>
            <w:tcW w:w="18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30,941</w:t>
            </w:r>
          </w:p>
        </w:tc>
        <w:tc>
          <w:tcPr>
            <w:tcW w:w="60" w:type="dxa"/>
            <w:vAlign w:val="bottom"/>
          </w:tcPr>
          <w:p>
            <w:pPr>
              <w:spacing w:after="0"/>
              <w:rPr>
                <w:sz w:val="11"/>
                <w:szCs w:val="11"/>
                <w:color w:val="auto"/>
              </w:rPr>
            </w:pPr>
          </w:p>
        </w:tc>
        <w:tc>
          <w:tcPr>
            <w:tcW w:w="12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31,904</w:t>
            </w:r>
          </w:p>
        </w:tc>
        <w:tc>
          <w:tcPr>
            <w:tcW w:w="60" w:type="dxa"/>
            <w:vAlign w:val="bottom"/>
          </w:tcPr>
          <w:p>
            <w:pPr>
              <w:spacing w:after="0"/>
              <w:rPr>
                <w:sz w:val="11"/>
                <w:szCs w:val="11"/>
                <w:color w:val="auto"/>
              </w:rPr>
            </w:pPr>
          </w:p>
        </w:tc>
        <w:tc>
          <w:tcPr>
            <w:tcW w:w="140" w:type="dxa"/>
            <w:vAlign w:val="bottom"/>
            <w:gridSpan w:val="2"/>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38,351</w:t>
            </w:r>
          </w:p>
        </w:tc>
        <w:tc>
          <w:tcPr>
            <w:tcW w:w="80" w:type="dxa"/>
            <w:vAlign w:val="bottom"/>
          </w:tcPr>
          <w:p>
            <w:pPr>
              <w:spacing w:after="0"/>
              <w:rPr>
                <w:sz w:val="11"/>
                <w:szCs w:val="11"/>
                <w:color w:val="auto"/>
              </w:rPr>
            </w:pPr>
          </w:p>
        </w:tc>
        <w:tc>
          <w:tcPr>
            <w:tcW w:w="18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42,096</w:t>
            </w:r>
          </w:p>
        </w:tc>
        <w:tc>
          <w:tcPr>
            <w:tcW w:w="60" w:type="dxa"/>
            <w:vAlign w:val="bottom"/>
          </w:tcPr>
          <w:p>
            <w:pPr>
              <w:spacing w:after="0"/>
              <w:rPr>
                <w:sz w:val="11"/>
                <w:szCs w:val="11"/>
                <w:color w:val="auto"/>
              </w:rPr>
            </w:pPr>
          </w:p>
        </w:tc>
        <w:tc>
          <w:tcPr>
            <w:tcW w:w="18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45,438</w:t>
            </w:r>
          </w:p>
        </w:tc>
        <w:tc>
          <w:tcPr>
            <w:tcW w:w="60" w:type="dxa"/>
            <w:vAlign w:val="bottom"/>
          </w:tcPr>
          <w:p>
            <w:pPr>
              <w:spacing w:after="0"/>
              <w:rPr>
                <w:sz w:val="11"/>
                <w:szCs w:val="11"/>
                <w:color w:val="auto"/>
              </w:rPr>
            </w:pPr>
          </w:p>
        </w:tc>
        <w:tc>
          <w:tcPr>
            <w:tcW w:w="120" w:type="dxa"/>
            <w:vAlign w:val="bottom"/>
            <w:gridSpan w:val="2"/>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49,496</w:t>
            </w:r>
          </w:p>
        </w:tc>
        <w:tc>
          <w:tcPr>
            <w:tcW w:w="2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1300" w:type="dxa"/>
            <w:vAlign w:val="bottom"/>
            <w:shd w:val="clear" w:color="auto" w:fill="CCEEFF"/>
          </w:tcPr>
          <w:p>
            <w:pPr>
              <w:ind w:left="100"/>
              <w:spacing w:after="0" w:line="134" w:lineRule="exact"/>
              <w:rPr>
                <w:sz w:val="20"/>
                <w:szCs w:val="20"/>
                <w:color w:val="auto"/>
              </w:rPr>
            </w:pPr>
            <w:r>
              <w:rPr>
                <w:rFonts w:ascii="Times New Roman" w:cs="Times New Roman" w:eastAsia="Times New Roman" w:hAnsi="Times New Roman"/>
                <w:sz w:val="12"/>
                <w:szCs w:val="12"/>
                <w:color w:val="auto"/>
              </w:rPr>
              <w:t>Hardware</w:t>
            </w: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2,229</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1,077</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1,525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1,664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2,463</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2,212</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1,972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1,606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3,191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2,861</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3,419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2,540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5,467</w:t>
            </w:r>
          </w:p>
        </w:tc>
        <w:tc>
          <w:tcPr>
            <w:tcW w:w="20" w:type="dxa"/>
            <w:vAlign w:val="bottom"/>
            <w:shd w:val="clear" w:color="auto" w:fill="CCEEFF"/>
          </w:tcPr>
          <w:p>
            <w:pPr>
              <w:spacing w:after="0"/>
              <w:rPr>
                <w:sz w:val="11"/>
                <w:szCs w:val="11"/>
                <w:color w:val="auto"/>
              </w:rPr>
            </w:pPr>
          </w:p>
        </w:tc>
      </w:tr>
      <w:tr>
        <w:trPr>
          <w:trHeight w:val="140"/>
        </w:trPr>
        <w:tc>
          <w:tcPr>
            <w:tcW w:w="20" w:type="dxa"/>
            <w:vAlign w:val="bottom"/>
          </w:tcPr>
          <w:p>
            <w:pPr>
              <w:spacing w:after="0"/>
              <w:rPr>
                <w:sz w:val="12"/>
                <w:szCs w:val="12"/>
                <w:color w:val="auto"/>
              </w:rPr>
            </w:pPr>
          </w:p>
        </w:tc>
        <w:tc>
          <w:tcPr>
            <w:tcW w:w="13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revenue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20,208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21,775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21,930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25,272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26,417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30,892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32,928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32,547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35,095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41,212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45,515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47,978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54,963</w:t>
            </w:r>
          </w:p>
        </w:tc>
        <w:tc>
          <w:tcPr>
            <w:tcW w:w="20" w:type="dxa"/>
            <w:vAlign w:val="bottom"/>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130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Cost of revenue</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1300" w:type="dxa"/>
            <w:vAlign w:val="bottom"/>
          </w:tcPr>
          <w:p>
            <w:pPr>
              <w:ind w:left="100"/>
              <w:spacing w:after="0" w:line="133" w:lineRule="exact"/>
              <w:rPr>
                <w:sz w:val="20"/>
                <w:szCs w:val="20"/>
                <w:color w:val="auto"/>
              </w:rPr>
            </w:pPr>
            <w:r>
              <w:rPr>
                <w:rFonts w:ascii="Times New Roman" w:cs="Times New Roman" w:eastAsia="Times New Roman" w:hAnsi="Times New Roman"/>
                <w:sz w:val="15"/>
                <w:szCs w:val="15"/>
                <w:color w:val="auto"/>
                <w:vertAlign w:val="subscript"/>
              </w:rPr>
              <w:t>Services</w:t>
            </w:r>
            <w:r>
              <w:rPr>
                <w:rFonts w:ascii="Times New Roman" w:cs="Times New Roman" w:eastAsia="Times New Roman" w:hAnsi="Times New Roman"/>
                <w:sz w:val="7"/>
                <w:szCs w:val="7"/>
                <w:color w:val="auto"/>
              </w:rPr>
              <w:t>(1)(2)(3)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8,579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8,242</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8,200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8,495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8,912</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9,646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9,004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9,173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10,296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10,759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10,632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10,833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12,744</w:t>
            </w:r>
          </w:p>
        </w:tc>
        <w:tc>
          <w:tcPr>
            <w:tcW w:w="2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1300" w:type="dxa"/>
            <w:vAlign w:val="bottom"/>
            <w:shd w:val="clear" w:color="auto" w:fill="CCEEFF"/>
          </w:tcPr>
          <w:p>
            <w:pPr>
              <w:ind w:left="100"/>
              <w:spacing w:after="0" w:line="134" w:lineRule="exact"/>
              <w:rPr>
                <w:sz w:val="20"/>
                <w:szCs w:val="20"/>
                <w:color w:val="auto"/>
              </w:rPr>
            </w:pPr>
            <w:r>
              <w:rPr>
                <w:rFonts w:ascii="Times New Roman" w:cs="Times New Roman" w:eastAsia="Times New Roman" w:hAnsi="Times New Roman"/>
                <w:sz w:val="12"/>
                <w:szCs w:val="12"/>
                <w:color w:val="auto"/>
              </w:rPr>
              <w:t>Hardware</w:t>
            </w: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4,061</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2,198</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3,497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3,122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4,925</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4,348</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3,688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3,117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7,451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5,619</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6,322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5,011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10,319</w:t>
            </w:r>
          </w:p>
        </w:tc>
        <w:tc>
          <w:tcPr>
            <w:tcW w:w="20" w:type="dxa"/>
            <w:vAlign w:val="bottom"/>
            <w:shd w:val="clear" w:color="auto" w:fill="CCEEFF"/>
          </w:tcPr>
          <w:p>
            <w:pPr>
              <w:spacing w:after="0"/>
              <w:rPr>
                <w:sz w:val="11"/>
                <w:szCs w:val="11"/>
                <w:color w:val="auto"/>
              </w:rPr>
            </w:pPr>
          </w:p>
        </w:tc>
      </w:tr>
      <w:tr>
        <w:trPr>
          <w:trHeight w:val="122"/>
        </w:trPr>
        <w:tc>
          <w:tcPr>
            <w:tcW w:w="20" w:type="dxa"/>
            <w:vAlign w:val="bottom"/>
          </w:tcPr>
          <w:p>
            <w:pPr>
              <w:spacing w:after="0"/>
              <w:rPr>
                <w:sz w:val="10"/>
                <w:szCs w:val="10"/>
                <w:color w:val="auto"/>
              </w:rPr>
            </w:pPr>
          </w:p>
        </w:tc>
        <w:tc>
          <w:tcPr>
            <w:tcW w:w="1300" w:type="dxa"/>
            <w:vAlign w:val="bottom"/>
          </w:tcPr>
          <w:p>
            <w:pPr>
              <w:ind w:left="220"/>
              <w:spacing w:after="0" w:line="122" w:lineRule="exact"/>
              <w:rPr>
                <w:sz w:val="20"/>
                <w:szCs w:val="20"/>
                <w:color w:val="auto"/>
              </w:rPr>
            </w:pPr>
            <w:r>
              <w:rPr>
                <w:rFonts w:ascii="Times New Roman" w:cs="Times New Roman" w:eastAsia="Times New Roman" w:hAnsi="Times New Roman"/>
                <w:sz w:val="12"/>
                <w:szCs w:val="12"/>
                <w:color w:val="auto"/>
              </w:rPr>
              <w:t>Total cost of</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20" w:type="dxa"/>
            <w:vAlign w:val="bottom"/>
          </w:tcPr>
          <w:p>
            <w:pPr>
              <w:spacing w:after="0"/>
              <w:rPr>
                <w:sz w:val="13"/>
                <w:szCs w:val="13"/>
                <w:color w:val="auto"/>
              </w:rPr>
            </w:pPr>
          </w:p>
        </w:tc>
        <w:tc>
          <w:tcPr>
            <w:tcW w:w="1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revenue</w:t>
            </w: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12,640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10,440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11,697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11,617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13,837</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13,994</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12,692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12,290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17,747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16,378</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16,954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15,844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23,063</w:t>
            </w:r>
          </w:p>
        </w:tc>
        <w:tc>
          <w:tcPr>
            <w:tcW w:w="20" w:type="dxa"/>
            <w:vAlign w:val="bottom"/>
          </w:tcPr>
          <w:p>
            <w:pPr>
              <w:spacing w:after="0"/>
              <w:rPr>
                <w:sz w:val="13"/>
                <w:szCs w:val="13"/>
                <w:color w:val="auto"/>
              </w:rPr>
            </w:pPr>
          </w:p>
        </w:tc>
      </w:tr>
      <w:tr>
        <w:trPr>
          <w:trHeight w:val="134"/>
        </w:trPr>
        <w:tc>
          <w:tcPr>
            <w:tcW w:w="20" w:type="dxa"/>
            <w:vAlign w:val="bottom"/>
          </w:tcPr>
          <w:p>
            <w:pPr>
              <w:spacing w:after="0"/>
              <w:rPr>
                <w:sz w:val="11"/>
                <w:szCs w:val="11"/>
                <w:color w:val="auto"/>
              </w:rPr>
            </w:pPr>
          </w:p>
        </w:tc>
        <w:tc>
          <w:tcPr>
            <w:tcW w:w="130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Gross profit</w:t>
            </w: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7,568</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11,335</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10,233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13,655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12,580</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16,898</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20,236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20,257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17,348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24,834</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28,561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32,134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31,900</w:t>
            </w:r>
          </w:p>
        </w:tc>
        <w:tc>
          <w:tcPr>
            <w:tcW w:w="20" w:type="dxa"/>
            <w:vAlign w:val="bottom"/>
            <w:shd w:val="clear" w:color="auto" w:fill="CCEEFF"/>
          </w:tcPr>
          <w:p>
            <w:pPr>
              <w:spacing w:after="0"/>
              <w:rPr>
                <w:sz w:val="11"/>
                <w:szCs w:val="11"/>
                <w:color w:val="auto"/>
              </w:rPr>
            </w:pPr>
          </w:p>
        </w:tc>
      </w:tr>
      <w:tr>
        <w:trPr>
          <w:trHeight w:val="140"/>
        </w:trPr>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07"/>
        </w:trPr>
        <w:tc>
          <w:tcPr>
            <w:tcW w:w="20" w:type="dxa"/>
            <w:vAlign w:val="bottom"/>
          </w:tcPr>
          <w:p>
            <w:pPr>
              <w:spacing w:after="0"/>
              <w:rPr>
                <w:sz w:val="9"/>
                <w:szCs w:val="9"/>
                <w:color w:val="auto"/>
              </w:rPr>
            </w:pPr>
          </w:p>
        </w:tc>
        <w:tc>
          <w:tcPr>
            <w:tcW w:w="130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Research and</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60"/>
        </w:trPr>
        <w:tc>
          <w:tcPr>
            <w:tcW w:w="20" w:type="dxa"/>
            <w:vAlign w:val="bottom"/>
          </w:tcPr>
          <w:p>
            <w:pPr>
              <w:spacing w:after="0"/>
              <w:rPr>
                <w:sz w:val="13"/>
                <w:szCs w:val="13"/>
                <w:color w:val="auto"/>
              </w:rPr>
            </w:pPr>
          </w:p>
        </w:tc>
        <w:tc>
          <w:tcPr>
            <w:tcW w:w="1300" w:type="dxa"/>
            <w:vAlign w:val="bottom"/>
            <w:shd w:val="clear" w:color="auto" w:fill="CCEEFF"/>
          </w:tcPr>
          <w:p>
            <w:pPr>
              <w:ind w:left="220"/>
              <w:spacing w:after="0" w:line="160" w:lineRule="exact"/>
              <w:rPr>
                <w:sz w:val="20"/>
                <w:szCs w:val="20"/>
                <w:color w:val="auto"/>
              </w:rPr>
            </w:pPr>
            <w:r>
              <w:rPr>
                <w:rFonts w:ascii="Times New Roman" w:cs="Times New Roman" w:eastAsia="Times New Roman" w:hAnsi="Times New Roman"/>
                <w:sz w:val="12"/>
                <w:szCs w:val="12"/>
                <w:color w:val="auto"/>
              </w:rPr>
              <w:t>development</w:t>
            </w:r>
            <w:r>
              <w:rPr>
                <w:rFonts w:ascii="Times New Roman" w:cs="Times New Roman" w:eastAsia="Times New Roman" w:hAnsi="Times New Roman"/>
                <w:sz w:val="18"/>
                <w:szCs w:val="18"/>
                <w:color w:val="auto"/>
                <w:vertAlign w:val="superscript"/>
              </w:rPr>
              <w:t>(1)(3)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6,131</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6,304</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6,725</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7,008</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8,260</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8,619</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8,371</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8,488</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8,896</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8,987</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8,850</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9,190</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8,806</w:t>
            </w:r>
          </w:p>
        </w:tc>
        <w:tc>
          <w:tcPr>
            <w:tcW w:w="20" w:type="dxa"/>
            <w:vAlign w:val="bottom"/>
            <w:shd w:val="clear" w:color="auto" w:fill="CCEEFF"/>
          </w:tcPr>
          <w:p>
            <w:pPr>
              <w:spacing w:after="0"/>
              <w:rPr>
                <w:sz w:val="13"/>
                <w:szCs w:val="13"/>
                <w:color w:val="auto"/>
              </w:rPr>
            </w:pPr>
          </w:p>
        </w:tc>
      </w:tr>
      <w:tr>
        <w:trPr>
          <w:trHeight w:val="107"/>
        </w:trPr>
        <w:tc>
          <w:tcPr>
            <w:tcW w:w="20" w:type="dxa"/>
            <w:vAlign w:val="bottom"/>
          </w:tcPr>
          <w:p>
            <w:pPr>
              <w:spacing w:after="0"/>
              <w:rPr>
                <w:sz w:val="9"/>
                <w:szCs w:val="9"/>
                <w:color w:val="auto"/>
              </w:rPr>
            </w:pPr>
          </w:p>
        </w:tc>
        <w:tc>
          <w:tcPr>
            <w:tcW w:w="1300" w:type="dxa"/>
            <w:vAlign w:val="bottom"/>
          </w:tcPr>
          <w:p>
            <w:pPr>
              <w:ind w:left="100"/>
              <w:spacing w:after="0" w:line="107" w:lineRule="exact"/>
              <w:rPr>
                <w:sz w:val="20"/>
                <w:szCs w:val="20"/>
                <w:color w:val="auto"/>
              </w:rPr>
            </w:pPr>
            <w:r>
              <w:rPr>
                <w:rFonts w:ascii="Times New Roman" w:cs="Times New Roman" w:eastAsia="Times New Roman" w:hAnsi="Times New Roman"/>
                <w:sz w:val="12"/>
                <w:szCs w:val="12"/>
                <w:color w:val="auto"/>
              </w:rPr>
              <w:t>Sales and</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0"/>
        </w:trPr>
        <w:tc>
          <w:tcPr>
            <w:tcW w:w="20" w:type="dxa"/>
            <w:vAlign w:val="bottom"/>
          </w:tcPr>
          <w:p>
            <w:pPr>
              <w:spacing w:after="0"/>
              <w:rPr>
                <w:sz w:val="13"/>
                <w:szCs w:val="13"/>
                <w:color w:val="auto"/>
              </w:rPr>
            </w:pPr>
          </w:p>
        </w:tc>
        <w:tc>
          <w:tcPr>
            <w:tcW w:w="1300" w:type="dxa"/>
            <w:vAlign w:val="bottom"/>
          </w:tcPr>
          <w:p>
            <w:pPr>
              <w:ind w:left="220"/>
              <w:spacing w:after="0" w:line="160" w:lineRule="exact"/>
              <w:rPr>
                <w:sz w:val="20"/>
                <w:szCs w:val="20"/>
                <w:color w:val="auto"/>
              </w:rPr>
            </w:pPr>
            <w:r>
              <w:rPr>
                <w:rFonts w:ascii="Times New Roman" w:cs="Times New Roman" w:eastAsia="Times New Roman" w:hAnsi="Times New Roman"/>
                <w:sz w:val="18"/>
                <w:szCs w:val="18"/>
                <w:color w:val="auto"/>
                <w:vertAlign w:val="subscript"/>
              </w:rPr>
              <w:t>marketing</w:t>
            </w:r>
            <w:r>
              <w:rPr>
                <w:rFonts w:ascii="Times New Roman" w:cs="Times New Roman" w:eastAsia="Times New Roman" w:hAnsi="Times New Roman"/>
                <w:sz w:val="8"/>
                <w:szCs w:val="8"/>
                <w:color w:val="auto"/>
              </w:rPr>
              <w:t>(1)(2)(3)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13,405</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15,050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13,492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16,537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16,364</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18,133</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15,668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16,084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17,196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15,191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17,577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18,089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20,170</w:t>
            </w:r>
          </w:p>
        </w:tc>
        <w:tc>
          <w:tcPr>
            <w:tcW w:w="20" w:type="dxa"/>
            <w:vAlign w:val="bottom"/>
          </w:tcPr>
          <w:p>
            <w:pPr>
              <w:spacing w:after="0"/>
              <w:rPr>
                <w:sz w:val="13"/>
                <w:szCs w:val="13"/>
                <w:color w:val="auto"/>
              </w:rPr>
            </w:pPr>
          </w:p>
        </w:tc>
      </w:tr>
      <w:tr>
        <w:trPr>
          <w:trHeight w:val="107"/>
        </w:trPr>
        <w:tc>
          <w:tcPr>
            <w:tcW w:w="20" w:type="dxa"/>
            <w:vAlign w:val="bottom"/>
          </w:tcPr>
          <w:p>
            <w:pPr>
              <w:spacing w:after="0"/>
              <w:rPr>
                <w:sz w:val="9"/>
                <w:szCs w:val="9"/>
                <w:color w:val="auto"/>
              </w:rPr>
            </w:pPr>
          </w:p>
        </w:tc>
        <w:tc>
          <w:tcPr>
            <w:tcW w:w="130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General and</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60"/>
        </w:trPr>
        <w:tc>
          <w:tcPr>
            <w:tcW w:w="20" w:type="dxa"/>
            <w:vAlign w:val="bottom"/>
          </w:tcPr>
          <w:p>
            <w:pPr>
              <w:spacing w:after="0"/>
              <w:rPr>
                <w:sz w:val="13"/>
                <w:szCs w:val="13"/>
                <w:color w:val="auto"/>
              </w:rPr>
            </w:pPr>
          </w:p>
        </w:tc>
        <w:tc>
          <w:tcPr>
            <w:tcW w:w="1300" w:type="dxa"/>
            <w:vAlign w:val="bottom"/>
            <w:shd w:val="clear" w:color="auto" w:fill="CCEEFF"/>
          </w:tcPr>
          <w:p>
            <w:pPr>
              <w:ind w:left="220"/>
              <w:spacing w:after="0" w:line="160" w:lineRule="exact"/>
              <w:rPr>
                <w:sz w:val="20"/>
                <w:szCs w:val="20"/>
                <w:color w:val="auto"/>
              </w:rPr>
            </w:pPr>
            <w:r>
              <w:rPr>
                <w:rFonts w:ascii="Times New Roman" w:cs="Times New Roman" w:eastAsia="Times New Roman" w:hAnsi="Times New Roman"/>
                <w:sz w:val="12"/>
                <w:szCs w:val="12"/>
                <w:color w:val="auto"/>
              </w:rPr>
              <w:t>administrative</w:t>
            </w:r>
            <w:r>
              <w:rPr>
                <w:rFonts w:ascii="Times New Roman" w:cs="Times New Roman" w:eastAsia="Times New Roman" w:hAnsi="Times New Roman"/>
                <w:sz w:val="18"/>
                <w:szCs w:val="18"/>
                <w:color w:val="auto"/>
                <w:vertAlign w:val="superscript"/>
              </w:rPr>
              <w:t>(1)(3)</w:t>
            </w: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6,699</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7,625</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7,904</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8,261</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8,058</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8,667</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10,174</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9,082</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9,249</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10,693</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10,659</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11,954</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11,320</w:t>
            </w:r>
          </w:p>
        </w:tc>
        <w:tc>
          <w:tcPr>
            <w:tcW w:w="20" w:type="dxa"/>
            <w:vAlign w:val="bottom"/>
            <w:shd w:val="clear" w:color="auto" w:fill="CCEEFF"/>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300" w:type="dxa"/>
            <w:vAlign w:val="bottom"/>
          </w:tcPr>
          <w:p>
            <w:pPr>
              <w:ind w:left="220"/>
              <w:spacing w:after="0" w:line="122" w:lineRule="exact"/>
              <w:rPr>
                <w:sz w:val="20"/>
                <w:szCs w:val="20"/>
                <w:color w:val="auto"/>
              </w:rPr>
            </w:pPr>
            <w:r>
              <w:rPr>
                <w:rFonts w:ascii="Times New Roman" w:cs="Times New Roman" w:eastAsia="Times New Roman" w:hAnsi="Times New Roman"/>
                <w:sz w:val="12"/>
                <w:szCs w:val="12"/>
                <w:color w:val="auto"/>
              </w:rPr>
              <w:t>Total operating</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20" w:type="dxa"/>
            <w:vAlign w:val="bottom"/>
          </w:tcPr>
          <w:p>
            <w:pPr>
              <w:spacing w:after="0"/>
              <w:rPr>
                <w:sz w:val="13"/>
                <w:szCs w:val="13"/>
                <w:color w:val="auto"/>
              </w:rPr>
            </w:pPr>
          </w:p>
        </w:tc>
        <w:tc>
          <w:tcPr>
            <w:tcW w:w="1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expenses</w:t>
            </w: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26,235</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28,979</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28,121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31,806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32,682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35,419</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34,213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33,654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35,341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34,871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37,086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39,233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40,296</w:t>
            </w:r>
          </w:p>
        </w:tc>
        <w:tc>
          <w:tcPr>
            <w:tcW w:w="20" w:type="dxa"/>
            <w:vAlign w:val="bottom"/>
          </w:tcPr>
          <w:p>
            <w:pPr>
              <w:spacing w:after="0"/>
              <w:rPr>
                <w:sz w:val="13"/>
                <w:szCs w:val="13"/>
                <w:color w:val="auto"/>
              </w:rPr>
            </w:pPr>
          </w:p>
        </w:tc>
      </w:tr>
      <w:tr>
        <w:trPr>
          <w:trHeight w:val="134"/>
        </w:trPr>
        <w:tc>
          <w:tcPr>
            <w:tcW w:w="20" w:type="dxa"/>
            <w:vAlign w:val="bottom"/>
          </w:tcPr>
          <w:p>
            <w:pPr>
              <w:spacing w:after="0"/>
              <w:rPr>
                <w:sz w:val="11"/>
                <w:szCs w:val="11"/>
                <w:color w:val="auto"/>
              </w:rPr>
            </w:pPr>
          </w:p>
        </w:tc>
        <w:tc>
          <w:tcPr>
            <w:tcW w:w="130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Operating loss</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(18,667)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(17,644)</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(17,888)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(18,151)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(20,102)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(18,521)</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(13,977)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(13,397)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(17,993)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(10,037)</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(8,525)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(7,099)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(8,396</w:t>
            </w:r>
          </w:p>
        </w:tc>
        <w:tc>
          <w:tcPr>
            <w:tcW w:w="20" w:type="dxa"/>
            <w:vAlign w:val="bottom"/>
            <w:shd w:val="clear" w:color="auto" w:fill="CCEEFF"/>
          </w:tcPr>
          <w:p>
            <w:pPr>
              <w:spacing w:after="0"/>
              <w:rPr>
                <w:sz w:val="11"/>
                <w:szCs w:val="11"/>
                <w:color w:val="auto"/>
              </w:rPr>
            </w:pPr>
          </w:p>
        </w:tc>
      </w:tr>
      <w:tr>
        <w:trPr>
          <w:trHeight w:val="115"/>
        </w:trPr>
        <w:tc>
          <w:tcPr>
            <w:tcW w:w="20" w:type="dxa"/>
            <w:vAlign w:val="bottom"/>
          </w:tcPr>
          <w:p>
            <w:pPr>
              <w:spacing w:after="0"/>
              <w:rPr>
                <w:sz w:val="10"/>
                <w:szCs w:val="10"/>
                <w:color w:val="auto"/>
              </w:rPr>
            </w:pPr>
          </w:p>
        </w:tc>
        <w:tc>
          <w:tcPr>
            <w:tcW w:w="130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Other (income)/expense,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2"/>
        </w:trPr>
        <w:tc>
          <w:tcPr>
            <w:tcW w:w="20" w:type="dxa"/>
            <w:vAlign w:val="bottom"/>
          </w:tcPr>
          <w:p>
            <w:pPr>
              <w:spacing w:after="0"/>
              <w:rPr>
                <w:sz w:val="13"/>
                <w:szCs w:val="13"/>
                <w:color w:val="auto"/>
              </w:rPr>
            </w:pPr>
          </w:p>
        </w:tc>
        <w:tc>
          <w:tcPr>
            <w:tcW w:w="13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net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4"/>
        </w:trPr>
        <w:tc>
          <w:tcPr>
            <w:tcW w:w="20" w:type="dxa"/>
            <w:vAlign w:val="bottom"/>
          </w:tcPr>
          <w:p>
            <w:pPr>
              <w:spacing w:after="0"/>
              <w:rPr>
                <w:sz w:val="11"/>
                <w:szCs w:val="11"/>
                <w:color w:val="auto"/>
              </w:rPr>
            </w:pPr>
          </w:p>
        </w:tc>
        <w:tc>
          <w:tcPr>
            <w:tcW w:w="1300" w:type="dxa"/>
            <w:vAlign w:val="bottom"/>
            <w:shd w:val="clear" w:color="auto" w:fill="CCEEFF"/>
          </w:tcPr>
          <w:p>
            <w:pPr>
              <w:ind w:left="100"/>
              <w:spacing w:after="0" w:line="134" w:lineRule="exact"/>
              <w:rPr>
                <w:sz w:val="20"/>
                <w:szCs w:val="20"/>
                <w:color w:val="auto"/>
              </w:rPr>
            </w:pPr>
            <w:r>
              <w:rPr>
                <w:rFonts w:ascii="Times New Roman" w:cs="Times New Roman" w:eastAsia="Times New Roman" w:hAnsi="Times New Roman"/>
                <w:sz w:val="12"/>
                <w:szCs w:val="12"/>
                <w:color w:val="auto"/>
              </w:rPr>
              <w:t>Interest expense</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983</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997</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1,046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1,175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1,202</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1,207</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1,168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1,128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1,130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1,132</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1,147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1,097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1,074</w:t>
            </w:r>
          </w:p>
        </w:tc>
        <w:tc>
          <w:tcPr>
            <w:tcW w:w="20" w:type="dxa"/>
            <w:vAlign w:val="bottom"/>
            <w:shd w:val="clear" w:color="auto" w:fill="CCEEFF"/>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1300" w:type="dxa"/>
            <w:vAlign w:val="bottom"/>
          </w:tcPr>
          <w:p>
            <w:pPr>
              <w:ind w:left="100"/>
              <w:spacing w:after="0" w:line="134" w:lineRule="exact"/>
              <w:rPr>
                <w:sz w:val="20"/>
                <w:szCs w:val="20"/>
                <w:color w:val="auto"/>
              </w:rPr>
            </w:pPr>
            <w:r>
              <w:rPr>
                <w:rFonts w:ascii="Times New Roman" w:cs="Times New Roman" w:eastAsia="Times New Roman" w:hAnsi="Times New Roman"/>
                <w:sz w:val="12"/>
                <w:szCs w:val="12"/>
                <w:color w:val="auto"/>
              </w:rPr>
              <w:t>Interest income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(16)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(160)</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(735)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(1,291)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(1,681)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(1,684)</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(1,431)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(979)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(529)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(85)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(17)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(174)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(542</w:t>
            </w:r>
          </w:p>
        </w:tc>
        <w:tc>
          <w:tcPr>
            <w:tcW w:w="20" w:type="dxa"/>
            <w:vAlign w:val="bottom"/>
          </w:tcPr>
          <w:p>
            <w:pPr>
              <w:spacing w:after="0"/>
              <w:rPr>
                <w:sz w:val="11"/>
                <w:szCs w:val="11"/>
                <w:color w:val="auto"/>
              </w:rPr>
            </w:pPr>
          </w:p>
        </w:tc>
      </w:tr>
      <w:tr>
        <w:trPr>
          <w:trHeight w:val="115"/>
        </w:trPr>
        <w:tc>
          <w:tcPr>
            <w:tcW w:w="20" w:type="dxa"/>
            <w:vAlign w:val="bottom"/>
          </w:tcPr>
          <w:p>
            <w:pPr>
              <w:spacing w:after="0"/>
              <w:rPr>
                <w:sz w:val="10"/>
                <w:szCs w:val="10"/>
                <w:color w:val="auto"/>
              </w:rPr>
            </w:pPr>
          </w:p>
        </w:tc>
        <w:tc>
          <w:tcPr>
            <w:tcW w:w="1300" w:type="dxa"/>
            <w:vAlign w:val="bottom"/>
            <w:shd w:val="clear" w:color="auto" w:fill="CCEEFF"/>
          </w:tcPr>
          <w:p>
            <w:pPr>
              <w:ind w:left="100"/>
              <w:spacing w:after="0" w:line="115" w:lineRule="exact"/>
              <w:rPr>
                <w:sz w:val="20"/>
                <w:szCs w:val="20"/>
                <w:color w:val="auto"/>
              </w:rPr>
            </w:pPr>
            <w:r>
              <w:rPr>
                <w:rFonts w:ascii="Times New Roman" w:cs="Times New Roman" w:eastAsia="Times New Roman" w:hAnsi="Times New Roman"/>
                <w:sz w:val="12"/>
                <w:szCs w:val="12"/>
                <w:color w:val="auto"/>
              </w:rPr>
              <w:t>Change in fair value of</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1300" w:type="dxa"/>
            <w:vAlign w:val="bottom"/>
            <w:shd w:val="clear" w:color="auto" w:fill="CCEEFF"/>
          </w:tcPr>
          <w:p>
            <w:pPr>
              <w:ind w:left="220"/>
              <w:spacing w:after="0" w:line="134" w:lineRule="exact"/>
              <w:rPr>
                <w:sz w:val="20"/>
                <w:szCs w:val="20"/>
                <w:color w:val="auto"/>
              </w:rPr>
            </w:pPr>
            <w:r>
              <w:rPr>
                <w:rFonts w:ascii="Times New Roman" w:cs="Times New Roman" w:eastAsia="Times New Roman" w:hAnsi="Times New Roman"/>
                <w:sz w:val="12"/>
                <w:szCs w:val="12"/>
                <w:color w:val="auto"/>
              </w:rPr>
              <w:t>warrant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1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liabilities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(749)</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(652)</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(195)</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(235)</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(392)</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(428)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w:t>
            </w:r>
          </w:p>
        </w:tc>
        <w:tc>
          <w:tcPr>
            <w:tcW w:w="20" w:type="dxa"/>
            <w:vAlign w:val="bottom"/>
            <w:shd w:val="clear" w:color="auto" w:fill="CCEEFF"/>
          </w:tcPr>
          <w:p>
            <w:pPr>
              <w:spacing w:after="0"/>
              <w:rPr>
                <w:sz w:val="13"/>
                <w:szCs w:val="13"/>
                <w:color w:val="auto"/>
              </w:rPr>
            </w:pPr>
          </w:p>
        </w:tc>
      </w:tr>
      <w:tr>
        <w:trPr>
          <w:trHeight w:val="115"/>
        </w:trPr>
        <w:tc>
          <w:tcPr>
            <w:tcW w:w="20" w:type="dxa"/>
            <w:vAlign w:val="bottom"/>
          </w:tcPr>
          <w:p>
            <w:pPr>
              <w:spacing w:after="0"/>
              <w:rPr>
                <w:sz w:val="10"/>
                <w:szCs w:val="10"/>
                <w:color w:val="auto"/>
              </w:rPr>
            </w:pPr>
          </w:p>
        </w:tc>
        <w:tc>
          <w:tcPr>
            <w:tcW w:w="1300" w:type="dxa"/>
            <w:vAlign w:val="bottom"/>
          </w:tcPr>
          <w:p>
            <w:pPr>
              <w:ind w:left="100"/>
              <w:spacing w:after="0" w:line="115" w:lineRule="exact"/>
              <w:rPr>
                <w:sz w:val="20"/>
                <w:szCs w:val="20"/>
                <w:color w:val="auto"/>
              </w:rPr>
            </w:pPr>
            <w:r>
              <w:rPr>
                <w:rFonts w:ascii="Times New Roman" w:cs="Times New Roman" w:eastAsia="Times New Roman" w:hAnsi="Times New Roman"/>
                <w:sz w:val="12"/>
                <w:szCs w:val="12"/>
                <w:color w:val="auto"/>
              </w:rPr>
              <w:t>Loss on debt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20" w:type="dxa"/>
            <w:vAlign w:val="bottom"/>
          </w:tcPr>
          <w:p>
            <w:pPr>
              <w:spacing w:after="0"/>
              <w:rPr>
                <w:sz w:val="13"/>
                <w:szCs w:val="13"/>
                <w:color w:val="auto"/>
              </w:rPr>
            </w:pPr>
          </w:p>
        </w:tc>
        <w:tc>
          <w:tcPr>
            <w:tcW w:w="13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extinguishment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1,536</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r>
      <w:tr>
        <w:trPr>
          <w:trHeight w:val="115"/>
        </w:trPr>
        <w:tc>
          <w:tcPr>
            <w:tcW w:w="20" w:type="dxa"/>
            <w:vAlign w:val="bottom"/>
          </w:tcPr>
          <w:p>
            <w:pPr>
              <w:spacing w:after="0"/>
              <w:rPr>
                <w:sz w:val="10"/>
                <w:szCs w:val="10"/>
                <w:color w:val="auto"/>
              </w:rPr>
            </w:pPr>
          </w:p>
        </w:tc>
        <w:tc>
          <w:tcPr>
            <w:tcW w:w="1300" w:type="dxa"/>
            <w:vAlign w:val="bottom"/>
            <w:shd w:val="clear" w:color="auto" w:fill="CCEEFF"/>
          </w:tcPr>
          <w:p>
            <w:pPr>
              <w:ind w:left="220"/>
              <w:spacing w:after="0" w:line="115" w:lineRule="exact"/>
              <w:rPr>
                <w:sz w:val="20"/>
                <w:szCs w:val="20"/>
                <w:color w:val="auto"/>
              </w:rPr>
            </w:pPr>
            <w:r>
              <w:rPr>
                <w:rFonts w:ascii="Times New Roman" w:cs="Times New Roman" w:eastAsia="Times New Roman" w:hAnsi="Times New Roman"/>
                <w:sz w:val="12"/>
                <w:szCs w:val="12"/>
                <w:color w:val="auto"/>
              </w:rPr>
              <w:t>Total other</w:t>
            </w:r>
          </w:p>
        </w:tc>
        <w:tc>
          <w:tcPr>
            <w:tcW w:w="2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1300" w:type="dxa"/>
            <w:vAlign w:val="bottom"/>
            <w:shd w:val="clear" w:color="auto" w:fill="CCEEFF"/>
          </w:tcPr>
          <w:p>
            <w:pPr>
              <w:ind w:left="340"/>
              <w:spacing w:after="0" w:line="134" w:lineRule="exact"/>
              <w:rPr>
                <w:sz w:val="20"/>
                <w:szCs w:val="20"/>
                <w:color w:val="auto"/>
              </w:rPr>
            </w:pPr>
            <w:r>
              <w:rPr>
                <w:rFonts w:ascii="Times New Roman" w:cs="Times New Roman" w:eastAsia="Times New Roman" w:hAnsi="Times New Roman"/>
                <w:sz w:val="12"/>
                <w:szCs w:val="12"/>
                <w:color w:val="auto"/>
              </w:rPr>
              <w:t>(income)/expense,</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1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net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(351)</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(284)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1,282</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528</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976</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655</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702</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1,150</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1,052</w:t>
            </w:r>
          </w:p>
        </w:tc>
        <w:tc>
          <w:tcPr>
            <w:tcW w:w="20" w:type="dxa"/>
            <w:vAlign w:val="bottom"/>
            <w:shd w:val="clear" w:color="auto" w:fill="CCEEFF"/>
          </w:tcPr>
          <w:p>
            <w:pPr>
              <w:spacing w:after="0"/>
              <w:rPr>
                <w:sz w:val="13"/>
                <w:szCs w:val="13"/>
                <w:color w:val="auto"/>
              </w:rPr>
            </w:pPr>
          </w:p>
        </w:tc>
      </w:tr>
      <w:tr>
        <w:trPr>
          <w:trHeight w:val="122"/>
        </w:trPr>
        <w:tc>
          <w:tcPr>
            <w:tcW w:w="1320" w:type="dxa"/>
            <w:vAlign w:val="bottom"/>
            <w:gridSpan w:val="2"/>
          </w:tcPr>
          <w:p>
            <w:pPr>
              <w:spacing w:after="0" w:line="122" w:lineRule="exact"/>
              <w:rPr>
                <w:sz w:val="20"/>
                <w:szCs w:val="20"/>
                <w:color w:val="auto"/>
              </w:rPr>
            </w:pPr>
            <w:r>
              <w:rPr>
                <w:rFonts w:ascii="Times New Roman" w:cs="Times New Roman" w:eastAsia="Times New Roman" w:hAnsi="Times New Roman"/>
                <w:sz w:val="12"/>
                <w:szCs w:val="12"/>
                <w:color w:val="auto"/>
              </w:rPr>
              <w:t>Loss before provision for</w:t>
            </w: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52"/>
        </w:trPr>
        <w:tc>
          <w:tcPr>
            <w:tcW w:w="20" w:type="dxa"/>
            <w:vAlign w:val="bottom"/>
          </w:tcPr>
          <w:p>
            <w:pPr>
              <w:spacing w:after="0"/>
              <w:rPr>
                <w:sz w:val="13"/>
                <w:szCs w:val="13"/>
                <w:color w:val="auto"/>
              </w:rPr>
            </w:pPr>
          </w:p>
        </w:tc>
        <w:tc>
          <w:tcPr>
            <w:tcW w:w="13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income taxes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(18,885)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(17,829)</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(18,004)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(17,800)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(19,818)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(19,803)</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(13,965)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(13,925)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(18,969)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(10,692)</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(9,227)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(8,249)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(9,448</w:t>
            </w:r>
          </w:p>
        </w:tc>
        <w:tc>
          <w:tcPr>
            <w:tcW w:w="20" w:type="dxa"/>
            <w:vAlign w:val="bottom"/>
          </w:tcPr>
          <w:p>
            <w:pPr>
              <w:spacing w:after="0"/>
              <w:rPr>
                <w:sz w:val="13"/>
                <w:szCs w:val="13"/>
                <w:color w:val="auto"/>
              </w:rPr>
            </w:pPr>
          </w:p>
        </w:tc>
      </w:tr>
      <w:tr>
        <w:trPr>
          <w:trHeight w:val="115"/>
        </w:trPr>
        <w:tc>
          <w:tcPr>
            <w:tcW w:w="20" w:type="dxa"/>
            <w:vAlign w:val="bottom"/>
          </w:tcPr>
          <w:p>
            <w:pPr>
              <w:spacing w:after="0"/>
              <w:rPr>
                <w:sz w:val="10"/>
                <w:szCs w:val="10"/>
                <w:color w:val="auto"/>
              </w:rPr>
            </w:pPr>
          </w:p>
        </w:tc>
        <w:tc>
          <w:tcPr>
            <w:tcW w:w="1300" w:type="dxa"/>
            <w:vAlign w:val="bottom"/>
            <w:shd w:val="clear" w:color="auto" w:fill="CCEEFF"/>
          </w:tcPr>
          <w:p>
            <w:pPr>
              <w:ind w:left="100"/>
              <w:spacing w:after="0" w:line="115" w:lineRule="exact"/>
              <w:rPr>
                <w:sz w:val="20"/>
                <w:szCs w:val="20"/>
                <w:color w:val="auto"/>
              </w:rPr>
            </w:pPr>
            <w:r>
              <w:rPr>
                <w:rFonts w:ascii="Times New Roman" w:cs="Times New Roman" w:eastAsia="Times New Roman" w:hAnsi="Times New Roman"/>
                <w:sz w:val="12"/>
                <w:szCs w:val="12"/>
                <w:color w:val="auto"/>
              </w:rPr>
              <w:t>Provision for income</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52"/>
        </w:trPr>
        <w:tc>
          <w:tcPr>
            <w:tcW w:w="20" w:type="dxa"/>
            <w:vAlign w:val="bottom"/>
          </w:tcPr>
          <w:p>
            <w:pPr>
              <w:spacing w:after="0"/>
              <w:rPr>
                <w:sz w:val="13"/>
                <w:szCs w:val="13"/>
                <w:color w:val="auto"/>
              </w:rPr>
            </w:pPr>
          </w:p>
        </w:tc>
        <w:tc>
          <w:tcPr>
            <w:tcW w:w="1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taxes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r>
      <w:tr>
        <w:trPr>
          <w:trHeight w:val="122"/>
        </w:trPr>
        <w:tc>
          <w:tcPr>
            <w:tcW w:w="1320" w:type="dxa"/>
            <w:vAlign w:val="bottom"/>
            <w:gridSpan w:val="2"/>
          </w:tcPr>
          <w:p>
            <w:pPr>
              <w:spacing w:after="0" w:line="122" w:lineRule="exact"/>
              <w:rPr>
                <w:sz w:val="20"/>
                <w:szCs w:val="20"/>
                <w:color w:val="auto"/>
              </w:rPr>
            </w:pPr>
            <w:r>
              <w:rPr>
                <w:rFonts w:ascii="Times New Roman" w:cs="Times New Roman" w:eastAsia="Times New Roman" w:hAnsi="Times New Roman"/>
                <w:sz w:val="12"/>
                <w:szCs w:val="12"/>
                <w:color w:val="auto"/>
              </w:rPr>
              <w:t>Net loss and</w:t>
            </w: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52"/>
        </w:trPr>
        <w:tc>
          <w:tcPr>
            <w:tcW w:w="20" w:type="dxa"/>
            <w:vAlign w:val="bottom"/>
          </w:tcPr>
          <w:p>
            <w:pPr>
              <w:spacing w:after="0"/>
              <w:rPr>
                <w:sz w:val="13"/>
                <w:szCs w:val="13"/>
                <w:color w:val="auto"/>
              </w:rPr>
            </w:pPr>
          </w:p>
        </w:tc>
        <w:tc>
          <w:tcPr>
            <w:tcW w:w="13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comprehensive loss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(18,885)</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(17,829)</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(18,004)</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(17,800)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(19,818)</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(19,803)</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(13,965)</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(13,925)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(18,969)</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(10,692)</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(9,227)</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(8,249)</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(9,448)</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93345</wp:posOffset>
            </wp:positionV>
            <wp:extent cx="7550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58" w:lineRule="exact"/>
        <w:rPr>
          <w:sz w:val="20"/>
          <w:szCs w:val="20"/>
          <w:color w:val="auto"/>
        </w:rPr>
      </w:pPr>
    </w:p>
    <w:p>
      <w:pPr>
        <w:ind w:left="600" w:hanging="426"/>
        <w:spacing w:after="0"/>
        <w:tabs>
          <w:tab w:leader="none" w:pos="6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share-based compensation expense as follows:</w:t>
      </w:r>
    </w:p>
    <w:p>
      <w:pPr>
        <w:spacing w:after="0" w:line="1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340"/>
          </w:cols>
          <w:pgMar w:left="320" w:top="451" w:right="2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ectPr>
          <w:pgSz w:w="11900" w:h="16838" w:orient="portrait"/>
          <w:cols w:equalWidth="0" w:num="1">
            <w:col w:w="11080"/>
          </w:cols>
          <w:pgMar w:left="320" w:top="45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Cost of services revenue</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Research and development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Sales and marketing</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General and administrative</w:t>
      </w:r>
    </w:p>
    <w:p>
      <w:pPr>
        <w:spacing w:after="0" w:line="22" w:lineRule="exact"/>
        <w:rPr>
          <w:sz w:val="20"/>
          <w:szCs w:val="20"/>
          <w:color w:val="auto"/>
        </w:rPr>
      </w:pPr>
    </w:p>
    <w:p>
      <w:pPr>
        <w:ind w:left="420" w:hanging="124"/>
        <w:spacing w:after="0" w:line="275" w:lineRule="auto"/>
        <w:rPr>
          <w:sz w:val="20"/>
          <w:szCs w:val="20"/>
          <w:color w:val="auto"/>
        </w:rPr>
      </w:pPr>
      <w:r>
        <w:rPr>
          <w:rFonts w:ascii="Times New Roman" w:cs="Times New Roman" w:eastAsia="Times New Roman" w:hAnsi="Times New Roman"/>
          <w:sz w:val="12"/>
          <w:szCs w:val="12"/>
          <w:color w:val="auto"/>
        </w:rPr>
        <w:t>Total 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99060</wp:posOffset>
            </wp:positionV>
            <wp:extent cx="7550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1"/>
                <w:szCs w:val="11"/>
                <w:b w:val="1"/>
                <w:bCs w:val="1"/>
                <w:color w:val="auto"/>
                <w:w w:val="99"/>
              </w:rPr>
              <w:t>Three Months Ended</w:t>
            </w: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r>
      <w:tr>
        <w:trPr>
          <w:trHeight w:val="74"/>
        </w:trPr>
        <w:tc>
          <w:tcPr>
            <w:tcW w:w="20" w:type="dxa"/>
            <w:vAlign w:val="bottom"/>
          </w:tcPr>
          <w:p>
            <w:pPr>
              <w:spacing w:after="0"/>
              <w:rPr>
                <w:sz w:val="6"/>
                <w:szCs w:val="6"/>
                <w:color w:val="auto"/>
              </w:rPr>
            </w:pPr>
          </w:p>
        </w:tc>
        <w:tc>
          <w:tcPr>
            <w:tcW w:w="440" w:type="dxa"/>
            <w:vAlign w:val="bottom"/>
            <w:gridSpan w:val="2"/>
          </w:tcPr>
          <w:p>
            <w:pPr>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54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0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80" w:type="dxa"/>
            <w:vAlign w:val="bottom"/>
            <w:gridSpan w:val="4"/>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560" w:type="dxa"/>
            <w:vAlign w:val="bottom"/>
            <w:gridSpan w:val="3"/>
          </w:tcPr>
          <w:p>
            <w:pPr>
              <w:ind w:left="8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52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920" w:type="dxa"/>
            <w:vAlign w:val="bottom"/>
            <w:gridSpan w:val="4"/>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660" w:type="dxa"/>
            <w:vAlign w:val="bottom"/>
            <w:gridSpan w:val="3"/>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2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54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0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76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2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r>
      <w:tr>
        <w:trPr>
          <w:trHeight w:val="134"/>
        </w:trPr>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w w:val="90"/>
              </w:rPr>
              <w:t>2022</w:t>
            </w: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w w:val="99"/>
              </w:rPr>
              <w:t>2025</w:t>
            </w:r>
          </w:p>
        </w:tc>
      </w:tr>
      <w:tr>
        <w:trPr>
          <w:trHeight w:val="95"/>
        </w:trPr>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tcPr>
          <w:p>
            <w:pPr>
              <w:jc w:val="right"/>
              <w:ind w:right="20"/>
              <w:spacing w:after="0" w:line="96" w:lineRule="exact"/>
              <w:rPr>
                <w:sz w:val="20"/>
                <w:szCs w:val="20"/>
                <w:color w:val="auto"/>
              </w:rPr>
            </w:pPr>
            <w:r>
              <w:rPr>
                <w:rFonts w:ascii="Times New Roman" w:cs="Times New Roman" w:eastAsia="Times New Roman" w:hAnsi="Times New Roman"/>
                <w:sz w:val="11"/>
                <w:szCs w:val="11"/>
                <w:b w:val="1"/>
                <w:bCs w:val="1"/>
                <w:color w:val="auto"/>
                <w:w w:val="98"/>
              </w:rPr>
              <w:t>(in thousands)</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r>
      <w:tr>
        <w:trPr>
          <w:trHeight w:val="147"/>
        </w:trPr>
        <w:tc>
          <w:tcPr>
            <w:tcW w:w="8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(26)</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20" w:type="dxa"/>
            <w:vAlign w:val="bottom"/>
          </w:tcPr>
          <w:p>
            <w:pPr>
              <w:spacing w:after="0"/>
              <w:rPr>
                <w:sz w:val="12"/>
                <w:szCs w:val="12"/>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47"/>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w:t>
            </w:r>
          </w:p>
        </w:tc>
      </w:tr>
      <w:tr>
        <w:trPr>
          <w:trHeight w:val="147"/>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730</w:t>
            </w:r>
          </w:p>
        </w:tc>
      </w:tr>
      <w:tr>
        <w:trPr>
          <w:trHeight w:val="152"/>
        </w:trPr>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868</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641</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861</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742</w:t>
            </w: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881</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2,084</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1,181</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1,753</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926</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1,031</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1,176</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1,581</w:t>
            </w:r>
          </w:p>
        </w:tc>
      </w:tr>
      <w:tr>
        <w:trPr>
          <w:trHeight w:val="274"/>
        </w:trPr>
        <w:tc>
          <w:tcPr>
            <w:tcW w:w="8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  1,720</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1,353</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1,821</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w w:val="94"/>
              </w:rPr>
              <w:t>     1,760</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4"/>
              </w:rPr>
              <w:t>  1,572</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1,799</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     3,009</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2,360</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4"/>
              </w:rPr>
              <w:t>  2,869</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2,079</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     2,160</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     2,312</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2,844</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-1383030</wp:posOffset>
            </wp:positionH>
            <wp:positionV relativeFrom="paragraph">
              <wp:posOffset>-584835</wp:posOffset>
            </wp:positionV>
            <wp:extent cx="6921500" cy="933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21500" cy="93345"/>
                    </a:xfrm>
                    <a:prstGeom prst="rect">
                      <a:avLst/>
                    </a:prstGeom>
                    <a:noFill/>
                  </pic:spPr>
                </pic:pic>
              </a:graphicData>
            </a:graphic>
          </wp:anchor>
        </w:drawing>
        <w:drawing>
          <wp:anchor simplePos="0" relativeHeight="251657728" behindDoc="1" locked="0" layoutInCell="0" allowOverlap="1">
            <wp:simplePos x="0" y="0"/>
            <wp:positionH relativeFrom="column">
              <wp:posOffset>-1383030</wp:posOffset>
            </wp:positionH>
            <wp:positionV relativeFrom="paragraph">
              <wp:posOffset>-398145</wp:posOffset>
            </wp:positionV>
            <wp:extent cx="6921500" cy="933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21500" cy="93345"/>
                    </a:xfrm>
                    <a:prstGeom prst="rect">
                      <a:avLst/>
                    </a:prstGeom>
                    <a:noFill/>
                  </pic:spPr>
                </pic:pic>
              </a:graphicData>
            </a:graphic>
          </wp:anchor>
        </w:drawing>
        <w:drawing>
          <wp:anchor simplePos="0" relativeHeight="251657728" behindDoc="1" locked="0" layoutInCell="0" allowOverlap="1">
            <wp:simplePos x="0" y="0"/>
            <wp:positionH relativeFrom="column">
              <wp:posOffset>-1383030</wp:posOffset>
            </wp:positionH>
            <wp:positionV relativeFrom="paragraph">
              <wp:posOffset>-194310</wp:posOffset>
            </wp:positionV>
            <wp:extent cx="6921500" cy="169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21500" cy="169545"/>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2">
            <w:col w:w="1900" w:space="460"/>
            <w:col w:w="8720"/>
          </w:cols>
          <w:pgMar w:left="320" w:top="451" w:right="499" w:bottom="1440" w:gutter="0" w:footer="0" w:header="0"/>
          <w:type w:val="continuous"/>
        </w:sectPr>
      </w:pPr>
    </w:p>
    <w:p>
      <w:pPr>
        <w:ind w:left="600" w:hanging="426"/>
        <w:spacing w:after="0"/>
        <w:tabs>
          <w:tab w:leader="none" w:pos="6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amortization of intangible assets as follows:</w:t>
      </w:r>
    </w:p>
    <w:p>
      <w:pPr>
        <w:spacing w:after="0" w:line="233" w:lineRule="exact"/>
        <w:rPr>
          <w:sz w:val="20"/>
          <w:szCs w:val="20"/>
          <w:color w:val="auto"/>
        </w:rPr>
      </w:pPr>
    </w:p>
    <w:tbl>
      <w:tblPr>
        <w:tblLayout w:type="fixed"/>
        <w:tblInd w:w="180" w:type="dxa"/>
        <w:tblCellMar>
          <w:top w:w="0" w:type="dxa"/>
          <w:left w:w="0" w:type="dxa"/>
          <w:bottom w:w="0" w:type="dxa"/>
          <w:right w:w="0" w:type="dxa"/>
        </w:tblCellMar>
      </w:tblPr>
      <w:tr>
        <w:trPr>
          <w:trHeight w:val="136"/>
        </w:trPr>
        <w:tc>
          <w:tcPr>
            <w:tcW w:w="1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4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74"/>
        </w:trPr>
        <w:tc>
          <w:tcPr>
            <w:tcW w:w="1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gridSpan w:val="2"/>
          </w:tcPr>
          <w:p>
            <w:pPr>
              <w:jc w:val="right"/>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54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0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76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2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560" w:type="dxa"/>
            <w:vAlign w:val="bottom"/>
            <w:gridSpan w:val="3"/>
          </w:tcPr>
          <w:p>
            <w:pPr>
              <w:ind w:left="16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960" w:type="dxa"/>
            <w:vAlign w:val="bottom"/>
            <w:gridSpan w:val="4"/>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640" w:type="dxa"/>
            <w:vAlign w:val="bottom"/>
            <w:gridSpan w:val="2"/>
          </w:tcPr>
          <w:p>
            <w:pPr>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2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540" w:type="dxa"/>
            <w:vAlign w:val="bottom"/>
            <w:gridSpan w:val="3"/>
          </w:tcPr>
          <w:p>
            <w:pPr>
              <w:ind w:left="16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20" w:type="dxa"/>
            <w:vAlign w:val="bottom"/>
            <w:gridSpan w:val="3"/>
          </w:tcPr>
          <w:p>
            <w:pPr>
              <w:ind w:left="16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00" w:type="dxa"/>
            <w:vAlign w:val="bottom"/>
            <w:gridSpan w:val="3"/>
          </w:tcPr>
          <w:p>
            <w:pPr>
              <w:ind w:left="16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2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40" w:type="dxa"/>
            <w:vAlign w:val="bottom"/>
          </w:tcPr>
          <w:p>
            <w:pPr>
              <w:spacing w:after="0"/>
              <w:rPr>
                <w:sz w:val="6"/>
                <w:szCs w:val="6"/>
                <w:color w:val="auto"/>
              </w:rPr>
            </w:pPr>
          </w:p>
        </w:tc>
      </w:tr>
      <w:tr>
        <w:trPr>
          <w:trHeight w:val="134"/>
        </w:trPr>
        <w:tc>
          <w:tcPr>
            <w:tcW w:w="1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0"/>
              </w:rPr>
              <w:t>2022</w:t>
            </w: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0"/>
              </w:rPr>
              <w:t>2023</w:t>
            </w: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40" w:type="dxa"/>
            <w:vAlign w:val="bottom"/>
          </w:tcPr>
          <w:p>
            <w:pPr>
              <w:spacing w:after="0"/>
              <w:rPr>
                <w:sz w:val="11"/>
                <w:szCs w:val="11"/>
                <w:color w:val="auto"/>
              </w:rPr>
            </w:pPr>
          </w:p>
        </w:tc>
      </w:tr>
      <w:tr>
        <w:trPr>
          <w:trHeight w:val="100"/>
        </w:trPr>
        <w:tc>
          <w:tcPr>
            <w:tcW w:w="1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ind w:left="40"/>
              <w:spacing w:after="0" w:line="101" w:lineRule="exact"/>
              <w:rPr>
                <w:sz w:val="20"/>
                <w:szCs w:val="20"/>
                <w:color w:val="auto"/>
              </w:rPr>
            </w:pPr>
            <w:r>
              <w:rPr>
                <w:rFonts w:ascii="Times New Roman" w:cs="Times New Roman" w:eastAsia="Times New Roman" w:hAnsi="Times New Roman"/>
                <w:sz w:val="11"/>
                <w:szCs w:val="11"/>
                <w:b w:val="1"/>
                <w:bCs w:val="1"/>
                <w:color w:val="auto"/>
                <w:w w:val="95"/>
              </w:rPr>
              <w:t>(in thousands)</w:t>
            </w: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7"/>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services revenue</w:t>
            </w:r>
          </w:p>
        </w:tc>
        <w:tc>
          <w:tcPr>
            <w:tcW w:w="3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440</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476</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476</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476</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476</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40" w:type="dxa"/>
            <w:vAlign w:val="bottom"/>
            <w:shd w:val="clear" w:color="auto" w:fill="CCEEFF"/>
          </w:tcPr>
          <w:p>
            <w:pPr>
              <w:spacing w:after="0"/>
              <w:rPr>
                <w:sz w:val="12"/>
                <w:szCs w:val="12"/>
                <w:color w:val="auto"/>
              </w:rPr>
            </w:pPr>
          </w:p>
        </w:tc>
      </w:tr>
      <w:tr>
        <w:trPr>
          <w:trHeight w:val="154"/>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Sales and marketing</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40" w:type="dxa"/>
            <w:vAlign w:val="bottom"/>
          </w:tcPr>
          <w:p>
            <w:pPr>
              <w:spacing w:after="0"/>
              <w:rPr>
                <w:sz w:val="13"/>
                <w:szCs w:val="13"/>
                <w:color w:val="auto"/>
              </w:rPr>
            </w:pPr>
          </w:p>
        </w:tc>
      </w:tr>
      <w:tr>
        <w:trPr>
          <w:trHeight w:val="115"/>
        </w:trPr>
        <w:tc>
          <w:tcPr>
            <w:tcW w:w="1900" w:type="dxa"/>
            <w:vAlign w:val="bottom"/>
            <w:shd w:val="clear" w:color="auto" w:fill="CCEEFF"/>
          </w:tcPr>
          <w:p>
            <w:pPr>
              <w:ind w:left="120"/>
              <w:spacing w:after="0" w:line="115" w:lineRule="exact"/>
              <w:rPr>
                <w:sz w:val="20"/>
                <w:szCs w:val="20"/>
                <w:color w:val="auto"/>
              </w:rPr>
            </w:pPr>
            <w:r>
              <w:rPr>
                <w:rFonts w:ascii="Times New Roman" w:cs="Times New Roman" w:eastAsia="Times New Roman" w:hAnsi="Times New Roman"/>
                <w:sz w:val="12"/>
                <w:szCs w:val="12"/>
                <w:color w:val="auto"/>
              </w:rPr>
              <w:t>Total amortization of intangible</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52"/>
        </w:trPr>
        <w:tc>
          <w:tcPr>
            <w:tcW w:w="1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assets</w:t>
            </w:r>
          </w:p>
        </w:tc>
        <w:tc>
          <w:tcPr>
            <w:tcW w:w="3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538</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40" w:type="dxa"/>
            <w:vAlign w:val="bottom"/>
            <w:shd w:val="clear" w:color="auto" w:fill="CCEEFF"/>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101600</wp:posOffset>
            </wp:positionV>
            <wp:extent cx="7550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58" w:lineRule="exact"/>
        <w:rPr>
          <w:sz w:val="20"/>
          <w:szCs w:val="20"/>
          <w:color w:val="auto"/>
        </w:rPr>
      </w:pPr>
    </w:p>
    <w:p>
      <w:pPr>
        <w:ind w:left="600" w:hanging="426"/>
        <w:spacing w:after="0"/>
        <w:tabs>
          <w:tab w:leader="none" w:pos="6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depreciation and amortization as follows:</w:t>
      </w:r>
    </w:p>
    <w:p>
      <w:pPr>
        <w:sectPr>
          <w:pgSz w:w="11900" w:h="16838" w:orient="portrait"/>
          <w:cols w:equalWidth="0" w:num="1">
            <w:col w:w="11080"/>
          </w:cols>
          <w:pgMar w:left="320" w:top="451"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Cost of services revenue</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Research and development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Sales and marketing</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General and administrative</w:t>
      </w:r>
    </w:p>
    <w:p>
      <w:pPr>
        <w:spacing w:after="0" w:line="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Total depreciation and amortization</w:t>
      </w:r>
      <w:r>
        <w:rPr>
          <w:rFonts w:ascii="Times New Roman" w:cs="Times New Roman" w:eastAsia="Times New Roman" w:hAnsi="Times New Roman"/>
          <w:sz w:val="18"/>
          <w:szCs w:val="18"/>
          <w:color w:val="auto"/>
          <w:vertAlign w:val="superscript"/>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106045</wp:posOffset>
            </wp:positionV>
            <wp:extent cx="7550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4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r>
      <w:tr>
        <w:trPr>
          <w:trHeight w:val="74"/>
        </w:trPr>
        <w:tc>
          <w:tcPr>
            <w:tcW w:w="20" w:type="dxa"/>
            <w:vAlign w:val="bottom"/>
          </w:tcPr>
          <w:p>
            <w:pPr>
              <w:spacing w:after="0"/>
              <w:rPr>
                <w:sz w:val="6"/>
                <w:szCs w:val="6"/>
                <w:color w:val="auto"/>
              </w:rPr>
            </w:pPr>
          </w:p>
        </w:tc>
        <w:tc>
          <w:tcPr>
            <w:tcW w:w="460" w:type="dxa"/>
            <w:vAlign w:val="bottom"/>
            <w:gridSpan w:val="2"/>
          </w:tcPr>
          <w:p>
            <w:pPr>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52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0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780" w:type="dxa"/>
            <w:vAlign w:val="bottom"/>
            <w:gridSpan w:val="3"/>
          </w:tcPr>
          <w:p>
            <w:pPr>
              <w:ind w:left="16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2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54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940" w:type="dxa"/>
            <w:vAlign w:val="bottom"/>
            <w:gridSpan w:val="4"/>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620" w:type="dxa"/>
            <w:vAlign w:val="bottom"/>
            <w:gridSpan w:val="2"/>
          </w:tcPr>
          <w:p>
            <w:pPr>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2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540" w:type="dxa"/>
            <w:vAlign w:val="bottom"/>
            <w:gridSpan w:val="3"/>
          </w:tcPr>
          <w:p>
            <w:pPr>
              <w:ind w:left="16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20" w:type="dxa"/>
            <w:vAlign w:val="bottom"/>
            <w:gridSpan w:val="3"/>
          </w:tcPr>
          <w:p>
            <w:pPr>
              <w:ind w:left="16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00" w:type="dxa"/>
            <w:vAlign w:val="bottom"/>
            <w:gridSpan w:val="3"/>
          </w:tcPr>
          <w:p>
            <w:pPr>
              <w:ind w:left="16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2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r>
      <w:tr>
        <w:trPr>
          <w:trHeight w:val="134"/>
        </w:trPr>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w w:val="90"/>
              </w:rPr>
              <w:t>2023</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w w:val="99"/>
              </w:rPr>
              <w:t>2025</w:t>
            </w: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ind w:left="40"/>
              <w:spacing w:after="0" w:line="96" w:lineRule="exact"/>
              <w:rPr>
                <w:sz w:val="20"/>
                <w:szCs w:val="20"/>
                <w:color w:val="auto"/>
              </w:rPr>
            </w:pPr>
            <w:r>
              <w:rPr>
                <w:rFonts w:ascii="Times New Roman" w:cs="Times New Roman" w:eastAsia="Times New Roman" w:hAnsi="Times New Roman"/>
                <w:sz w:val="11"/>
                <w:szCs w:val="11"/>
                <w:b w:val="1"/>
                <w:bCs w:val="1"/>
                <w:color w:val="auto"/>
                <w:w w:val="95"/>
              </w:rPr>
              <w:t>(in thousands)</w:t>
            </w: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r>
      <w:tr>
        <w:trPr>
          <w:trHeight w:val="147"/>
        </w:trPr>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401</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433</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456</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468</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481</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501</w:t>
            </w:r>
          </w:p>
        </w:tc>
        <w:tc>
          <w:tcPr>
            <w:tcW w:w="14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524</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532</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w w:val="9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568</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623</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683</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741</w:t>
            </w: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152"/>
        </w:trPr>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w:t>
            </w:r>
          </w:p>
        </w:tc>
      </w:tr>
      <w:tr>
        <w:trPr>
          <w:trHeight w:val="154"/>
        </w:trPr>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523</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541</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567</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581</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584</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594</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605</w:t>
            </w:r>
          </w:p>
        </w:tc>
        <w:tc>
          <w:tcPr>
            <w:tcW w:w="14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623</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w w:val="9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669</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727</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777</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831</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-508000</wp:posOffset>
            </wp:positionV>
            <wp:extent cx="6921500" cy="933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21500" cy="93345"/>
                    </a:xfrm>
                    <a:prstGeom prst="rect">
                      <a:avLst/>
                    </a:prstGeom>
                    <a:noFill/>
                  </pic:spPr>
                </pic:pic>
              </a:graphicData>
            </a:graphic>
          </wp:anchor>
        </w:drawing>
        <w:drawing>
          <wp:anchor simplePos="0" relativeHeight="251657728" behindDoc="1" locked="0" layoutInCell="0" allowOverlap="1">
            <wp:simplePos x="0" y="0"/>
            <wp:positionH relativeFrom="column">
              <wp:posOffset>-1370330</wp:posOffset>
            </wp:positionH>
            <wp:positionV relativeFrom="paragraph">
              <wp:posOffset>-321945</wp:posOffset>
            </wp:positionV>
            <wp:extent cx="6921500" cy="933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21500" cy="93345"/>
                    </a:xfrm>
                    <a:prstGeom prst="rect">
                      <a:avLst/>
                    </a:prstGeom>
                    <a:noFill/>
                  </pic:spPr>
                </pic:pic>
              </a:graphicData>
            </a:graphic>
          </wp:anchor>
        </w:drawing>
        <w:drawing>
          <wp:anchor simplePos="0" relativeHeight="251657728" behindDoc="1" locked="0" layoutInCell="0" allowOverlap="1">
            <wp:simplePos x="0" y="0"/>
            <wp:positionH relativeFrom="column">
              <wp:posOffset>-1370330</wp:posOffset>
            </wp:positionH>
            <wp:positionV relativeFrom="paragraph">
              <wp:posOffset>-118110</wp:posOffset>
            </wp:positionV>
            <wp:extent cx="6921500" cy="933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21500" cy="93345"/>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2">
            <w:col w:w="2160" w:space="180"/>
            <w:col w:w="8740"/>
          </w:cols>
          <w:pgMar w:left="320" w:top="451" w:right="499" w:bottom="1440" w:gutter="0" w:footer="0" w:header="0"/>
          <w:type w:val="continuous"/>
        </w:sectPr>
      </w:pPr>
    </w:p>
    <w:p>
      <w:pPr>
        <w:ind w:left="600" w:hanging="426"/>
        <w:spacing w:after="0"/>
        <w:tabs>
          <w:tab w:leader="none" w:pos="6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includes depreciation of property and equipment and amortization of capitalized internal-use software costs.</w:t>
      </w:r>
    </w:p>
    <w:p>
      <w:pPr>
        <w:spacing w:after="0" w:line="233" w:lineRule="exact"/>
        <w:rPr>
          <w:sz w:val="20"/>
          <w:szCs w:val="20"/>
          <w:color w:val="auto"/>
        </w:rPr>
      </w:pPr>
    </w:p>
    <w:tbl>
      <w:tblPr>
        <w:tblLayout w:type="fixed"/>
        <w:tblInd w:w="180" w:type="dxa"/>
        <w:tblCellMar>
          <w:top w:w="0" w:type="dxa"/>
          <w:left w:w="0" w:type="dxa"/>
          <w:bottom w:w="0" w:type="dxa"/>
          <w:right w:w="0" w:type="dxa"/>
        </w:tblCellMar>
      </w:tblPr>
      <w:tr>
        <w:trPr>
          <w:trHeight w:val="136"/>
        </w:trPr>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w w:val="95"/>
              </w:rPr>
              <w:t>Percentage of Revenue</w:t>
            </w:r>
          </w:p>
        </w:tc>
        <w:tc>
          <w:tcPr>
            <w:tcW w:w="26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6"/>
          </w:tcPr>
          <w:p>
            <w:pPr>
              <w:jc w:val="center"/>
              <w:ind w:right="680"/>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04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gridSpan w:val="2"/>
          </w:tcPr>
          <w:p>
            <w:pPr>
              <w:jc w:val="right"/>
              <w:ind w:right="16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600" w:type="dxa"/>
            <w:vAlign w:val="bottom"/>
            <w:gridSpan w:val="3"/>
          </w:tcPr>
          <w:p>
            <w:pPr>
              <w:jc w:val="right"/>
              <w:ind w:right="18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60" w:type="dxa"/>
            <w:vAlign w:val="bottom"/>
            <w:gridSpan w:val="3"/>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40" w:type="dxa"/>
            <w:vAlign w:val="bottom"/>
            <w:gridSpan w:val="3"/>
          </w:tcPr>
          <w:p>
            <w:pPr>
              <w:ind w:left="6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80" w:type="dxa"/>
            <w:vAlign w:val="bottom"/>
            <w:gridSpan w:val="3"/>
          </w:tcPr>
          <w:p>
            <w:pPr>
              <w:ind w:left="6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580" w:type="dxa"/>
            <w:vAlign w:val="bottom"/>
            <w:gridSpan w:val="3"/>
          </w:tcPr>
          <w:p>
            <w:pPr>
              <w:jc w:val="right"/>
              <w:ind w:right="87"/>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900" w:type="dxa"/>
            <w:vAlign w:val="bottom"/>
            <w:gridSpan w:val="3"/>
          </w:tcPr>
          <w:p>
            <w:pPr>
              <w:ind w:left="8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40" w:type="dxa"/>
            <w:vAlign w:val="bottom"/>
            <w:gridSpan w:val="3"/>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80" w:type="dxa"/>
            <w:vAlign w:val="bottom"/>
            <w:gridSpan w:val="3"/>
          </w:tcPr>
          <w:p>
            <w:pPr>
              <w:jc w:val="right"/>
              <w:ind w:right="16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600" w:type="dxa"/>
            <w:vAlign w:val="bottom"/>
            <w:gridSpan w:val="3"/>
          </w:tcPr>
          <w:p>
            <w:pPr>
              <w:jc w:val="right"/>
              <w:ind w:right="16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60" w:type="dxa"/>
            <w:vAlign w:val="bottom"/>
            <w:gridSpan w:val="3"/>
          </w:tcPr>
          <w:p>
            <w:pPr>
              <w:ind w:left="6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40" w:type="dxa"/>
            <w:vAlign w:val="bottom"/>
            <w:gridSpan w:val="3"/>
          </w:tcPr>
          <w:p>
            <w:pPr>
              <w:ind w:left="6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540" w:type="dxa"/>
            <w:vAlign w:val="bottom"/>
            <w:gridSpan w:val="2"/>
          </w:tcPr>
          <w:p>
            <w:pPr>
              <w:jc w:val="right"/>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1040" w:type="dxa"/>
            <w:vAlign w:val="bottom"/>
            <w:gridSpan w:val="2"/>
          </w:tcPr>
          <w:p>
            <w:pPr>
              <w:spacing w:after="0" w:line="121" w:lineRule="exact"/>
              <w:rPr>
                <w:sz w:val="20"/>
                <w:szCs w:val="20"/>
                <w:color w:val="auto"/>
              </w:rPr>
            </w:pPr>
            <w:r>
              <w:rPr>
                <w:rFonts w:ascii="Times New Roman" w:cs="Times New Roman" w:eastAsia="Times New Roman" w:hAnsi="Times New Roman"/>
                <w:sz w:val="11"/>
                <w:szCs w:val="11"/>
                <w:b w:val="1"/>
                <w:bCs w:val="1"/>
                <w:color w:val="auto"/>
              </w:rPr>
              <w:t>Data</w:t>
            </w:r>
          </w:p>
        </w:tc>
        <w:tc>
          <w:tcPr>
            <w:tcW w:w="740" w:type="dxa"/>
            <w:vAlign w:val="bottom"/>
            <w:gridSpan w:val="2"/>
          </w:tcPr>
          <w:p>
            <w:pPr>
              <w:jc w:val="right"/>
              <w:ind w:right="86"/>
              <w:spacing w:after="0" w:line="121" w:lineRule="exact"/>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Pr>
          <w:p>
            <w:pPr>
              <w:spacing w:after="0"/>
              <w:rPr>
                <w:sz w:val="11"/>
                <w:szCs w:val="11"/>
                <w:color w:val="auto"/>
              </w:rPr>
            </w:pPr>
          </w:p>
        </w:tc>
        <w:tc>
          <w:tcPr>
            <w:tcW w:w="440" w:type="dxa"/>
            <w:vAlign w:val="bottom"/>
            <w:gridSpan w:val="2"/>
          </w:tcPr>
          <w:p>
            <w:pPr>
              <w:jc w:val="right"/>
              <w:ind w:right="38"/>
              <w:spacing w:after="0" w:line="121" w:lineRule="exact"/>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Pr>
          <w:p>
            <w:pPr>
              <w:spacing w:after="0"/>
              <w:rPr>
                <w:sz w:val="11"/>
                <w:szCs w:val="11"/>
                <w:color w:val="auto"/>
              </w:rPr>
            </w:pPr>
          </w:p>
        </w:tc>
        <w:tc>
          <w:tcPr>
            <w:tcW w:w="700" w:type="dxa"/>
            <w:vAlign w:val="bottom"/>
            <w:gridSpan w:val="2"/>
          </w:tcPr>
          <w:p>
            <w:pPr>
              <w:jc w:val="right"/>
              <w:ind w:right="158"/>
              <w:spacing w:after="0" w:line="121" w:lineRule="exact"/>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Pr>
          <w:p>
            <w:pPr>
              <w:spacing w:after="0"/>
              <w:rPr>
                <w:sz w:val="11"/>
                <w:szCs w:val="11"/>
                <w:color w:val="auto"/>
              </w:rPr>
            </w:pPr>
          </w:p>
        </w:tc>
        <w:tc>
          <w:tcPr>
            <w:tcW w:w="680" w:type="dxa"/>
            <w:vAlign w:val="bottom"/>
            <w:gridSpan w:val="2"/>
          </w:tcPr>
          <w:p>
            <w:pPr>
              <w:jc w:val="right"/>
              <w:ind w:right="138"/>
              <w:spacing w:after="0" w:line="121" w:lineRule="exact"/>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Pr>
          <w:p>
            <w:pPr>
              <w:spacing w:after="0"/>
              <w:rPr>
                <w:sz w:val="11"/>
                <w:szCs w:val="11"/>
                <w:color w:val="auto"/>
              </w:rPr>
            </w:pPr>
          </w:p>
        </w:tc>
        <w:tc>
          <w:tcPr>
            <w:tcW w:w="520" w:type="dxa"/>
            <w:vAlign w:val="bottom"/>
            <w:gridSpan w:val="2"/>
          </w:tcPr>
          <w:p>
            <w:pPr>
              <w:jc w:val="right"/>
              <w:ind w:right="58"/>
              <w:spacing w:after="0" w:line="121" w:lineRule="exact"/>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460" w:type="dxa"/>
            <w:vAlign w:val="bottom"/>
            <w:gridSpan w:val="2"/>
          </w:tcPr>
          <w:p>
            <w:pPr>
              <w:jc w:val="right"/>
              <w:ind w:right="38"/>
              <w:spacing w:after="0" w:line="121" w:lineRule="exact"/>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Pr>
          <w:p>
            <w:pPr>
              <w:spacing w:after="0"/>
              <w:rPr>
                <w:sz w:val="11"/>
                <w:szCs w:val="11"/>
                <w:color w:val="auto"/>
              </w:rPr>
            </w:pPr>
          </w:p>
        </w:tc>
        <w:tc>
          <w:tcPr>
            <w:tcW w:w="740" w:type="dxa"/>
            <w:vAlign w:val="bottom"/>
            <w:gridSpan w:val="2"/>
          </w:tcPr>
          <w:p>
            <w:pPr>
              <w:jc w:val="right"/>
              <w:ind w:right="158"/>
              <w:spacing w:after="0" w:line="121" w:lineRule="exact"/>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680" w:type="dxa"/>
            <w:vAlign w:val="bottom"/>
            <w:gridSpan w:val="2"/>
          </w:tcPr>
          <w:p>
            <w:pPr>
              <w:jc w:val="right"/>
              <w:ind w:right="158"/>
              <w:spacing w:after="0" w:line="121" w:lineRule="exact"/>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520" w:type="dxa"/>
            <w:vAlign w:val="bottom"/>
            <w:gridSpan w:val="2"/>
          </w:tcPr>
          <w:p>
            <w:pPr>
              <w:jc w:val="right"/>
              <w:ind w:right="78"/>
              <w:spacing w:after="0" w:line="121"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11"/>
                <w:szCs w:val="11"/>
                <w:color w:val="auto"/>
              </w:rPr>
            </w:pPr>
          </w:p>
        </w:tc>
        <w:tc>
          <w:tcPr>
            <w:tcW w:w="440" w:type="dxa"/>
            <w:vAlign w:val="bottom"/>
            <w:gridSpan w:val="2"/>
          </w:tcPr>
          <w:p>
            <w:pPr>
              <w:jc w:val="right"/>
              <w:ind w:right="38"/>
              <w:spacing w:after="0" w:line="121"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11"/>
                <w:szCs w:val="11"/>
                <w:color w:val="auto"/>
              </w:rPr>
            </w:pPr>
          </w:p>
        </w:tc>
        <w:tc>
          <w:tcPr>
            <w:tcW w:w="720" w:type="dxa"/>
            <w:vAlign w:val="bottom"/>
            <w:gridSpan w:val="2"/>
          </w:tcPr>
          <w:p>
            <w:pPr>
              <w:jc w:val="right"/>
              <w:ind w:right="178"/>
              <w:spacing w:after="0" w:line="121"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11"/>
                <w:szCs w:val="11"/>
                <w:color w:val="auto"/>
              </w:rPr>
            </w:pPr>
          </w:p>
        </w:tc>
        <w:tc>
          <w:tcPr>
            <w:tcW w:w="700" w:type="dxa"/>
            <w:vAlign w:val="bottom"/>
            <w:gridSpan w:val="2"/>
          </w:tcPr>
          <w:p>
            <w:pPr>
              <w:jc w:val="right"/>
              <w:ind w:right="158"/>
              <w:spacing w:after="0" w:line="121"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11"/>
                <w:szCs w:val="11"/>
                <w:color w:val="auto"/>
              </w:rPr>
            </w:pPr>
          </w:p>
        </w:tc>
        <w:tc>
          <w:tcPr>
            <w:tcW w:w="540" w:type="dxa"/>
            <w:vAlign w:val="bottom"/>
            <w:gridSpan w:val="2"/>
          </w:tcPr>
          <w:p>
            <w:pPr>
              <w:jc w:val="right"/>
              <w:ind w:right="78"/>
              <w:spacing w:after="0" w:line="121" w:lineRule="exact"/>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860" w:type="dxa"/>
            <w:vAlign w:val="bottom"/>
            <w:tcBorders>
              <w:top w:val="single" w:sz="8" w:color="auto"/>
            </w:tcBorders>
            <w:gridSpan w:val="7"/>
          </w:tcPr>
          <w:p>
            <w:pPr>
              <w:jc w:val="center"/>
              <w:ind w:right="580"/>
              <w:spacing w:after="0" w:line="107" w:lineRule="exact"/>
              <w:rPr>
                <w:sz w:val="20"/>
                <w:szCs w:val="20"/>
                <w:color w:val="auto"/>
              </w:rPr>
            </w:pPr>
            <w:r>
              <w:rPr>
                <w:rFonts w:ascii="Times New Roman" w:cs="Times New Roman" w:eastAsia="Times New Roman" w:hAnsi="Times New Roman"/>
                <w:sz w:val="11"/>
                <w:szCs w:val="11"/>
                <w:b w:val="1"/>
                <w:bCs w:val="1"/>
                <w:color w:val="auto"/>
                <w:w w:val="97"/>
              </w:rPr>
              <w:t>(as a percentage of revenue)</w:t>
            </w:r>
          </w:p>
        </w:tc>
        <w:tc>
          <w:tcPr>
            <w:tcW w:w="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Services</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89%</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95%</w:t>
            </w:r>
          </w:p>
        </w:tc>
        <w:tc>
          <w:tcPr>
            <w:tcW w:w="6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     93%</w:t>
            </w:r>
          </w:p>
        </w:tc>
        <w:tc>
          <w:tcPr>
            <w:tcW w:w="60" w:type="dxa"/>
            <w:vAlign w:val="bottom"/>
          </w:tcPr>
          <w:p>
            <w:pPr>
              <w:spacing w:after="0"/>
              <w:rPr>
                <w:sz w:val="12"/>
                <w:szCs w:val="12"/>
                <w:color w:val="auto"/>
              </w:rPr>
            </w:pPr>
          </w:p>
        </w:tc>
        <w:tc>
          <w:tcPr>
            <w:tcW w:w="7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      93%</w:t>
            </w:r>
          </w:p>
        </w:tc>
        <w:tc>
          <w:tcPr>
            <w:tcW w:w="60" w:type="dxa"/>
            <w:vAlign w:val="bottom"/>
          </w:tcPr>
          <w:p>
            <w:pPr>
              <w:spacing w:after="0"/>
              <w:rPr>
                <w:sz w:val="12"/>
                <w:szCs w:val="12"/>
                <w:color w:val="auto"/>
              </w:rPr>
            </w:pPr>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    91%</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80" w:type="dxa"/>
            <w:vAlign w:val="bottom"/>
          </w:tcPr>
          <w:p>
            <w:pPr>
              <w:spacing w:after="0"/>
              <w:rPr>
                <w:sz w:val="12"/>
                <w:szCs w:val="12"/>
                <w:color w:val="auto"/>
              </w:rPr>
            </w:pP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     94%</w:t>
            </w:r>
          </w:p>
        </w:tc>
        <w:tc>
          <w:tcPr>
            <w:tcW w:w="60" w:type="dxa"/>
            <w:vAlign w:val="bottom"/>
          </w:tcPr>
          <w:p>
            <w:pPr>
              <w:spacing w:after="0"/>
              <w:rPr>
                <w:sz w:val="12"/>
                <w:szCs w:val="12"/>
                <w:color w:val="auto"/>
              </w:rPr>
            </w:pPr>
          </w:p>
        </w:tc>
        <w:tc>
          <w:tcPr>
            <w:tcW w:w="7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      95%</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91%</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93%</w:t>
            </w:r>
          </w:p>
        </w:tc>
        <w:tc>
          <w:tcPr>
            <w:tcW w:w="60" w:type="dxa"/>
            <w:vAlign w:val="bottom"/>
          </w:tcPr>
          <w:p>
            <w:pPr>
              <w:spacing w:after="0"/>
              <w:rPr>
                <w:sz w:val="12"/>
                <w:szCs w:val="12"/>
                <w:color w:val="auto"/>
              </w:rPr>
            </w:pPr>
          </w:p>
        </w:tc>
        <w:tc>
          <w:tcPr>
            <w:tcW w:w="8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     92%</w:t>
            </w:r>
          </w:p>
        </w:tc>
        <w:tc>
          <w:tcPr>
            <w:tcW w:w="6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      95%</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90%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Hardware</w:t>
            </w:r>
          </w:p>
        </w:tc>
        <w:tc>
          <w:tcPr>
            <w:tcW w:w="26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revenue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6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6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6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2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6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6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4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4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revenue</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Services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6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6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6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6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2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6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6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6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4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4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Hardware</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tcPr>
          <w:p>
            <w:pPr>
              <w:ind w:left="220"/>
              <w:spacing w:after="0" w:line="122" w:lineRule="exact"/>
              <w:rPr>
                <w:sz w:val="20"/>
                <w:szCs w:val="20"/>
                <w:color w:val="auto"/>
              </w:rPr>
            </w:pPr>
            <w:r>
              <w:rPr>
                <w:rFonts w:ascii="Times New Roman" w:cs="Times New Roman" w:eastAsia="Times New Roman" w:hAnsi="Times New Roman"/>
                <w:sz w:val="12"/>
                <w:szCs w:val="12"/>
                <w:color w:val="auto"/>
              </w:rPr>
              <w:t>Total cost of</w:t>
            </w:r>
          </w:p>
        </w:tc>
        <w:tc>
          <w:tcPr>
            <w:tcW w:w="2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revenue</w:t>
            </w:r>
          </w:p>
        </w:tc>
        <w:tc>
          <w:tcPr>
            <w:tcW w:w="260" w:type="dxa"/>
            <w:vAlign w:val="bottom"/>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profit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26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2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2"/>
                <w:szCs w:val="12"/>
                <w:color w:val="auto"/>
              </w:rPr>
              <w:t>Research and</w:t>
            </w:r>
          </w:p>
        </w:tc>
        <w:tc>
          <w:tcPr>
            <w:tcW w:w="2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development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80"/>
          </w:cols>
          <w:pgMar w:left="320" w:top="451" w:right="49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21" w:lineRule="exact"/>
        <w:rPr>
          <w:sz w:val="20"/>
          <w:szCs w:val="20"/>
          <w:color w:val="auto"/>
        </w:rPr>
      </w:pPr>
    </w:p>
    <w:tbl>
      <w:tblPr>
        <w:tblLayout w:type="fixed"/>
        <w:tblInd w:w="180" w:type="dxa"/>
        <w:tblCellMar>
          <w:top w:w="0" w:type="dxa"/>
          <w:left w:w="0" w:type="dxa"/>
          <w:bottom w:w="0" w:type="dxa"/>
          <w:right w:w="0" w:type="dxa"/>
        </w:tblCellMar>
      </w:tblPr>
      <w:tr>
        <w:trPr>
          <w:trHeight w:val="136"/>
        </w:trPr>
        <w:tc>
          <w:tcPr>
            <w:tcW w:w="130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Percentage of Revenue</w:t>
            </w:r>
          </w:p>
        </w:tc>
        <w:tc>
          <w:tcPr>
            <w:tcW w:w="4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6"/>
          </w:tcPr>
          <w:p>
            <w:pPr>
              <w:jc w:val="right"/>
              <w:ind w:right="760"/>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gridSpan w:val="2"/>
          </w:tcPr>
          <w:p>
            <w:pPr>
              <w:jc w:val="right"/>
              <w:ind w:right="18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620" w:type="dxa"/>
            <w:vAlign w:val="bottom"/>
            <w:gridSpan w:val="3"/>
          </w:tcPr>
          <w:p>
            <w:pPr>
              <w:jc w:val="right"/>
              <w:ind w:right="20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80" w:type="dxa"/>
            <w:vAlign w:val="bottom"/>
            <w:gridSpan w:val="3"/>
          </w:tcPr>
          <w:p>
            <w:pPr>
              <w:jc w:val="right"/>
              <w:ind w:right="18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60" w:type="dxa"/>
            <w:vAlign w:val="bottom"/>
            <w:gridSpan w:val="3"/>
          </w:tcPr>
          <w:p>
            <w:pPr>
              <w:jc w:val="right"/>
              <w:ind w:right="20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700" w:type="dxa"/>
            <w:vAlign w:val="bottom"/>
            <w:gridSpan w:val="3"/>
          </w:tcPr>
          <w:p>
            <w:pPr>
              <w:jc w:val="right"/>
              <w:ind w:right="20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580" w:type="dxa"/>
            <w:vAlign w:val="bottom"/>
            <w:gridSpan w:val="3"/>
          </w:tcPr>
          <w:p>
            <w:pPr>
              <w:jc w:val="right"/>
              <w:ind w:right="107"/>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900" w:type="dxa"/>
            <w:vAlign w:val="bottom"/>
            <w:gridSpan w:val="3"/>
          </w:tcPr>
          <w:p>
            <w:pPr>
              <w:jc w:val="right"/>
              <w:ind w:right="18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60" w:type="dxa"/>
            <w:vAlign w:val="bottom"/>
            <w:gridSpan w:val="3"/>
          </w:tcPr>
          <w:p>
            <w:pPr>
              <w:jc w:val="right"/>
              <w:ind w:right="18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700" w:type="dxa"/>
            <w:vAlign w:val="bottom"/>
            <w:gridSpan w:val="3"/>
          </w:tcPr>
          <w:p>
            <w:pPr>
              <w:jc w:val="right"/>
              <w:ind w:right="20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620" w:type="dxa"/>
            <w:vAlign w:val="bottom"/>
            <w:gridSpan w:val="3"/>
          </w:tcPr>
          <w:p>
            <w:pPr>
              <w:jc w:val="right"/>
              <w:ind w:right="20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80" w:type="dxa"/>
            <w:vAlign w:val="bottom"/>
            <w:gridSpan w:val="3"/>
          </w:tcPr>
          <w:p>
            <w:pPr>
              <w:jc w:val="right"/>
              <w:ind w:right="20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40" w:type="dxa"/>
            <w:vAlign w:val="bottom"/>
            <w:gridSpan w:val="3"/>
          </w:tcPr>
          <w:p>
            <w:pPr>
              <w:jc w:val="right"/>
              <w:ind w:right="18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520" w:type="dxa"/>
            <w:vAlign w:val="bottom"/>
            <w:gridSpan w:val="2"/>
          </w:tcPr>
          <w:p>
            <w:pPr>
              <w:jc w:val="right"/>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1300" w:type="dxa"/>
            <w:vAlign w:val="bottom"/>
            <w:gridSpan w:val="3"/>
          </w:tcPr>
          <w:p>
            <w:pPr>
              <w:spacing w:after="0" w:line="121" w:lineRule="exact"/>
              <w:rPr>
                <w:sz w:val="20"/>
                <w:szCs w:val="20"/>
                <w:color w:val="auto"/>
              </w:rPr>
            </w:pPr>
            <w:r>
              <w:rPr>
                <w:rFonts w:ascii="Times New Roman" w:cs="Times New Roman" w:eastAsia="Times New Roman" w:hAnsi="Times New Roman"/>
                <w:sz w:val="11"/>
                <w:szCs w:val="11"/>
                <w:b w:val="1"/>
                <w:bCs w:val="1"/>
                <w:color w:val="auto"/>
              </w:rPr>
              <w:t>Data</w:t>
            </w:r>
          </w:p>
        </w:tc>
        <w:tc>
          <w:tcPr>
            <w:tcW w:w="500" w:type="dxa"/>
            <w:vAlign w:val="bottom"/>
            <w:gridSpan w:val="2"/>
          </w:tcPr>
          <w:p>
            <w:pPr>
              <w:jc w:val="right"/>
              <w:ind w:right="61"/>
              <w:spacing w:after="0" w:line="121" w:lineRule="exact"/>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Pr>
          <w:p>
            <w:pPr>
              <w:spacing w:after="0"/>
              <w:rPr>
                <w:sz w:val="11"/>
                <w:szCs w:val="11"/>
                <w:color w:val="auto"/>
              </w:rPr>
            </w:pPr>
          </w:p>
        </w:tc>
        <w:tc>
          <w:tcPr>
            <w:tcW w:w="440" w:type="dxa"/>
            <w:vAlign w:val="bottom"/>
            <w:gridSpan w:val="2"/>
          </w:tcPr>
          <w:p>
            <w:pPr>
              <w:jc w:val="right"/>
              <w:ind w:right="38"/>
              <w:spacing w:after="0" w:line="121" w:lineRule="exact"/>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Pr>
          <w:p>
            <w:pPr>
              <w:spacing w:after="0"/>
              <w:rPr>
                <w:sz w:val="11"/>
                <w:szCs w:val="11"/>
                <w:color w:val="auto"/>
              </w:rPr>
            </w:pPr>
          </w:p>
        </w:tc>
        <w:tc>
          <w:tcPr>
            <w:tcW w:w="700" w:type="dxa"/>
            <w:vAlign w:val="bottom"/>
            <w:gridSpan w:val="2"/>
          </w:tcPr>
          <w:p>
            <w:pPr>
              <w:jc w:val="right"/>
              <w:ind w:right="158"/>
              <w:spacing w:after="0" w:line="121" w:lineRule="exact"/>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Pr>
          <w:p>
            <w:pPr>
              <w:spacing w:after="0"/>
              <w:rPr>
                <w:sz w:val="11"/>
                <w:szCs w:val="11"/>
                <w:color w:val="auto"/>
              </w:rPr>
            </w:pPr>
          </w:p>
        </w:tc>
        <w:tc>
          <w:tcPr>
            <w:tcW w:w="680" w:type="dxa"/>
            <w:vAlign w:val="bottom"/>
            <w:gridSpan w:val="2"/>
          </w:tcPr>
          <w:p>
            <w:pPr>
              <w:jc w:val="right"/>
              <w:ind w:right="158"/>
              <w:spacing w:after="0" w:line="121" w:lineRule="exact"/>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Pr>
          <w:p>
            <w:pPr>
              <w:spacing w:after="0"/>
              <w:rPr>
                <w:sz w:val="11"/>
                <w:szCs w:val="11"/>
                <w:color w:val="auto"/>
              </w:rPr>
            </w:pPr>
          </w:p>
        </w:tc>
        <w:tc>
          <w:tcPr>
            <w:tcW w:w="500" w:type="dxa"/>
            <w:vAlign w:val="bottom"/>
            <w:gridSpan w:val="2"/>
          </w:tcPr>
          <w:p>
            <w:pPr>
              <w:jc w:val="right"/>
              <w:ind w:right="58"/>
              <w:spacing w:after="0" w:line="121" w:lineRule="exact"/>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Pr>
          <w:p>
            <w:pPr>
              <w:spacing w:after="0"/>
              <w:rPr>
                <w:sz w:val="11"/>
                <w:szCs w:val="11"/>
                <w:color w:val="auto"/>
              </w:rPr>
            </w:pPr>
          </w:p>
        </w:tc>
        <w:tc>
          <w:tcPr>
            <w:tcW w:w="420" w:type="dxa"/>
            <w:vAlign w:val="bottom"/>
            <w:gridSpan w:val="2"/>
          </w:tcPr>
          <w:p>
            <w:pPr>
              <w:jc w:val="right"/>
              <w:ind w:right="18"/>
              <w:spacing w:after="0" w:line="121" w:lineRule="exact"/>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720" w:type="dxa"/>
            <w:vAlign w:val="bottom"/>
            <w:gridSpan w:val="2"/>
          </w:tcPr>
          <w:p>
            <w:pPr>
              <w:jc w:val="right"/>
              <w:ind w:right="158"/>
              <w:spacing w:after="0" w:line="121" w:lineRule="exact"/>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Pr>
          <w:p>
            <w:pPr>
              <w:spacing w:after="0"/>
              <w:rPr>
                <w:sz w:val="11"/>
                <w:szCs w:val="11"/>
                <w:color w:val="auto"/>
              </w:rPr>
            </w:pPr>
          </w:p>
        </w:tc>
        <w:tc>
          <w:tcPr>
            <w:tcW w:w="680" w:type="dxa"/>
            <w:vAlign w:val="bottom"/>
            <w:gridSpan w:val="2"/>
          </w:tcPr>
          <w:p>
            <w:pPr>
              <w:jc w:val="right"/>
              <w:ind w:right="158"/>
              <w:spacing w:after="0" w:line="121" w:lineRule="exact"/>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Pr>
          <w:p>
            <w:pPr>
              <w:spacing w:after="0"/>
              <w:rPr>
                <w:sz w:val="11"/>
                <w:szCs w:val="11"/>
                <w:color w:val="auto"/>
              </w:rPr>
            </w:pPr>
          </w:p>
        </w:tc>
        <w:tc>
          <w:tcPr>
            <w:tcW w:w="520" w:type="dxa"/>
            <w:vAlign w:val="bottom"/>
            <w:gridSpan w:val="2"/>
          </w:tcPr>
          <w:p>
            <w:pPr>
              <w:jc w:val="right"/>
              <w:ind w:right="78"/>
              <w:spacing w:after="0" w:line="121"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1"/>
                <w:szCs w:val="11"/>
                <w:color w:val="auto"/>
              </w:rPr>
            </w:pPr>
          </w:p>
        </w:tc>
        <w:tc>
          <w:tcPr>
            <w:tcW w:w="420" w:type="dxa"/>
            <w:vAlign w:val="bottom"/>
            <w:gridSpan w:val="2"/>
          </w:tcPr>
          <w:p>
            <w:pPr>
              <w:jc w:val="right"/>
              <w:ind w:right="18"/>
              <w:spacing w:after="0" w:line="121" w:lineRule="exact"/>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Pr>
          <w:p>
            <w:pPr>
              <w:spacing w:after="0"/>
              <w:rPr>
                <w:sz w:val="11"/>
                <w:szCs w:val="11"/>
                <w:color w:val="auto"/>
              </w:rPr>
            </w:pPr>
          </w:p>
        </w:tc>
        <w:tc>
          <w:tcPr>
            <w:tcW w:w="700" w:type="dxa"/>
            <w:vAlign w:val="bottom"/>
            <w:gridSpan w:val="2"/>
          </w:tcPr>
          <w:p>
            <w:pPr>
              <w:jc w:val="right"/>
              <w:ind w:right="178"/>
              <w:spacing w:after="0" w:line="121"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1"/>
                <w:szCs w:val="11"/>
                <w:color w:val="auto"/>
              </w:rPr>
            </w:pPr>
          </w:p>
        </w:tc>
        <w:tc>
          <w:tcPr>
            <w:tcW w:w="660" w:type="dxa"/>
            <w:vAlign w:val="bottom"/>
            <w:gridSpan w:val="2"/>
          </w:tcPr>
          <w:p>
            <w:pPr>
              <w:jc w:val="right"/>
              <w:ind w:right="138"/>
              <w:spacing w:after="0" w:line="121"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1"/>
                <w:szCs w:val="11"/>
                <w:color w:val="auto"/>
              </w:rPr>
            </w:pPr>
          </w:p>
        </w:tc>
        <w:tc>
          <w:tcPr>
            <w:tcW w:w="520" w:type="dxa"/>
            <w:vAlign w:val="bottom"/>
            <w:gridSpan w:val="2"/>
          </w:tcPr>
          <w:p>
            <w:pPr>
              <w:jc w:val="right"/>
              <w:ind w:right="78"/>
              <w:spacing w:after="0" w:line="121"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920" w:type="dxa"/>
            <w:vAlign w:val="bottom"/>
            <w:tcBorders>
              <w:top w:val="single" w:sz="8" w:color="auto"/>
            </w:tcBorders>
            <w:gridSpan w:val="7"/>
          </w:tcPr>
          <w:p>
            <w:pPr>
              <w:jc w:val="right"/>
              <w:ind w:right="620"/>
              <w:spacing w:after="0" w:line="107" w:lineRule="exact"/>
              <w:rPr>
                <w:sz w:val="20"/>
                <w:szCs w:val="20"/>
                <w:color w:val="auto"/>
              </w:rPr>
            </w:pPr>
            <w:r>
              <w:rPr>
                <w:rFonts w:ascii="Times New Roman" w:cs="Times New Roman" w:eastAsia="Times New Roman" w:hAnsi="Times New Roman"/>
                <w:sz w:val="11"/>
                <w:szCs w:val="11"/>
                <w:b w:val="1"/>
                <w:bCs w:val="1"/>
                <w:color w:val="auto"/>
                <w:w w:val="97"/>
              </w:rPr>
              <w:t>(as a percentage of revenue)</w:t>
            </w:r>
          </w:p>
        </w:tc>
        <w:tc>
          <w:tcPr>
            <w:tcW w:w="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Sales and marketing</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2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8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2"/>
                <w:szCs w:val="12"/>
                <w:color w:val="auto"/>
              </w:rPr>
              <w:t>General and</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administrative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8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8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8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20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8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20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80" w:type="dxa"/>
            <w:vAlign w:val="bottom"/>
            <w:gridSpan w:val="2"/>
            <w:shd w:val="clear" w:color="auto" w:fill="CCEEFF"/>
          </w:tcPr>
          <w:p>
            <w:pPr>
              <w:ind w:left="220"/>
              <w:spacing w:after="0" w:line="115" w:lineRule="exact"/>
              <w:rPr>
                <w:sz w:val="20"/>
                <w:szCs w:val="20"/>
                <w:color w:val="auto"/>
              </w:rPr>
            </w:pPr>
            <w:r>
              <w:rPr>
                <w:rFonts w:ascii="Times New Roman" w:cs="Times New Roman" w:eastAsia="Times New Roman" w:hAnsi="Times New Roman"/>
                <w:sz w:val="12"/>
                <w:szCs w:val="12"/>
                <w:color w:val="auto"/>
              </w:rPr>
              <w:t>Total operating</w:t>
            </w:r>
          </w:p>
        </w:tc>
        <w:tc>
          <w:tcPr>
            <w:tcW w:w="4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expenses</w:t>
            </w:r>
          </w:p>
        </w:tc>
        <w:tc>
          <w:tcPr>
            <w:tcW w:w="4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3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Operating loss</w:t>
            </w: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(93)</w:t>
            </w: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(81)</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(81)</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(72)</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(76)</w:t>
            </w:r>
          </w:p>
        </w:tc>
        <w:tc>
          <w:tcPr>
            <w:tcW w:w="580" w:type="dxa"/>
            <w:vAlign w:val="bottom"/>
            <w:gridSpan w:val="3"/>
          </w:tcPr>
          <w:p>
            <w:pPr>
              <w:jc w:val="right"/>
              <w:ind w:right="67"/>
              <w:spacing w:after="0"/>
              <w:rPr>
                <w:sz w:val="20"/>
                <w:szCs w:val="20"/>
                <w:color w:val="auto"/>
              </w:rPr>
            </w:pPr>
            <w:r>
              <w:rPr>
                <w:rFonts w:ascii="Times New Roman" w:cs="Times New Roman" w:eastAsia="Times New Roman" w:hAnsi="Times New Roman"/>
                <w:sz w:val="12"/>
                <w:szCs w:val="12"/>
                <w:color w:val="auto"/>
              </w:rPr>
              <w:t>(60)</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(43)</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(41)</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(52)</w:t>
            </w: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(25)</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(18)</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(15)</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8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Other (income)/expense,</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w:t>
            </w: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Interest expense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8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8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0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6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8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8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8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Interest income</w:t>
            </w:r>
          </w:p>
        </w:tc>
        <w:tc>
          <w:tcPr>
            <w:tcW w:w="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w:t>
            </w: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(6)</w:t>
            </w:r>
          </w:p>
        </w:tc>
        <w:tc>
          <w:tcPr>
            <w:tcW w:w="580" w:type="dxa"/>
            <w:vAlign w:val="bottom"/>
            <w:gridSpan w:val="3"/>
            <w:shd w:val="clear" w:color="auto" w:fill="CCEEFF"/>
          </w:tcPr>
          <w:p>
            <w:pPr>
              <w:jc w:val="right"/>
              <w:ind w:right="67"/>
              <w:spacing w:after="0"/>
              <w:rPr>
                <w:sz w:val="20"/>
                <w:szCs w:val="20"/>
                <w:color w:val="auto"/>
              </w:rPr>
            </w:pPr>
            <w:r>
              <w:rPr>
                <w:rFonts w:ascii="Times New Roman" w:cs="Times New Roman" w:eastAsia="Times New Roman" w:hAnsi="Times New Roman"/>
                <w:sz w:val="12"/>
                <w:szCs w:val="12"/>
                <w:color w:val="auto"/>
              </w:rPr>
              <w:t>(5)</w:t>
            </w: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8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2"/>
                <w:szCs w:val="12"/>
                <w:color w:val="auto"/>
              </w:rPr>
              <w:t>Change in fair value of</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warrant liabilities</w:t>
            </w: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(4)</w:t>
            </w: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(3)</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(1)</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tcPr>
          <w:p>
            <w:pPr>
              <w:spacing w:after="0"/>
              <w:rPr>
                <w:sz w:val="13"/>
                <w:szCs w:val="13"/>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(1)</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80" w:type="dxa"/>
            <w:vAlign w:val="bottom"/>
            <w:gridSpan w:val="2"/>
            <w:shd w:val="clear" w:color="auto" w:fill="CCEEFF"/>
          </w:tcPr>
          <w:p>
            <w:pPr>
              <w:ind w:left="60"/>
              <w:spacing w:after="0" w:line="115" w:lineRule="exact"/>
              <w:rPr>
                <w:sz w:val="20"/>
                <w:szCs w:val="20"/>
                <w:color w:val="auto"/>
              </w:rPr>
            </w:pPr>
            <w:r>
              <w:rPr>
                <w:rFonts w:ascii="Times New Roman" w:cs="Times New Roman" w:eastAsia="Times New Roman" w:hAnsi="Times New Roman"/>
                <w:sz w:val="12"/>
                <w:szCs w:val="12"/>
                <w:color w:val="auto"/>
              </w:rPr>
              <w:t>Loss on debt</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extinguishment</w:t>
            </w:r>
          </w:p>
        </w:tc>
        <w:tc>
          <w:tcPr>
            <w:tcW w:w="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80" w:type="dxa"/>
            <w:vAlign w:val="bottom"/>
            <w:gridSpan w:val="2"/>
          </w:tcPr>
          <w:p>
            <w:pPr>
              <w:ind w:left="220"/>
              <w:spacing w:after="0" w:line="122" w:lineRule="exact"/>
              <w:rPr>
                <w:sz w:val="20"/>
                <w:szCs w:val="20"/>
                <w:color w:val="auto"/>
              </w:rPr>
            </w:pPr>
            <w:r>
              <w:rPr>
                <w:rFonts w:ascii="Times New Roman" w:cs="Times New Roman" w:eastAsia="Times New Roman" w:hAnsi="Times New Roman"/>
                <w:sz w:val="12"/>
                <w:szCs w:val="12"/>
                <w:color w:val="auto"/>
              </w:rPr>
              <w:t>Total other</w:t>
            </w:r>
          </w:p>
        </w:tc>
        <w:tc>
          <w:tcPr>
            <w:tcW w:w="4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2"/>
          </w:tcPr>
          <w:p>
            <w:pPr>
              <w:ind w:left="340"/>
              <w:spacing w:after="0" w:line="134" w:lineRule="exact"/>
              <w:rPr>
                <w:sz w:val="20"/>
                <w:szCs w:val="20"/>
                <w:color w:val="auto"/>
              </w:rPr>
            </w:pPr>
            <w:r>
              <w:rPr>
                <w:rFonts w:ascii="Times New Roman" w:cs="Times New Roman" w:eastAsia="Times New Roman" w:hAnsi="Times New Roman"/>
                <w:sz w:val="12"/>
                <w:szCs w:val="12"/>
                <w:color w:val="auto"/>
              </w:rPr>
              <w:t>(income)/expense,</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net</w:t>
            </w:r>
          </w:p>
        </w:tc>
        <w:tc>
          <w:tcPr>
            <w:tcW w:w="4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tcPr>
          <w:p>
            <w:pPr>
              <w:spacing w:after="0"/>
              <w:rPr>
                <w:sz w:val="13"/>
                <w:szCs w:val="13"/>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(2)</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60" w:type="dxa"/>
            <w:vAlign w:val="bottom"/>
          </w:tcPr>
          <w:p>
            <w:pPr>
              <w:spacing w:after="0"/>
              <w:rPr>
                <w:sz w:val="13"/>
                <w:szCs w:val="13"/>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8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Loss before provision for</w:t>
            </w:r>
          </w:p>
        </w:tc>
        <w:tc>
          <w:tcPr>
            <w:tcW w:w="4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income taxes</w:t>
            </w: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(93)</w:t>
            </w:r>
          </w:p>
        </w:tc>
        <w:tc>
          <w:tcPr>
            <w:tcW w:w="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(82)</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(82)</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(70)</w:t>
            </w: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(75)</w:t>
            </w:r>
          </w:p>
        </w:tc>
        <w:tc>
          <w:tcPr>
            <w:tcW w:w="580" w:type="dxa"/>
            <w:vAlign w:val="bottom"/>
            <w:gridSpan w:val="3"/>
            <w:shd w:val="clear" w:color="auto" w:fill="CCEEFF"/>
          </w:tcPr>
          <w:p>
            <w:pPr>
              <w:jc w:val="right"/>
              <w:ind w:right="67"/>
              <w:spacing w:after="0"/>
              <w:rPr>
                <w:sz w:val="20"/>
                <w:szCs w:val="20"/>
                <w:color w:val="auto"/>
              </w:rPr>
            </w:pPr>
            <w:r>
              <w:rPr>
                <w:rFonts w:ascii="Times New Roman" w:cs="Times New Roman" w:eastAsia="Times New Roman" w:hAnsi="Times New Roman"/>
                <w:sz w:val="12"/>
                <w:szCs w:val="12"/>
                <w:color w:val="auto"/>
              </w:rPr>
              <w:t>(64)</w:t>
            </w: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(42)</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(43)</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(54)</w:t>
            </w: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(26)</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(20)</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(17)</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8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2"/>
                <w:szCs w:val="12"/>
                <w:color w:val="auto"/>
              </w:rPr>
              <w:t>Provision for income</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taxes</w:t>
            </w:r>
          </w:p>
        </w:tc>
        <w:tc>
          <w:tcPr>
            <w:tcW w:w="4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540" w:type="dxa"/>
            <w:vAlign w:val="bottom"/>
            <w:gridSpan w:val="2"/>
          </w:tcPr>
          <w:p>
            <w:pPr>
              <w:jc w:val="right"/>
              <w:ind w:right="107"/>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8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Net loss and</w:t>
            </w:r>
          </w:p>
        </w:tc>
        <w:tc>
          <w:tcPr>
            <w:tcW w:w="4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comprehensive loss</w:t>
            </w:r>
          </w:p>
        </w:tc>
        <w:tc>
          <w:tcPr>
            <w:tcW w:w="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  (93)%</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(82)%</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(82)%</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(70)%</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(75)%</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(42)%</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(43)%</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(54)%</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(26)%</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(17)%</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Quarterly Trends</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Revenue and Seasonality</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quarterly services revenue generally increased through the fiscal quarters presented due to increases in newly enrolled members.</w:t>
      </w:r>
    </w:p>
    <w:p>
      <w:pPr>
        <w:spacing w:after="0" w:line="220" w:lineRule="exact"/>
        <w:rPr>
          <w:sz w:val="20"/>
          <w:szCs w:val="20"/>
          <w:color w:val="auto"/>
        </w:rPr>
      </w:pPr>
    </w:p>
    <w:p>
      <w:pPr>
        <w:jc w:val="both"/>
        <w:ind w:left="180" w:right="220" w:firstLine="436"/>
        <w:spacing w:after="0" w:line="251" w:lineRule="auto"/>
        <w:rPr>
          <w:sz w:val="20"/>
          <w:szCs w:val="20"/>
          <w:color w:val="auto"/>
        </w:rPr>
      </w:pPr>
      <w:r>
        <w:rPr>
          <w:rFonts w:ascii="Times New Roman" w:cs="Times New Roman" w:eastAsia="Times New Roman" w:hAnsi="Times New Roman"/>
          <w:sz w:val="18"/>
          <w:szCs w:val="18"/>
          <w:color w:val="auto"/>
        </w:rPr>
        <w:t>A significant proportion of our sales largely follows benefit enrollment schedules. We close new deals and expansions of existing deals with customers and channel partners throughout the year, often as they prepare benefit packages for the following year, and many of our existing customers and channel partners evaluate benefits renewals on a calendar-year basis. This cycle generally leads to the largest number of new member enrollments in the first quarter, which aligns with many open enrollment periods, when many customers and channel partners launch new offerings and conduct the largest member outreach campaigns. We deliver connected devices near each member’s start date in our programs, and we recognize revenue from those connected devices together with our services revenue during the early months following a member’s enrollment. Thereafter, we recognize additional revenue as we continue to provide ongoing care services, but we generally do not provide additional devices unless members enroll in a new program. This has generally resulted in higher hardware revenue in the first quarter, followed by a decrease in hardware revenue as the ongoing services become the primary revenue source.</w:t>
      </w:r>
    </w:p>
    <w:p>
      <w:pPr>
        <w:spacing w:after="0" w:line="12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300"/>
          </w:cols>
          <w:pgMar w:left="320" w:top="451" w:right="2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18"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Our cost of revenue per member has typically been highest in the first quarter because we generally enroll the largest number of new members during that time, which results in shipments of new devices and increased Care Team costs to support newly enrolled members during the early months of their respective enrollment. The bundled cost of our care services and the connected devices initially exceeds their separate, standalone prices, resulting in lower initial margins. After the early months following their enrollment, our members generally require less support, which lowers Care Team costs for those members, and we generally do not provide additional devices unless a member enrolls in a new program. As a result, our gross margin historically has improved in the months following seasonal periods of high new member enrollments, typically beginning in the second quarter and continuing for the rest of the fiscal year. Historically, our gross margin in a given period has also generally increased compared to the same period of the prior year due to decreased personnel costs per total members and year-over-year improvements in strategic efficiency initiatives such as improving the effectiveness of our Care Team interventions and Care Team time management, as well as expanded use of supporting technologies such as tools for Care Team message support described above.</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8"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Operating expenses have generally risen over time, primarily due to increased personnel costs to support business growth. However, operating expenses as a percentage of revenue have generally decreased over time primarily due to declining personnel costs as a percentage of revenue, arising from economies of scale and strategic resource deployment, partially offset by administrative and marketing fees that we pay to channel partners for their services in support of our member enrollments, which have largely remained consistent as a percentage of revenue. General and administrative costs increased for the three months ended March 31, 2025 compared to the three months ended March 31, 2024 and for the year ended December 31, 2024 compared to the year ended December 31, 2023, mainly due to higher non-capitalizable professional and outside service expenses related to financial statement audits and preparing for public company operations, as well as personnel costs related to preparing for public company operations, and share-based compensation expenses, including those associated with secondary sales of common stock by certain current and former employees. See Note 12 to our audited consolidated financial statements and Note 9 to our unaudited condensed consolidated financial statements included elsewhere in this prospectus for additional detail on the secondary transactions.</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Quarterly Trends in Non-GAAP Financial Measures</w:t>
      </w:r>
    </w:p>
    <w:p>
      <w:pPr>
        <w:spacing w:after="0" w:line="118"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The following table sets forth our non-GAAP gross profit, non-GAAP gross margin, non-GAAP operating expenses, non-GAAP operating expenses margin, adjusted EBITDA, and adjusted EBITDA margin for each of the 13 quarterly periods ended March 31, 2025. See the section titled “Non-GAAP Financial Measures” for additional information, including the details of how we calculate each financial measure.</w:t>
      </w:r>
    </w:p>
    <w:p>
      <w:pPr>
        <w:spacing w:after="0" w:line="206" w:lineRule="exact"/>
        <w:rPr>
          <w:sz w:val="20"/>
          <w:szCs w:val="20"/>
          <w:color w:val="auto"/>
        </w:rPr>
      </w:pPr>
    </w:p>
    <w:tbl>
      <w:tblPr>
        <w:tblLayout w:type="fixed"/>
        <w:tblInd w:w="180" w:type="dxa"/>
        <w:tblCellMar>
          <w:top w:w="0" w:type="dxa"/>
          <w:left w:w="0" w:type="dxa"/>
          <w:bottom w:w="0" w:type="dxa"/>
          <w:right w:w="0" w:type="dxa"/>
        </w:tblCellMar>
      </w:tblPr>
      <w:tr>
        <w:trPr>
          <w:trHeight w:val="136"/>
        </w:trPr>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Three Months Ended</w:t>
            </w: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74"/>
        </w:trPr>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gridSpan w:val="2"/>
          </w:tcPr>
          <w:p>
            <w:pPr>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700" w:type="dxa"/>
            <w:vAlign w:val="bottom"/>
          </w:tcPr>
          <w:p>
            <w:pPr>
              <w:jc w:val="right"/>
              <w:ind w:right="182"/>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900" w:type="dxa"/>
            <w:vAlign w:val="bottom"/>
            <w:gridSpan w:val="2"/>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60" w:type="dxa"/>
            <w:vAlign w:val="bottom"/>
            <w:gridSpan w:val="2"/>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700" w:type="dxa"/>
            <w:vAlign w:val="bottom"/>
            <w:gridSpan w:val="2"/>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660" w:type="dxa"/>
            <w:vAlign w:val="bottom"/>
          </w:tcPr>
          <w:p>
            <w:pPr>
              <w:jc w:val="right"/>
              <w:ind w:right="122"/>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980" w:type="dxa"/>
            <w:vAlign w:val="bottom"/>
            <w:gridSpan w:val="2"/>
          </w:tcPr>
          <w:p>
            <w:pPr>
              <w:ind w:left="10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20" w:type="dxa"/>
            <w:vAlign w:val="bottom"/>
            <w:gridSpan w:val="2"/>
          </w:tcPr>
          <w:p>
            <w:pPr>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72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640" w:type="dxa"/>
            <w:vAlign w:val="bottom"/>
          </w:tcPr>
          <w:p>
            <w:pPr>
              <w:jc w:val="right"/>
              <w:ind w:right="142"/>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90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8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520" w:type="dxa"/>
            <w:vAlign w:val="bottom"/>
            <w:gridSpan w:val="2"/>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180" w:type="dxa"/>
            <w:vAlign w:val="bottom"/>
          </w:tcPr>
          <w:p>
            <w:pPr>
              <w:spacing w:after="0"/>
              <w:rPr>
                <w:sz w:val="6"/>
                <w:szCs w:val="6"/>
                <w:color w:val="auto"/>
              </w:rPr>
            </w:pPr>
          </w:p>
        </w:tc>
      </w:tr>
      <w:tr>
        <w:trPr>
          <w:trHeight w:val="134"/>
        </w:trPr>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1"/>
                <w:szCs w:val="11"/>
                <w:b w:val="1"/>
                <w:bCs w:val="1"/>
                <w:color w:val="auto"/>
              </w:rPr>
              <w:t>2022</w:t>
            </w:r>
          </w:p>
        </w:tc>
        <w:tc>
          <w:tcPr>
            <w:tcW w:w="7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1"/>
                <w:szCs w:val="11"/>
                <w:b w:val="1"/>
                <w:bCs w:val="1"/>
                <w:color w:val="auto"/>
              </w:rPr>
              <w:t>2022</w:t>
            </w: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1"/>
                <w:szCs w:val="11"/>
                <w:b w:val="1"/>
                <w:bCs w:val="1"/>
                <w:color w:val="auto"/>
              </w:rPr>
              <w:t>2023</w:t>
            </w:r>
          </w:p>
        </w:tc>
        <w:tc>
          <w:tcPr>
            <w:tcW w:w="6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1"/>
                <w:szCs w:val="11"/>
                <w:b w:val="1"/>
                <w:bCs w:val="1"/>
                <w:color w:val="auto"/>
              </w:rPr>
              <w:t>2023</w:t>
            </w:r>
          </w:p>
        </w:tc>
        <w:tc>
          <w:tcPr>
            <w:tcW w:w="2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80" w:type="dxa"/>
            <w:vAlign w:val="bottom"/>
          </w:tcPr>
          <w:p>
            <w:pPr>
              <w:spacing w:after="0"/>
              <w:rPr>
                <w:sz w:val="11"/>
                <w:szCs w:val="11"/>
                <w:color w:val="auto"/>
              </w:rPr>
            </w:pPr>
          </w:p>
        </w:tc>
      </w:tr>
      <w:tr>
        <w:trPr>
          <w:trHeight w:val="100"/>
        </w:trPr>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60" w:type="dxa"/>
            <w:vAlign w:val="bottom"/>
            <w:gridSpan w:val="5"/>
          </w:tcPr>
          <w:p>
            <w:pPr>
              <w:jc w:val="right"/>
              <w:ind w:right="479"/>
              <w:spacing w:after="0" w:line="101" w:lineRule="exact"/>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115"/>
        </w:trPr>
        <w:tc>
          <w:tcPr>
            <w:tcW w:w="74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Non-GAAP</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52"/>
        </w:trPr>
        <w:tc>
          <w:tcPr>
            <w:tcW w:w="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gross profit</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8,528</w:t>
            </w:r>
          </w:p>
        </w:tc>
        <w:tc>
          <w:tcPr>
            <w:tcW w:w="7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rPr>
              <w:t>$ 12,300</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11,226</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14,561</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rPr>
              <w:t>13,545</w:t>
            </w:r>
          </w:p>
        </w:tc>
        <w:tc>
          <w:tcPr>
            <w:tcW w:w="6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$ 17,839</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2"/>
                <w:szCs w:val="12"/>
                <w:color w:val="auto"/>
              </w:rPr>
              <w:t>21,193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rPr>
              <w:t>21,248</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18,371</w:t>
            </w:r>
          </w:p>
        </w:tc>
        <w:tc>
          <w:tcPr>
            <w:tcW w:w="6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rPr>
              <w:t>$25,894</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rPr>
              <w:t>29,680</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33,312</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33,118</w:t>
            </w:r>
          </w:p>
        </w:tc>
        <w:tc>
          <w:tcPr>
            <w:tcW w:w="180" w:type="dxa"/>
            <w:vAlign w:val="bottom"/>
            <w:shd w:val="clear" w:color="auto" w:fill="CCEEFF"/>
          </w:tcPr>
          <w:p>
            <w:pPr>
              <w:spacing w:after="0"/>
              <w:rPr>
                <w:sz w:val="13"/>
                <w:szCs w:val="13"/>
                <w:color w:val="auto"/>
              </w:rPr>
            </w:pPr>
          </w:p>
        </w:tc>
      </w:tr>
      <w:tr>
        <w:trPr>
          <w:trHeight w:val="115"/>
        </w:trPr>
        <w:tc>
          <w:tcPr>
            <w:tcW w:w="74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Non-GAAP</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34"/>
        </w:trPr>
        <w:tc>
          <w:tcPr>
            <w:tcW w:w="74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gross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52"/>
        </w:trPr>
        <w:tc>
          <w:tcPr>
            <w:tcW w:w="7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margin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42.2%</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56.5%</w:t>
            </w:r>
          </w:p>
        </w:tc>
        <w:tc>
          <w:tcPr>
            <w:tcW w:w="180" w:type="dxa"/>
            <w:vAlign w:val="bottom"/>
          </w:tcPr>
          <w:p>
            <w:pPr>
              <w:spacing w:after="0"/>
              <w:rPr>
                <w:sz w:val="13"/>
                <w:szCs w:val="13"/>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51.2%</w:t>
            </w:r>
          </w:p>
        </w:tc>
        <w:tc>
          <w:tcPr>
            <w:tcW w:w="180" w:type="dxa"/>
            <w:vAlign w:val="bottom"/>
          </w:tcPr>
          <w:p>
            <w:pPr>
              <w:spacing w:after="0"/>
              <w:rPr>
                <w:sz w:val="13"/>
                <w:szCs w:val="13"/>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57.6%</w:t>
            </w:r>
          </w:p>
        </w:tc>
        <w:tc>
          <w:tcPr>
            <w:tcW w:w="120" w:type="dxa"/>
            <w:vAlign w:val="bottom"/>
          </w:tcPr>
          <w:p>
            <w:pPr>
              <w:spacing w:after="0"/>
              <w:rPr>
                <w:sz w:val="13"/>
                <w:szCs w:val="13"/>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51.3%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57.7%</w:t>
            </w:r>
          </w:p>
        </w:tc>
        <w:tc>
          <w:tcPr>
            <w:tcW w:w="240" w:type="dxa"/>
            <w:vAlign w:val="bottom"/>
          </w:tcPr>
          <w:p>
            <w:pPr>
              <w:spacing w:after="0"/>
              <w:rPr>
                <w:sz w:val="13"/>
                <w:szCs w:val="13"/>
                <w:color w:val="auto"/>
              </w:rPr>
            </w:pP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rPr>
              <w:t>64.4%</w:t>
            </w:r>
          </w:p>
        </w:tc>
        <w:tc>
          <w:tcPr>
            <w:tcW w:w="140" w:type="dxa"/>
            <w:vAlign w:val="bottom"/>
          </w:tcPr>
          <w:p>
            <w:pPr>
              <w:spacing w:after="0"/>
              <w:rPr>
                <w:sz w:val="13"/>
                <w:szCs w:val="13"/>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65.3%</w:t>
            </w:r>
          </w:p>
        </w:tc>
        <w:tc>
          <w:tcPr>
            <w:tcW w:w="120" w:type="dxa"/>
            <w:vAlign w:val="bottom"/>
          </w:tcPr>
          <w:p>
            <w:pPr>
              <w:spacing w:after="0"/>
              <w:rPr>
                <w:sz w:val="13"/>
                <w:szCs w:val="13"/>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52.3%</w:t>
            </w: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62.8%</w:t>
            </w:r>
          </w:p>
        </w:tc>
        <w:tc>
          <w:tcPr>
            <w:tcW w:w="200" w:type="dxa"/>
            <w:vAlign w:val="bottom"/>
          </w:tcPr>
          <w:p>
            <w:pPr>
              <w:spacing w:after="0"/>
              <w:rPr>
                <w:sz w:val="13"/>
                <w:szCs w:val="13"/>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65.2%</w:t>
            </w:r>
          </w:p>
        </w:tc>
        <w:tc>
          <w:tcPr>
            <w:tcW w:w="180" w:type="dxa"/>
            <w:vAlign w:val="bottom"/>
          </w:tcPr>
          <w:p>
            <w:pPr>
              <w:spacing w:after="0"/>
              <w:rPr>
                <w:sz w:val="13"/>
                <w:szCs w:val="13"/>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69.4%</w:t>
            </w:r>
          </w:p>
        </w:tc>
        <w:tc>
          <w:tcPr>
            <w:tcW w:w="14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60.3%</w:t>
            </w:r>
          </w:p>
        </w:tc>
      </w:tr>
      <w:tr>
        <w:trPr>
          <w:trHeight w:val="115"/>
        </w:trPr>
        <w:tc>
          <w:tcPr>
            <w:tcW w:w="74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Non-GAAP</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34"/>
        </w:trPr>
        <w:tc>
          <w:tcPr>
            <w:tcW w:w="740" w:type="dxa"/>
            <w:vAlign w:val="bottom"/>
            <w:shd w:val="clear" w:color="auto" w:fill="CCEEFF"/>
          </w:tcPr>
          <w:p>
            <w:pPr>
              <w:ind w:left="120"/>
              <w:spacing w:after="0" w:line="134" w:lineRule="exact"/>
              <w:rPr>
                <w:sz w:val="20"/>
                <w:szCs w:val="20"/>
                <w:color w:val="auto"/>
              </w:rPr>
            </w:pPr>
            <w:r>
              <w:rPr>
                <w:rFonts w:ascii="Times New Roman" w:cs="Times New Roman" w:eastAsia="Times New Roman" w:hAnsi="Times New Roman"/>
                <w:sz w:val="12"/>
                <w:szCs w:val="12"/>
                <w:color w:val="auto"/>
              </w:rPr>
              <w:t>operating</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52"/>
        </w:trPr>
        <w:tc>
          <w:tcPr>
            <w:tcW w:w="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expenses</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24,449</w:t>
            </w:r>
          </w:p>
        </w:tc>
        <w:tc>
          <w:tcPr>
            <w:tcW w:w="7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rPr>
              <w:t>$ 27,510</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26,186</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29,829</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rPr>
              <w:t>30,948</w:t>
            </w:r>
          </w:p>
        </w:tc>
        <w:tc>
          <w:tcPr>
            <w:tcW w:w="6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$ 33,461</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2"/>
                <w:szCs w:val="12"/>
                <w:color w:val="auto"/>
              </w:rPr>
              <w:t>31,053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rPr>
              <w:t>31,021</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32,370</w:t>
            </w:r>
          </w:p>
        </w:tc>
        <w:tc>
          <w:tcPr>
            <w:tcW w:w="6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rPr>
              <w:t>$32,680</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rPr>
              <w:t>34,815</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36,821</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37,336</w:t>
            </w:r>
          </w:p>
        </w:tc>
        <w:tc>
          <w:tcPr>
            <w:tcW w:w="180" w:type="dxa"/>
            <w:vAlign w:val="bottom"/>
            <w:shd w:val="clear" w:color="auto" w:fill="CCEEFF"/>
          </w:tcPr>
          <w:p>
            <w:pPr>
              <w:spacing w:after="0"/>
              <w:rPr>
                <w:sz w:val="13"/>
                <w:szCs w:val="13"/>
                <w:color w:val="auto"/>
              </w:rPr>
            </w:pPr>
          </w:p>
        </w:tc>
      </w:tr>
      <w:tr>
        <w:trPr>
          <w:trHeight w:val="115"/>
        </w:trPr>
        <w:tc>
          <w:tcPr>
            <w:tcW w:w="74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Non-GAAP</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34"/>
        </w:trPr>
        <w:tc>
          <w:tcPr>
            <w:tcW w:w="74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operating</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4"/>
        </w:trPr>
        <w:tc>
          <w:tcPr>
            <w:tcW w:w="74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expenses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52"/>
        </w:trPr>
        <w:tc>
          <w:tcPr>
            <w:tcW w:w="7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margin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129.8%</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133.1%</w:t>
            </w:r>
          </w:p>
        </w:tc>
        <w:tc>
          <w:tcPr>
            <w:tcW w:w="180" w:type="dxa"/>
            <w:vAlign w:val="bottom"/>
          </w:tcPr>
          <w:p>
            <w:pPr>
              <w:spacing w:after="0"/>
              <w:rPr>
                <w:sz w:val="13"/>
                <w:szCs w:val="13"/>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128.2%</w:t>
            </w:r>
          </w:p>
        </w:tc>
        <w:tc>
          <w:tcPr>
            <w:tcW w:w="180" w:type="dxa"/>
            <w:vAlign w:val="bottom"/>
          </w:tcPr>
          <w:p>
            <w:pPr>
              <w:spacing w:after="0"/>
              <w:rPr>
                <w:sz w:val="13"/>
                <w:szCs w:val="13"/>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125.9%</w:t>
            </w:r>
          </w:p>
        </w:tc>
        <w:tc>
          <w:tcPr>
            <w:tcW w:w="120" w:type="dxa"/>
            <w:vAlign w:val="bottom"/>
          </w:tcPr>
          <w:p>
            <w:pPr>
              <w:spacing w:after="0"/>
              <w:rPr>
                <w:sz w:val="13"/>
                <w:szCs w:val="13"/>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123.7%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114.7%</w:t>
            </w:r>
          </w:p>
        </w:tc>
        <w:tc>
          <w:tcPr>
            <w:tcW w:w="240" w:type="dxa"/>
            <w:vAlign w:val="bottom"/>
          </w:tcPr>
          <w:p>
            <w:pPr>
              <w:spacing w:after="0"/>
              <w:rPr>
                <w:sz w:val="13"/>
                <w:szCs w:val="13"/>
                <w:color w:val="auto"/>
              </w:rPr>
            </w:pP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rPr>
              <w:t>103.9%</w:t>
            </w:r>
          </w:p>
        </w:tc>
        <w:tc>
          <w:tcPr>
            <w:tcW w:w="140" w:type="dxa"/>
            <w:vAlign w:val="bottom"/>
          </w:tcPr>
          <w:p>
            <w:pPr>
              <w:spacing w:after="0"/>
              <w:rPr>
                <w:sz w:val="13"/>
                <w:szCs w:val="13"/>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103.4%</w:t>
            </w:r>
          </w:p>
        </w:tc>
        <w:tc>
          <w:tcPr>
            <w:tcW w:w="120" w:type="dxa"/>
            <w:vAlign w:val="bottom"/>
          </w:tcPr>
          <w:p>
            <w:pPr>
              <w:spacing w:after="0"/>
              <w:rPr>
                <w:sz w:val="13"/>
                <w:szCs w:val="13"/>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100.7%</w:t>
            </w: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84.6%</w:t>
            </w:r>
          </w:p>
        </w:tc>
        <w:tc>
          <w:tcPr>
            <w:tcW w:w="200" w:type="dxa"/>
            <w:vAlign w:val="bottom"/>
          </w:tcPr>
          <w:p>
            <w:pPr>
              <w:spacing w:after="0"/>
              <w:rPr>
                <w:sz w:val="13"/>
                <w:szCs w:val="13"/>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81.5%</w:t>
            </w:r>
          </w:p>
        </w:tc>
        <w:tc>
          <w:tcPr>
            <w:tcW w:w="180" w:type="dxa"/>
            <w:vAlign w:val="bottom"/>
          </w:tcPr>
          <w:p>
            <w:pPr>
              <w:spacing w:after="0"/>
              <w:rPr>
                <w:sz w:val="13"/>
                <w:szCs w:val="13"/>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81.8%</w:t>
            </w:r>
          </w:p>
        </w:tc>
        <w:tc>
          <w:tcPr>
            <w:tcW w:w="14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73.3%</w:t>
            </w:r>
          </w:p>
        </w:tc>
      </w:tr>
      <w:tr>
        <w:trPr>
          <w:trHeight w:val="115"/>
        </w:trPr>
        <w:tc>
          <w:tcPr>
            <w:tcW w:w="74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Adjusted</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52"/>
        </w:trPr>
        <w:tc>
          <w:tcPr>
            <w:tcW w:w="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EBITDA</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(15,921)</w:t>
            </w:r>
          </w:p>
        </w:tc>
        <w:tc>
          <w:tcPr>
            <w:tcW w:w="7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$(15,210)</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(14,960)</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(15,268)</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(17,403)</w:t>
            </w:r>
          </w:p>
        </w:tc>
        <w:tc>
          <w:tcPr>
            <w:tcW w:w="6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$(15,622)</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(9,860)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(9,773)</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(13,999)</w:t>
            </w:r>
          </w:p>
        </w:tc>
        <w:tc>
          <w:tcPr>
            <w:tcW w:w="6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 (6,786)</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(5,135)</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(3,509)</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(4,218)</w:t>
            </w:r>
          </w:p>
        </w:tc>
      </w:tr>
      <w:tr>
        <w:trPr>
          <w:trHeight w:val="115"/>
        </w:trPr>
        <w:tc>
          <w:tcPr>
            <w:tcW w:w="74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Adjusted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34"/>
        </w:trPr>
        <w:tc>
          <w:tcPr>
            <w:tcW w:w="74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EBITDA</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63"/>
        </w:trPr>
        <w:tc>
          <w:tcPr>
            <w:tcW w:w="7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margin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(78.8)%</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(69.9)%</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(68.2)%</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(60.4)%</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(50.6)%</w:t>
            </w:r>
          </w:p>
        </w:tc>
        <w:tc>
          <w:tcPr>
            <w:tcW w:w="240" w:type="dxa"/>
            <w:vAlign w:val="bottom"/>
          </w:tcPr>
          <w:p>
            <w:pPr>
              <w:spacing w:after="0"/>
              <w:rPr>
                <w:sz w:val="14"/>
                <w:szCs w:val="14"/>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(29.9)%</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(39.9)%</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14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(7.7)%</w:t>
            </w:r>
          </w:p>
        </w:tc>
      </w:tr>
    </w:tbl>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80"/>
          </w:cols>
          <w:pgMar w:left="320" w:top="451" w:right="4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Non-GAAP Gross Profit and Non-GAAP Gross Margin</w:t>
      </w:r>
    </w:p>
    <w:p>
      <w:pPr>
        <w:spacing w:after="0" w:line="118" w:lineRule="exact"/>
        <w:rPr>
          <w:sz w:val="20"/>
          <w:szCs w:val="20"/>
          <w:color w:val="auto"/>
        </w:rPr>
      </w:pPr>
    </w:p>
    <w:p>
      <w:pPr>
        <w:ind w:left="180" w:firstLine="436"/>
        <w:spacing w:after="0" w:line="277" w:lineRule="auto"/>
        <w:rPr>
          <w:sz w:val="20"/>
          <w:szCs w:val="20"/>
          <w:color w:val="auto"/>
        </w:rPr>
      </w:pPr>
      <w:r>
        <w:rPr>
          <w:rFonts w:ascii="Times New Roman" w:cs="Times New Roman" w:eastAsia="Times New Roman" w:hAnsi="Times New Roman"/>
          <w:sz w:val="18"/>
          <w:szCs w:val="18"/>
          <w:color w:val="auto"/>
        </w:rPr>
        <w:t>A reconciliation of gross profit and gross margin, the most directly comparable GAAP financial measures, to non-GAAP gross profit and non-GAAP gross margin is presented below:</w:t>
      </w:r>
    </w:p>
    <w:p>
      <w:pPr>
        <w:spacing w:after="0" w:line="193" w:lineRule="exact"/>
        <w:rPr>
          <w:sz w:val="20"/>
          <w:szCs w:val="20"/>
          <w:color w:val="auto"/>
        </w:rPr>
      </w:pPr>
    </w:p>
    <w:tbl>
      <w:tblPr>
        <w:tblLayout w:type="fixed"/>
        <w:tblInd w:w="180" w:type="dxa"/>
        <w:tblCellMar>
          <w:top w:w="0" w:type="dxa"/>
          <w:left w:w="0" w:type="dxa"/>
          <w:bottom w:w="0" w:type="dxa"/>
          <w:right w:w="0" w:type="dxa"/>
        </w:tblCellMar>
      </w:tblPr>
      <w:tr>
        <w:trPr>
          <w:trHeight w:val="136"/>
        </w:trPr>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74"/>
        </w:trPr>
        <w:tc>
          <w:tcPr>
            <w:tcW w:w="13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3"/>
          </w:tcPr>
          <w:p>
            <w:pPr>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60" w:type="dxa"/>
            <w:vAlign w:val="bottom"/>
          </w:tcPr>
          <w:p>
            <w:pPr>
              <w:spacing w:after="0"/>
              <w:rPr>
                <w:sz w:val="6"/>
                <w:szCs w:val="6"/>
                <w:color w:val="auto"/>
              </w:rPr>
            </w:pPr>
          </w:p>
        </w:tc>
        <w:tc>
          <w:tcPr>
            <w:tcW w:w="560" w:type="dxa"/>
            <w:vAlign w:val="bottom"/>
            <w:gridSpan w:val="2"/>
          </w:tcPr>
          <w:p>
            <w:pPr>
              <w:jc w:val="right"/>
              <w:ind w:right="18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60" w:type="dxa"/>
            <w:vAlign w:val="bottom"/>
            <w:gridSpan w:val="4"/>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20" w:type="dxa"/>
            <w:vAlign w:val="bottom"/>
            <w:gridSpan w:val="4"/>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60" w:type="dxa"/>
            <w:vAlign w:val="bottom"/>
            <w:gridSpan w:val="4"/>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60" w:type="dxa"/>
            <w:vAlign w:val="bottom"/>
          </w:tcPr>
          <w:p>
            <w:pPr>
              <w:spacing w:after="0"/>
              <w:rPr>
                <w:sz w:val="6"/>
                <w:szCs w:val="6"/>
                <w:color w:val="auto"/>
              </w:rPr>
            </w:pPr>
          </w:p>
        </w:tc>
        <w:tc>
          <w:tcPr>
            <w:tcW w:w="540" w:type="dxa"/>
            <w:vAlign w:val="bottom"/>
            <w:gridSpan w:val="2"/>
          </w:tcPr>
          <w:p>
            <w:pPr>
              <w:jc w:val="right"/>
              <w:ind w:right="14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80" w:type="dxa"/>
            <w:vAlign w:val="bottom"/>
            <w:gridSpan w:val="4"/>
          </w:tcPr>
          <w:p>
            <w:pPr>
              <w:ind w:left="8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20" w:type="dxa"/>
            <w:vAlign w:val="bottom"/>
            <w:gridSpan w:val="4"/>
          </w:tcPr>
          <w:p>
            <w:pPr>
              <w:jc w:val="right"/>
              <w:ind w:right="14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80" w:type="dxa"/>
            <w:vAlign w:val="bottom"/>
            <w:gridSpan w:val="4"/>
          </w:tcPr>
          <w:p>
            <w:pPr>
              <w:ind w:left="6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40" w:type="dxa"/>
            <w:vAlign w:val="bottom"/>
          </w:tcPr>
          <w:p>
            <w:pPr>
              <w:spacing w:after="0"/>
              <w:rPr>
                <w:sz w:val="6"/>
                <w:szCs w:val="6"/>
                <w:color w:val="auto"/>
              </w:rPr>
            </w:pPr>
          </w:p>
        </w:tc>
        <w:tc>
          <w:tcPr>
            <w:tcW w:w="560" w:type="dxa"/>
            <w:vAlign w:val="bottom"/>
            <w:gridSpan w:val="2"/>
          </w:tcPr>
          <w:p>
            <w:pPr>
              <w:jc w:val="right"/>
              <w:ind w:right="16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60" w:type="dxa"/>
            <w:vAlign w:val="bottom"/>
            <w:gridSpan w:val="4"/>
          </w:tcPr>
          <w:p>
            <w:pPr>
              <w:ind w:left="6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40" w:type="dxa"/>
            <w:vAlign w:val="bottom"/>
            <w:gridSpan w:val="4"/>
          </w:tcPr>
          <w:p>
            <w:pPr>
              <w:ind w:left="6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520" w:type="dxa"/>
            <w:vAlign w:val="bottom"/>
            <w:gridSpan w:val="3"/>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140" w:type="dxa"/>
            <w:vAlign w:val="bottom"/>
          </w:tcPr>
          <w:p>
            <w:pPr>
              <w:spacing w:after="0"/>
              <w:rPr>
                <w:sz w:val="6"/>
                <w:szCs w:val="6"/>
                <w:color w:val="auto"/>
              </w:rPr>
            </w:pPr>
          </w:p>
        </w:tc>
      </w:tr>
      <w:tr>
        <w:trPr>
          <w:trHeight w:val="134"/>
        </w:trPr>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40" w:type="dxa"/>
            <w:vAlign w:val="bottom"/>
          </w:tcPr>
          <w:p>
            <w:pPr>
              <w:spacing w:after="0"/>
              <w:rPr>
                <w:sz w:val="11"/>
                <w:szCs w:val="11"/>
                <w:color w:val="auto"/>
              </w:rPr>
            </w:pPr>
          </w:p>
        </w:tc>
      </w:tr>
      <w:tr>
        <w:trPr>
          <w:trHeight w:val="100"/>
        </w:trPr>
        <w:tc>
          <w:tcPr>
            <w:tcW w:w="1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40" w:type="dxa"/>
            <w:vAlign w:val="bottom"/>
            <w:gridSpan w:val="10"/>
          </w:tcPr>
          <w:p>
            <w:pPr>
              <w:jc w:val="right"/>
              <w:ind w:right="420"/>
              <w:spacing w:after="0" w:line="101" w:lineRule="exact"/>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147"/>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GAAP gross profit</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7,568</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$ 11,335</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10,233</w:t>
            </w:r>
          </w:p>
        </w:tc>
        <w:tc>
          <w:tcPr>
            <w:tcW w:w="1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13,655</w:t>
            </w:r>
          </w:p>
        </w:tc>
        <w:tc>
          <w:tcPr>
            <w:tcW w:w="1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12,580</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$16,898</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20,236</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20,257</w:t>
            </w:r>
          </w:p>
        </w:tc>
        <w:tc>
          <w:tcPr>
            <w:tcW w:w="1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17,348</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$24,834</w:t>
            </w:r>
          </w:p>
        </w:tc>
        <w:tc>
          <w:tcPr>
            <w:tcW w:w="1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28,561</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32,134</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31,900</w:t>
            </w:r>
          </w:p>
        </w:tc>
        <w:tc>
          <w:tcPr>
            <w:tcW w:w="140" w:type="dxa"/>
            <w:vAlign w:val="bottom"/>
            <w:shd w:val="clear" w:color="auto" w:fill="CCEEFF"/>
          </w:tcPr>
          <w:p>
            <w:pPr>
              <w:spacing w:after="0"/>
              <w:rPr>
                <w:sz w:val="12"/>
                <w:szCs w:val="12"/>
                <w:color w:val="auto"/>
              </w:rPr>
            </w:pPr>
          </w:p>
        </w:tc>
      </w:tr>
      <w:tr>
        <w:trPr>
          <w:trHeight w:val="147"/>
        </w:trPr>
        <w:tc>
          <w:tcPr>
            <w:tcW w:w="1320" w:type="dxa"/>
            <w:vAlign w:val="bottom"/>
          </w:tcPr>
          <w:p>
            <w:pPr>
              <w:spacing w:after="0"/>
              <w:rPr>
                <w:sz w:val="20"/>
                <w:szCs w:val="20"/>
                <w:color w:val="auto"/>
              </w:rPr>
            </w:pPr>
            <w:r>
              <w:rPr>
                <w:rFonts w:ascii="Times New Roman" w:cs="Times New Roman" w:eastAsia="Times New Roman" w:hAnsi="Times New Roman"/>
                <w:sz w:val="12"/>
                <w:szCs w:val="12"/>
                <w:color w:val="auto"/>
              </w:rPr>
              <w:t>Add: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15"/>
        </w:trPr>
        <w:tc>
          <w:tcPr>
            <w:tcW w:w="1320" w:type="dxa"/>
            <w:vAlign w:val="bottom"/>
            <w:shd w:val="clear" w:color="auto" w:fill="CCEEFF"/>
          </w:tcPr>
          <w:p>
            <w:pPr>
              <w:ind w:left="240"/>
              <w:spacing w:after="0" w:line="115" w:lineRule="exact"/>
              <w:rPr>
                <w:sz w:val="20"/>
                <w:szCs w:val="20"/>
                <w:color w:val="auto"/>
              </w:rPr>
            </w:pPr>
            <w:r>
              <w:rPr>
                <w:rFonts w:ascii="Times New Roman" w:cs="Times New Roman" w:eastAsia="Times New Roman" w:hAnsi="Times New Roman"/>
                <w:sz w:val="12"/>
                <w:szCs w:val="12"/>
                <w:color w:val="auto"/>
              </w:rPr>
              <w:t>Share-based</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34"/>
        </w:trPr>
        <w:tc>
          <w:tcPr>
            <w:tcW w:w="1320" w:type="dxa"/>
            <w:vAlign w:val="bottom"/>
            <w:shd w:val="clear" w:color="auto" w:fill="CCEEFF"/>
          </w:tcPr>
          <w:p>
            <w:pPr>
              <w:ind w:left="360"/>
              <w:spacing w:after="0" w:line="134" w:lineRule="exact"/>
              <w:rPr>
                <w:sz w:val="20"/>
                <w:szCs w:val="20"/>
                <w:color w:val="auto"/>
              </w:rPr>
            </w:pPr>
            <w:r>
              <w:rPr>
                <w:rFonts w:ascii="Times New Roman" w:cs="Times New Roman" w:eastAsia="Times New Roman" w:hAnsi="Times New Roman"/>
                <w:sz w:val="12"/>
                <w:szCs w:val="12"/>
                <w:color w:val="auto"/>
              </w:rPr>
              <w:t>compensation</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52"/>
        </w:trPr>
        <w:tc>
          <w:tcPr>
            <w:tcW w:w="1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expense</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(26)</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40" w:type="dxa"/>
            <w:vAlign w:val="bottom"/>
            <w:shd w:val="clear" w:color="auto" w:fill="CCEEFF"/>
          </w:tcPr>
          <w:p>
            <w:pPr>
              <w:spacing w:after="0"/>
              <w:rPr>
                <w:sz w:val="13"/>
                <w:szCs w:val="13"/>
                <w:color w:val="auto"/>
              </w:rPr>
            </w:pPr>
          </w:p>
        </w:tc>
      </w:tr>
      <w:tr>
        <w:trPr>
          <w:trHeight w:val="115"/>
        </w:trPr>
        <w:tc>
          <w:tcPr>
            <w:tcW w:w="1320" w:type="dxa"/>
            <w:vAlign w:val="bottom"/>
          </w:tcPr>
          <w:p>
            <w:pPr>
              <w:ind w:left="240"/>
              <w:spacing w:after="0" w:line="115" w:lineRule="exact"/>
              <w:rPr>
                <w:sz w:val="20"/>
                <w:szCs w:val="20"/>
                <w:color w:val="auto"/>
              </w:rPr>
            </w:pPr>
            <w:r>
              <w:rPr>
                <w:rFonts w:ascii="Times New Roman" w:cs="Times New Roman" w:eastAsia="Times New Roman" w:hAnsi="Times New Roman"/>
                <w:sz w:val="12"/>
                <w:szCs w:val="12"/>
                <w:color w:val="auto"/>
              </w:rPr>
              <w:t>Amortization of</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2"/>
        </w:trPr>
        <w:tc>
          <w:tcPr>
            <w:tcW w:w="13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intangible assets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w:t>
            </w:r>
          </w:p>
        </w:tc>
        <w:tc>
          <w:tcPr>
            <w:tcW w:w="1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476</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476</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476</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476</w:t>
            </w:r>
          </w:p>
        </w:tc>
        <w:tc>
          <w:tcPr>
            <w:tcW w:w="1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16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438</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140" w:type="dxa"/>
            <w:vAlign w:val="bottom"/>
          </w:tcPr>
          <w:p>
            <w:pPr>
              <w:spacing w:after="0"/>
              <w:rPr>
                <w:sz w:val="13"/>
                <w:szCs w:val="13"/>
                <w:color w:val="auto"/>
              </w:rPr>
            </w:pPr>
          </w:p>
        </w:tc>
      </w:tr>
      <w:tr>
        <w:trPr>
          <w:trHeight w:val="107"/>
        </w:trPr>
        <w:tc>
          <w:tcPr>
            <w:tcW w:w="1320" w:type="dxa"/>
            <w:vAlign w:val="bottom"/>
            <w:shd w:val="clear" w:color="auto" w:fill="CCEEFF"/>
          </w:tcPr>
          <w:p>
            <w:pPr>
              <w:ind w:left="240"/>
              <w:spacing w:after="0" w:line="107" w:lineRule="exact"/>
              <w:rPr>
                <w:sz w:val="20"/>
                <w:szCs w:val="20"/>
                <w:color w:val="auto"/>
              </w:rPr>
            </w:pPr>
            <w:r>
              <w:rPr>
                <w:rFonts w:ascii="Times New Roman" w:cs="Times New Roman" w:eastAsia="Times New Roman" w:hAnsi="Times New Roman"/>
                <w:sz w:val="12"/>
                <w:szCs w:val="12"/>
                <w:color w:val="auto"/>
              </w:rPr>
              <w:t>Depreciation and</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r>
      <w:tr>
        <w:trPr>
          <w:trHeight w:val="160"/>
        </w:trPr>
        <w:tc>
          <w:tcPr>
            <w:tcW w:w="1320" w:type="dxa"/>
            <w:vAlign w:val="bottom"/>
            <w:shd w:val="clear" w:color="auto" w:fill="CCEEFF"/>
          </w:tcPr>
          <w:p>
            <w:pPr>
              <w:ind w:left="360"/>
              <w:spacing w:after="0" w:line="160" w:lineRule="exact"/>
              <w:rPr>
                <w:sz w:val="20"/>
                <w:szCs w:val="20"/>
                <w:color w:val="auto"/>
              </w:rPr>
            </w:pPr>
            <w:r>
              <w:rPr>
                <w:rFonts w:ascii="Times New Roman" w:cs="Times New Roman" w:eastAsia="Times New Roman" w:hAnsi="Times New Roman"/>
                <w:sz w:val="12"/>
                <w:szCs w:val="12"/>
                <w:color w:val="auto"/>
              </w:rPr>
              <w:t>amortization</w:t>
            </w:r>
            <w:r>
              <w:rPr>
                <w:rFonts w:ascii="Times New Roman" w:cs="Times New Roman" w:eastAsia="Times New Roman" w:hAnsi="Times New Roman"/>
                <w:sz w:val="18"/>
                <w:szCs w:val="18"/>
                <w:color w:val="auto"/>
                <w:vertAlign w:val="superscript"/>
              </w:rPr>
              <w:t>(l)</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401</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433</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456</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468</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524</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532</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568</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623</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683</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741</w:t>
            </w:r>
          </w:p>
        </w:tc>
        <w:tc>
          <w:tcPr>
            <w:tcW w:w="140" w:type="dxa"/>
            <w:vAlign w:val="bottom"/>
            <w:shd w:val="clear" w:color="auto" w:fill="CCEEFF"/>
          </w:tcPr>
          <w:p>
            <w:pPr>
              <w:spacing w:after="0"/>
              <w:rPr>
                <w:sz w:val="13"/>
                <w:szCs w:val="13"/>
                <w:color w:val="auto"/>
              </w:rPr>
            </w:pPr>
          </w:p>
        </w:tc>
      </w:tr>
      <w:tr>
        <w:trPr>
          <w:trHeight w:val="154"/>
        </w:trPr>
        <w:tc>
          <w:tcPr>
            <w:tcW w:w="1320" w:type="dxa"/>
            <w:vAlign w:val="bottom"/>
          </w:tcPr>
          <w:p>
            <w:pPr>
              <w:spacing w:after="0"/>
              <w:rPr>
                <w:sz w:val="20"/>
                <w:szCs w:val="20"/>
                <w:color w:val="auto"/>
              </w:rPr>
            </w:pPr>
            <w:r>
              <w:rPr>
                <w:rFonts w:ascii="Times New Roman" w:cs="Times New Roman" w:eastAsia="Times New Roman" w:hAnsi="Times New Roman"/>
                <w:sz w:val="12"/>
                <w:szCs w:val="12"/>
                <w:color w:val="auto"/>
              </w:rPr>
              <w:t>Non-GAAP gross profit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8,528</w:t>
            </w:r>
          </w:p>
        </w:tc>
        <w:tc>
          <w:tcPr>
            <w:tcW w:w="1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12,300</w:t>
            </w:r>
          </w:p>
        </w:tc>
        <w:tc>
          <w:tcPr>
            <w:tcW w:w="140" w:type="dxa"/>
            <w:vAlign w:val="bottom"/>
          </w:tcPr>
          <w:p>
            <w:pPr>
              <w:spacing w:after="0"/>
              <w:rPr>
                <w:sz w:val="13"/>
                <w:szCs w:val="13"/>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11,226</w:t>
            </w:r>
          </w:p>
        </w:tc>
        <w:tc>
          <w:tcPr>
            <w:tcW w:w="160" w:type="dxa"/>
            <w:vAlign w:val="bottom"/>
          </w:tcPr>
          <w:p>
            <w:pPr>
              <w:spacing w:after="0"/>
              <w:rPr>
                <w:sz w:val="13"/>
                <w:szCs w:val="13"/>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14,561</w:t>
            </w:r>
          </w:p>
        </w:tc>
        <w:tc>
          <w:tcPr>
            <w:tcW w:w="140" w:type="dxa"/>
            <w:vAlign w:val="bottom"/>
          </w:tcPr>
          <w:p>
            <w:pPr>
              <w:spacing w:after="0"/>
              <w:rPr>
                <w:sz w:val="13"/>
                <w:szCs w:val="13"/>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13,545</w:t>
            </w:r>
          </w:p>
        </w:tc>
        <w:tc>
          <w:tcPr>
            <w:tcW w:w="1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17,839</w:t>
            </w:r>
          </w:p>
        </w:tc>
        <w:tc>
          <w:tcPr>
            <w:tcW w:w="120" w:type="dxa"/>
            <w:vAlign w:val="bottom"/>
          </w:tcPr>
          <w:p>
            <w:pPr>
              <w:spacing w:after="0"/>
              <w:rPr>
                <w:sz w:val="13"/>
                <w:szCs w:val="13"/>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21,193</w:t>
            </w:r>
          </w:p>
        </w:tc>
        <w:tc>
          <w:tcPr>
            <w:tcW w:w="140" w:type="dxa"/>
            <w:vAlign w:val="bottom"/>
          </w:tcPr>
          <w:p>
            <w:pPr>
              <w:spacing w:after="0"/>
              <w:rPr>
                <w:sz w:val="13"/>
                <w:szCs w:val="13"/>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21,248</w:t>
            </w:r>
          </w:p>
        </w:tc>
        <w:tc>
          <w:tcPr>
            <w:tcW w:w="140" w:type="dxa"/>
            <w:vAlign w:val="bottom"/>
          </w:tcPr>
          <w:p>
            <w:pPr>
              <w:spacing w:after="0"/>
              <w:rPr>
                <w:sz w:val="13"/>
                <w:szCs w:val="13"/>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18,371</w:t>
            </w:r>
          </w:p>
        </w:tc>
        <w:tc>
          <w:tcPr>
            <w:tcW w:w="16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25,894</w:t>
            </w:r>
          </w:p>
        </w:tc>
        <w:tc>
          <w:tcPr>
            <w:tcW w:w="140" w:type="dxa"/>
            <w:vAlign w:val="bottom"/>
          </w:tcPr>
          <w:p>
            <w:pPr>
              <w:spacing w:after="0"/>
              <w:rPr>
                <w:sz w:val="13"/>
                <w:szCs w:val="13"/>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29,680</w:t>
            </w:r>
          </w:p>
        </w:tc>
        <w:tc>
          <w:tcPr>
            <w:tcW w:w="140" w:type="dxa"/>
            <w:vAlign w:val="bottom"/>
          </w:tcPr>
          <w:p>
            <w:pPr>
              <w:spacing w:after="0"/>
              <w:rPr>
                <w:sz w:val="13"/>
                <w:szCs w:val="13"/>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33,312</w:t>
            </w:r>
          </w:p>
        </w:tc>
        <w:tc>
          <w:tcPr>
            <w:tcW w:w="160" w:type="dxa"/>
            <w:vAlign w:val="bottom"/>
          </w:tcPr>
          <w:p>
            <w:pPr>
              <w:spacing w:after="0"/>
              <w:rPr>
                <w:sz w:val="13"/>
                <w:szCs w:val="13"/>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33,118</w:t>
            </w:r>
          </w:p>
        </w:tc>
        <w:tc>
          <w:tcPr>
            <w:tcW w:w="14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9"/>
        </w:trPr>
        <w:tc>
          <w:tcPr>
            <w:tcW w:w="132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GAAP gross margin (as a</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r>
      <w:tr>
        <w:trPr>
          <w:trHeight w:val="152"/>
        </w:trPr>
        <w:tc>
          <w:tcPr>
            <w:tcW w:w="1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percentage of revenue)</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37.5%</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52.1%</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46.7%</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54.0%</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47.6%</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54.7%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61.5%</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62.2%</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49.4%</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60.3%</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62.8%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67.0%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58.0%</w:t>
            </w:r>
          </w:p>
        </w:tc>
      </w:tr>
      <w:tr>
        <w:trPr>
          <w:trHeight w:val="115"/>
        </w:trPr>
        <w:tc>
          <w:tcPr>
            <w:tcW w:w="132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Non-GAAP gross margin</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34"/>
        </w:trPr>
        <w:tc>
          <w:tcPr>
            <w:tcW w:w="132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(as a percentage of</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63"/>
        </w:trPr>
        <w:tc>
          <w:tcPr>
            <w:tcW w:w="1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revenue)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42.2%</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56.5%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51.2%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57.6%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51.3%</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57.7%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64.4%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65.3%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52.3%</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62.8%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65.2%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69.4%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77470</wp:posOffset>
            </wp:positionV>
            <wp:extent cx="7550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33" w:lineRule="exact"/>
        <w:rPr>
          <w:sz w:val="20"/>
          <w:szCs w:val="20"/>
          <w:color w:val="auto"/>
        </w:rPr>
      </w:pPr>
    </w:p>
    <w:p>
      <w:pPr>
        <w:ind w:left="600" w:hanging="426"/>
        <w:spacing w:after="0"/>
        <w:tabs>
          <w:tab w:leader="none" w:pos="6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includes amortization of capitalized internal-use software costs.</w:t>
      </w:r>
    </w:p>
    <w:p>
      <w:pPr>
        <w:spacing w:after="0" w:line="3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Non-GAAP Operating Expenses and Non-GAAP Operating Expenses Margin</w:t>
      </w:r>
    </w:p>
    <w:p>
      <w:pPr>
        <w:spacing w:after="0" w:line="118"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A reconciliation of operating expenses and operating expense margin, the most directly comparable GAAP financial measures, to non-GAAP operating expenses and non-GAAP operating expenses margin is presented below:</w:t>
      </w:r>
    </w:p>
    <w:p>
      <w:pPr>
        <w:spacing w:after="0" w:line="193" w:lineRule="exact"/>
        <w:rPr>
          <w:sz w:val="20"/>
          <w:szCs w:val="20"/>
          <w:color w:val="auto"/>
        </w:rPr>
      </w:pPr>
    </w:p>
    <w:tbl>
      <w:tblPr>
        <w:tblLayout w:type="fixed"/>
        <w:tblInd w:w="18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95"/>
              </w:rPr>
              <w:t>Three Months Ended</w:t>
            </w: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gridSpan w:val="3"/>
          </w:tcPr>
          <w:p>
            <w:pPr>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40" w:type="dxa"/>
            <w:vAlign w:val="bottom"/>
          </w:tcPr>
          <w:p>
            <w:pPr>
              <w:spacing w:after="0"/>
              <w:rPr>
                <w:sz w:val="6"/>
                <w:szCs w:val="6"/>
                <w:color w:val="auto"/>
              </w:rPr>
            </w:pPr>
          </w:p>
        </w:tc>
        <w:tc>
          <w:tcPr>
            <w:tcW w:w="580" w:type="dxa"/>
            <w:vAlign w:val="bottom"/>
            <w:gridSpan w:val="2"/>
          </w:tcPr>
          <w:p>
            <w:pPr>
              <w:jc w:val="right"/>
              <w:ind w:right="20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40" w:type="dxa"/>
            <w:vAlign w:val="bottom"/>
            <w:gridSpan w:val="4"/>
          </w:tcPr>
          <w:p>
            <w:pPr>
              <w:ind w:left="2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40" w:type="dxa"/>
            <w:vAlign w:val="bottom"/>
            <w:gridSpan w:val="4"/>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60" w:type="dxa"/>
            <w:vAlign w:val="bottom"/>
            <w:gridSpan w:val="4"/>
          </w:tcPr>
          <w:p>
            <w:pPr>
              <w:ind w:left="2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40" w:type="dxa"/>
            <w:vAlign w:val="bottom"/>
          </w:tcPr>
          <w:p>
            <w:pPr>
              <w:spacing w:after="0"/>
              <w:rPr>
                <w:sz w:val="6"/>
                <w:szCs w:val="6"/>
                <w:color w:val="auto"/>
              </w:rPr>
            </w:pPr>
          </w:p>
        </w:tc>
        <w:tc>
          <w:tcPr>
            <w:tcW w:w="560" w:type="dxa"/>
            <w:vAlign w:val="bottom"/>
            <w:gridSpan w:val="2"/>
          </w:tcPr>
          <w:p>
            <w:pPr>
              <w:jc w:val="right"/>
              <w:ind w:right="16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80" w:type="dxa"/>
            <w:vAlign w:val="bottom"/>
            <w:gridSpan w:val="4"/>
          </w:tcPr>
          <w:p>
            <w:pPr>
              <w:ind w:left="6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20" w:type="dxa"/>
            <w:vAlign w:val="bottom"/>
            <w:gridSpan w:val="4"/>
          </w:tcPr>
          <w:p>
            <w:pPr>
              <w:jc w:val="right"/>
              <w:ind w:right="16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60" w:type="dxa"/>
            <w:vAlign w:val="bottom"/>
            <w:gridSpan w:val="4"/>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40" w:type="dxa"/>
            <w:vAlign w:val="bottom"/>
          </w:tcPr>
          <w:p>
            <w:pPr>
              <w:spacing w:after="0"/>
              <w:rPr>
                <w:sz w:val="6"/>
                <w:szCs w:val="6"/>
                <w:color w:val="auto"/>
              </w:rPr>
            </w:pPr>
          </w:p>
        </w:tc>
        <w:tc>
          <w:tcPr>
            <w:tcW w:w="580" w:type="dxa"/>
            <w:vAlign w:val="bottom"/>
            <w:gridSpan w:val="2"/>
          </w:tcPr>
          <w:p>
            <w:pPr>
              <w:jc w:val="right"/>
              <w:ind w:right="18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60" w:type="dxa"/>
            <w:vAlign w:val="bottom"/>
            <w:gridSpan w:val="4"/>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20" w:type="dxa"/>
            <w:vAlign w:val="bottom"/>
            <w:gridSpan w:val="4"/>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520" w:type="dxa"/>
            <w:vAlign w:val="bottom"/>
            <w:gridSpan w:val="3"/>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60" w:type="dxa"/>
            <w:vAlign w:val="bottom"/>
            <w:gridSpan w:val="10"/>
          </w:tcPr>
          <w:p>
            <w:pPr>
              <w:jc w:val="right"/>
              <w:ind w:right="440"/>
              <w:spacing w:after="0" w:line="101" w:lineRule="exact"/>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GAAP operating expenses</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26,235    </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$28,979    </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28,121    </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31,806    </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7"/>
              </w:rPr>
              <w:t>32,682    </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$35,419    </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34,213    </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33,654    </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7"/>
              </w:rPr>
              <w:t>35,341    </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$34,871    </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37,086    </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39,233    </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40,296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2"/>
                <w:szCs w:val="12"/>
                <w:color w:val="auto"/>
              </w:rPr>
              <w:t>Less: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20" w:type="dxa"/>
            <w:vAlign w:val="bottom"/>
            <w:shd w:val="clear" w:color="auto" w:fill="CCEEFF"/>
          </w:tcPr>
          <w:p>
            <w:pPr>
              <w:ind w:left="220"/>
              <w:spacing w:after="0" w:line="115" w:lineRule="exact"/>
              <w:rPr>
                <w:sz w:val="20"/>
                <w:szCs w:val="20"/>
                <w:color w:val="auto"/>
              </w:rPr>
            </w:pPr>
            <w:r>
              <w:rPr>
                <w:rFonts w:ascii="Times New Roman" w:cs="Times New Roman" w:eastAsia="Times New Roman" w:hAnsi="Times New Roman"/>
                <w:sz w:val="12"/>
                <w:szCs w:val="12"/>
                <w:color w:val="auto"/>
              </w:rPr>
              <w:t>Share-based</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20" w:type="dxa"/>
            <w:vAlign w:val="bottom"/>
            <w:shd w:val="clear" w:color="auto" w:fill="CCEEFF"/>
          </w:tcPr>
          <w:p>
            <w:pPr>
              <w:ind w:left="340"/>
              <w:spacing w:after="0" w:line="134" w:lineRule="exact"/>
              <w:rPr>
                <w:sz w:val="20"/>
                <w:szCs w:val="20"/>
                <w:color w:val="auto"/>
              </w:rPr>
            </w:pPr>
            <w:r>
              <w:rPr>
                <w:rFonts w:ascii="Times New Roman" w:cs="Times New Roman" w:eastAsia="Times New Roman" w:hAnsi="Times New Roman"/>
                <w:sz w:val="12"/>
                <w:szCs w:val="12"/>
                <w:color w:val="auto"/>
              </w:rPr>
              <w:t>compensation</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expense</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1,601</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1,276</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1,737</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1,786</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1,551</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1,778</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2,992</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2,332</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2,817</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2,026</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2, 103</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2,255</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2,806</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20" w:type="dxa"/>
            <w:vAlign w:val="bottom"/>
          </w:tcPr>
          <w:p>
            <w:pPr>
              <w:ind w:left="220"/>
              <w:spacing w:after="0" w:line="115" w:lineRule="exact"/>
              <w:rPr>
                <w:sz w:val="20"/>
                <w:szCs w:val="20"/>
                <w:color w:val="auto"/>
              </w:rPr>
            </w:pPr>
            <w:r>
              <w:rPr>
                <w:rFonts w:ascii="Times New Roman" w:cs="Times New Roman" w:eastAsia="Times New Roman" w:hAnsi="Times New Roman"/>
                <w:sz w:val="12"/>
                <w:szCs w:val="12"/>
                <w:color w:val="auto"/>
              </w:rPr>
              <w:t>Amortization of</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intangible assets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20" w:type="dxa"/>
            <w:vAlign w:val="bottom"/>
            <w:shd w:val="clear" w:color="auto" w:fill="CCEEFF"/>
          </w:tcPr>
          <w:p>
            <w:pPr>
              <w:ind w:left="220"/>
              <w:spacing w:after="0" w:line="107" w:lineRule="exact"/>
              <w:rPr>
                <w:sz w:val="20"/>
                <w:szCs w:val="20"/>
                <w:color w:val="auto"/>
              </w:rPr>
            </w:pPr>
            <w:r>
              <w:rPr>
                <w:rFonts w:ascii="Times New Roman" w:cs="Times New Roman" w:eastAsia="Times New Roman" w:hAnsi="Times New Roman"/>
                <w:sz w:val="12"/>
                <w:szCs w:val="12"/>
                <w:color w:val="auto"/>
              </w:rPr>
              <w:t>Depreciation and</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2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2"/>
                <w:szCs w:val="12"/>
                <w:color w:val="auto"/>
              </w:rPr>
              <w:t>amortization</w:t>
            </w:r>
            <w:r>
              <w:rPr>
                <w:rFonts w:ascii="Times New Roman" w:cs="Times New Roman" w:eastAsia="Times New Roman" w:hAnsi="Times New Roman"/>
                <w:sz w:val="18"/>
                <w:szCs w:val="18"/>
                <w:color w:val="auto"/>
                <w:vertAlign w:val="superscript"/>
              </w:rPr>
              <w:t>(1)</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20" w:type="dxa"/>
            <w:vAlign w:val="bottom"/>
          </w:tcPr>
          <w:p>
            <w:pPr>
              <w:ind w:left="220"/>
              <w:spacing w:after="0" w:line="115" w:lineRule="exact"/>
              <w:rPr>
                <w:sz w:val="20"/>
                <w:szCs w:val="20"/>
                <w:color w:val="auto"/>
              </w:rPr>
            </w:pPr>
            <w:r>
              <w:rPr>
                <w:rFonts w:ascii="Times New Roman" w:cs="Times New Roman" w:eastAsia="Times New Roman" w:hAnsi="Times New Roman"/>
                <w:sz w:val="12"/>
                <w:szCs w:val="12"/>
                <w:color w:val="auto"/>
              </w:rPr>
              <w:t>Loss on disposal of</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20" w:type="dxa"/>
            <w:vAlign w:val="bottom"/>
          </w:tcPr>
          <w:p>
            <w:pPr>
              <w:ind w:left="340"/>
              <w:spacing w:after="0" w:line="134" w:lineRule="exact"/>
              <w:rPr>
                <w:sz w:val="20"/>
                <w:szCs w:val="20"/>
                <w:color w:val="auto"/>
              </w:rPr>
            </w:pPr>
            <w:r>
              <w:rPr>
                <w:rFonts w:ascii="Times New Roman" w:cs="Times New Roman" w:eastAsia="Times New Roman" w:hAnsi="Times New Roman"/>
                <w:sz w:val="12"/>
                <w:szCs w:val="12"/>
                <w:color w:val="auto"/>
              </w:rPr>
              <w:t>property and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equipment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6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2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Non-GAAP operating</w:t>
            </w:r>
          </w:p>
        </w:tc>
        <w:tc>
          <w:tcPr>
            <w:tcW w:w="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expenses</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24,449</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27,510</w:t>
            </w:r>
          </w:p>
        </w:tc>
        <w:tc>
          <w:tcPr>
            <w:tcW w:w="160" w:type="dxa"/>
            <w:vAlign w:val="bottom"/>
            <w:shd w:val="clear" w:color="auto" w:fill="CCEEFF"/>
          </w:tcPr>
          <w:p>
            <w:pPr>
              <w:spacing w:after="0"/>
              <w:rPr>
                <w:sz w:val="13"/>
                <w:szCs w:val="13"/>
                <w:color w:val="auto"/>
              </w:rPr>
            </w:pP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26,186</w:t>
            </w:r>
          </w:p>
        </w:tc>
        <w:tc>
          <w:tcPr>
            <w:tcW w:w="1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29,829</w:t>
            </w:r>
          </w:p>
        </w:tc>
        <w:tc>
          <w:tcPr>
            <w:tcW w:w="160" w:type="dxa"/>
            <w:vAlign w:val="bottom"/>
            <w:shd w:val="clear" w:color="auto" w:fill="CCEEFF"/>
          </w:tcPr>
          <w:p>
            <w:pPr>
              <w:spacing w:after="0"/>
              <w:rPr>
                <w:sz w:val="13"/>
                <w:szCs w:val="13"/>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30,948</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33,461</w:t>
            </w:r>
          </w:p>
        </w:tc>
        <w:tc>
          <w:tcPr>
            <w:tcW w:w="140" w:type="dxa"/>
            <w:vAlign w:val="bottom"/>
            <w:shd w:val="clear" w:color="auto" w:fill="CCEEFF"/>
          </w:tcPr>
          <w:p>
            <w:pPr>
              <w:spacing w:after="0"/>
              <w:rPr>
                <w:sz w:val="13"/>
                <w:szCs w:val="13"/>
                <w:color w:val="auto"/>
              </w:rPr>
            </w:pP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31,053</w:t>
            </w:r>
          </w:p>
        </w:tc>
        <w:tc>
          <w:tcPr>
            <w:tcW w:w="16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31,021</w:t>
            </w:r>
          </w:p>
        </w:tc>
        <w:tc>
          <w:tcPr>
            <w:tcW w:w="160" w:type="dxa"/>
            <w:vAlign w:val="bottom"/>
            <w:shd w:val="clear" w:color="auto" w:fill="CCEEFF"/>
          </w:tcPr>
          <w:p>
            <w:pPr>
              <w:spacing w:after="0"/>
              <w:rPr>
                <w:sz w:val="13"/>
                <w:szCs w:val="13"/>
                <w:color w:val="auto"/>
              </w:rPr>
            </w:pP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32,370</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32,680</w:t>
            </w:r>
          </w:p>
        </w:tc>
        <w:tc>
          <w:tcPr>
            <w:tcW w:w="1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34,815</w:t>
            </w:r>
          </w:p>
        </w:tc>
        <w:tc>
          <w:tcPr>
            <w:tcW w:w="160" w:type="dxa"/>
            <w:vAlign w:val="bottom"/>
            <w:shd w:val="clear" w:color="auto" w:fill="CCEEFF"/>
          </w:tcPr>
          <w:p>
            <w:pPr>
              <w:spacing w:after="0"/>
              <w:rPr>
                <w:sz w:val="13"/>
                <w:szCs w:val="13"/>
                <w:color w:val="auto"/>
              </w:rPr>
            </w:pP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36,821</w:t>
            </w:r>
          </w:p>
        </w:tc>
        <w:tc>
          <w:tcPr>
            <w:tcW w:w="160" w:type="dxa"/>
            <w:vAlign w:val="bottom"/>
            <w:shd w:val="clear" w:color="auto" w:fill="CCEEFF"/>
          </w:tcPr>
          <w:p>
            <w:pPr>
              <w:spacing w:after="0"/>
              <w:rPr>
                <w:sz w:val="13"/>
                <w:szCs w:val="13"/>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37,336</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GAAP operating expenses</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3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20" w:type="dxa"/>
            <w:vAlign w:val="bottom"/>
          </w:tcPr>
          <w:p>
            <w:pPr>
              <w:ind w:left="100"/>
              <w:spacing w:after="0" w:line="134" w:lineRule="exact"/>
              <w:rPr>
                <w:sz w:val="20"/>
                <w:szCs w:val="20"/>
                <w:color w:val="auto"/>
              </w:rPr>
            </w:pPr>
            <w:r>
              <w:rPr>
                <w:rFonts w:ascii="Times New Roman" w:cs="Times New Roman" w:eastAsia="Times New Roman" w:hAnsi="Times New Roman"/>
                <w:sz w:val="12"/>
                <w:szCs w:val="12"/>
                <w:color w:val="auto"/>
              </w:rPr>
              <w:t>margin (as a percentage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3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of revenue)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129.8%</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133.1%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128.2%</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125.9%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123.7%</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114.7%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103.9%</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103.4%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100.7%</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84.6%</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81.5%</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81.8%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73.3%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2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Non-GAAP operating</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20" w:type="dxa"/>
            <w:vAlign w:val="bottom"/>
            <w:shd w:val="clear" w:color="auto" w:fill="CCEEFF"/>
          </w:tcPr>
          <w:p>
            <w:pPr>
              <w:ind w:left="100"/>
              <w:spacing w:after="0" w:line="134" w:lineRule="exact"/>
              <w:rPr>
                <w:sz w:val="20"/>
                <w:szCs w:val="20"/>
                <w:color w:val="auto"/>
              </w:rPr>
            </w:pPr>
            <w:r>
              <w:rPr>
                <w:rFonts w:ascii="Times New Roman" w:cs="Times New Roman" w:eastAsia="Times New Roman" w:hAnsi="Times New Roman"/>
                <w:sz w:val="12"/>
                <w:szCs w:val="12"/>
                <w:color w:val="auto"/>
              </w:rPr>
              <w:t>expenses margin (as a</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percentage of revenue)</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121.0%</w:t>
            </w: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126.3%</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119.4%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118.0%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117.2%</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108.3%</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94.3%</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95.3%</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92.2%</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79.3%</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76.5%</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76.7%</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93345</wp:posOffset>
            </wp:positionV>
            <wp:extent cx="7550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44" w:lineRule="exact"/>
        <w:rPr>
          <w:sz w:val="20"/>
          <w:szCs w:val="20"/>
          <w:color w:val="auto"/>
        </w:rPr>
      </w:pPr>
    </w:p>
    <w:p>
      <w:pPr>
        <w:ind w:left="600" w:hanging="426"/>
        <w:spacing w:after="0"/>
        <w:tabs>
          <w:tab w:leader="none" w:pos="6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includes depreciation of property and equipment.</w:t>
      </w:r>
    </w:p>
    <w:p>
      <w:pPr>
        <w:spacing w:after="0" w:line="1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80"/>
          </w:cols>
          <w:pgMar w:left="320" w:top="451" w:right="4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18" w:lineRule="exact"/>
        <w:rPr>
          <w:sz w:val="20"/>
          <w:szCs w:val="20"/>
          <w:color w:val="auto"/>
        </w:rPr>
      </w:pPr>
    </w:p>
    <w:p>
      <w:pPr>
        <w:ind w:left="180" w:right="160" w:firstLine="436"/>
        <w:spacing w:after="0" w:line="277" w:lineRule="auto"/>
        <w:rPr>
          <w:sz w:val="20"/>
          <w:szCs w:val="20"/>
          <w:color w:val="auto"/>
        </w:rPr>
      </w:pPr>
      <w:r>
        <w:rPr>
          <w:rFonts w:ascii="Times New Roman" w:cs="Times New Roman" w:eastAsia="Times New Roman" w:hAnsi="Times New Roman"/>
          <w:sz w:val="18"/>
          <w:szCs w:val="18"/>
          <w:color w:val="auto"/>
        </w:rPr>
        <w:t>A reconciliation of net loss and comprehensive loss and net loss and comprehensive loss margin, the most directly comparable GAAP financial measures, to adjusted EBITDA and adjusted EBITDA margin are presented below:</w:t>
      </w:r>
    </w:p>
    <w:p>
      <w:pPr>
        <w:spacing w:after="0" w:line="193" w:lineRule="exact"/>
        <w:rPr>
          <w:sz w:val="20"/>
          <w:szCs w:val="20"/>
          <w:color w:val="auto"/>
        </w:rPr>
      </w:pPr>
    </w:p>
    <w:tbl>
      <w:tblPr>
        <w:tblLayout w:type="fixed"/>
        <w:tblInd w:w="180" w:type="dxa"/>
        <w:tblCellMar>
          <w:top w:w="0" w:type="dxa"/>
          <w:left w:w="0" w:type="dxa"/>
          <w:bottom w:w="0" w:type="dxa"/>
          <w:right w:w="0" w:type="dxa"/>
        </w:tblCellMar>
      </w:tblPr>
      <w:tr>
        <w:trPr>
          <w:trHeight w:val="136"/>
        </w:trPr>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74"/>
        </w:trPr>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gridSpan w:val="2"/>
          </w:tcPr>
          <w:p>
            <w:pPr>
              <w:jc w:val="right"/>
              <w:ind w:right="20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40" w:type="dxa"/>
            <w:vAlign w:val="bottom"/>
          </w:tcPr>
          <w:p>
            <w:pPr>
              <w:spacing w:after="0"/>
              <w:rPr>
                <w:sz w:val="6"/>
                <w:szCs w:val="6"/>
                <w:color w:val="auto"/>
              </w:rPr>
            </w:pPr>
          </w:p>
        </w:tc>
        <w:tc>
          <w:tcPr>
            <w:tcW w:w="640" w:type="dxa"/>
            <w:vAlign w:val="bottom"/>
            <w:gridSpan w:val="2"/>
          </w:tcPr>
          <w:p>
            <w:pPr>
              <w:jc w:val="right"/>
              <w:ind w:right="22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80" w:type="dxa"/>
            <w:vAlign w:val="bottom"/>
            <w:gridSpan w:val="4"/>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60" w:type="dxa"/>
            <w:vAlign w:val="bottom"/>
            <w:gridSpan w:val="4"/>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80" w:type="dxa"/>
            <w:vAlign w:val="bottom"/>
            <w:gridSpan w:val="3"/>
          </w:tcPr>
          <w:p>
            <w:pPr>
              <w:jc w:val="right"/>
              <w:ind w:right="18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60" w:type="dxa"/>
            <w:vAlign w:val="bottom"/>
          </w:tcPr>
          <w:p>
            <w:pPr>
              <w:spacing w:after="0"/>
              <w:rPr>
                <w:sz w:val="6"/>
                <w:szCs w:val="6"/>
                <w:color w:val="auto"/>
              </w:rPr>
            </w:pPr>
          </w:p>
        </w:tc>
        <w:tc>
          <w:tcPr>
            <w:tcW w:w="600" w:type="dxa"/>
            <w:vAlign w:val="bottom"/>
            <w:gridSpan w:val="2"/>
          </w:tcPr>
          <w:p>
            <w:pPr>
              <w:jc w:val="right"/>
              <w:ind w:right="20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920" w:type="dxa"/>
            <w:vAlign w:val="bottom"/>
            <w:gridSpan w:val="4"/>
          </w:tcPr>
          <w:p>
            <w:pPr>
              <w:ind w:left="8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40" w:type="dxa"/>
            <w:vAlign w:val="bottom"/>
            <w:gridSpan w:val="4"/>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700" w:type="dxa"/>
            <w:vAlign w:val="bottom"/>
            <w:gridSpan w:val="3"/>
          </w:tcPr>
          <w:p>
            <w:pPr>
              <w:jc w:val="right"/>
              <w:ind w:right="18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40" w:type="dxa"/>
            <w:vAlign w:val="bottom"/>
          </w:tcPr>
          <w:p>
            <w:pPr>
              <w:spacing w:after="0"/>
              <w:rPr>
                <w:sz w:val="6"/>
                <w:szCs w:val="6"/>
                <w:color w:val="auto"/>
              </w:rPr>
            </w:pPr>
          </w:p>
        </w:tc>
        <w:tc>
          <w:tcPr>
            <w:tcW w:w="640" w:type="dxa"/>
            <w:vAlign w:val="bottom"/>
            <w:gridSpan w:val="3"/>
          </w:tcPr>
          <w:p>
            <w:pPr>
              <w:jc w:val="right"/>
              <w:ind w:right="22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80" w:type="dxa"/>
            <w:vAlign w:val="bottom"/>
            <w:gridSpan w:val="4"/>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60" w:type="dxa"/>
            <w:vAlign w:val="bottom"/>
            <w:gridSpan w:val="4"/>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520" w:type="dxa"/>
            <w:vAlign w:val="bottom"/>
            <w:gridSpan w:val="3"/>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180" w:type="dxa"/>
            <w:vAlign w:val="bottom"/>
          </w:tcPr>
          <w:p>
            <w:pPr>
              <w:spacing w:after="0"/>
              <w:rPr>
                <w:sz w:val="6"/>
                <w:szCs w:val="6"/>
                <w:color w:val="auto"/>
              </w:rPr>
            </w:pPr>
          </w:p>
        </w:tc>
      </w:tr>
      <w:tr>
        <w:trPr>
          <w:trHeight w:val="134"/>
        </w:trPr>
        <w:tc>
          <w:tcPr>
            <w:tcW w:w="1040" w:type="dxa"/>
            <w:vAlign w:val="bottom"/>
          </w:tcPr>
          <w:p>
            <w:pPr>
              <w:spacing w:after="0"/>
              <w:rPr>
                <w:sz w:val="11"/>
                <w:szCs w:val="11"/>
                <w:color w:val="auto"/>
              </w:rPr>
            </w:pPr>
          </w:p>
        </w:tc>
        <w:tc>
          <w:tcPr>
            <w:tcW w:w="500" w:type="dxa"/>
            <w:vAlign w:val="bottom"/>
            <w:gridSpan w:val="2"/>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Pr>
          <w:p>
            <w:pPr>
              <w:spacing w:after="0"/>
              <w:rPr>
                <w:sz w:val="11"/>
                <w:szCs w:val="11"/>
                <w:color w:val="auto"/>
              </w:rPr>
            </w:pPr>
          </w:p>
        </w:tc>
        <w:tc>
          <w:tcPr>
            <w:tcW w:w="500" w:type="dxa"/>
            <w:vAlign w:val="bottom"/>
            <w:gridSpan w:val="2"/>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Pr>
          <w:p>
            <w:pPr>
              <w:spacing w:after="0"/>
              <w:rPr>
                <w:sz w:val="11"/>
                <w:szCs w:val="11"/>
                <w:color w:val="auto"/>
              </w:rPr>
            </w:pPr>
          </w:p>
        </w:tc>
        <w:tc>
          <w:tcPr>
            <w:tcW w:w="500" w:type="dxa"/>
            <w:vAlign w:val="bottom"/>
            <w:gridSpan w:val="2"/>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Pr>
          <w:p>
            <w:pPr>
              <w:spacing w:after="0"/>
              <w:rPr>
                <w:sz w:val="11"/>
                <w:szCs w:val="11"/>
                <w:color w:val="auto"/>
              </w:rPr>
            </w:pPr>
          </w:p>
        </w:tc>
        <w:tc>
          <w:tcPr>
            <w:tcW w:w="5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Pr>
          <w:p>
            <w:pPr>
              <w:spacing w:after="0"/>
              <w:rPr>
                <w:sz w:val="11"/>
                <w:szCs w:val="11"/>
                <w:color w:val="auto"/>
              </w:rPr>
            </w:pPr>
          </w:p>
        </w:tc>
        <w:tc>
          <w:tcPr>
            <w:tcW w:w="520" w:type="dxa"/>
            <w:vAlign w:val="bottom"/>
            <w:gridSpan w:val="2"/>
          </w:tcPr>
          <w:p>
            <w:pPr>
              <w:jc w:val="right"/>
              <w:ind w:right="78"/>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ind w:right="78"/>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80" w:type="dxa"/>
            <w:vAlign w:val="bottom"/>
          </w:tcPr>
          <w:p>
            <w:pPr>
              <w:spacing w:after="0"/>
              <w:rPr>
                <w:sz w:val="11"/>
                <w:szCs w:val="11"/>
                <w:color w:val="auto"/>
              </w:rPr>
            </w:pPr>
          </w:p>
        </w:tc>
      </w:tr>
      <w:tr>
        <w:trPr>
          <w:trHeight w:val="100"/>
        </w:trPr>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360" w:type="dxa"/>
            <w:vAlign w:val="bottom"/>
            <w:tcBorders>
              <w:top w:val="single" w:sz="8" w:color="auto"/>
            </w:tcBorders>
            <w:gridSpan w:val="10"/>
          </w:tcPr>
          <w:p>
            <w:pPr>
              <w:jc w:val="center"/>
              <w:ind w:right="200"/>
              <w:spacing w:after="0" w:line="101" w:lineRule="exact"/>
              <w:rPr>
                <w:sz w:val="20"/>
                <w:szCs w:val="20"/>
                <w:color w:val="auto"/>
              </w:rPr>
            </w:pPr>
            <w:r>
              <w:rPr>
                <w:rFonts w:ascii="Times New Roman" w:cs="Times New Roman" w:eastAsia="Times New Roman" w:hAnsi="Times New Roman"/>
                <w:sz w:val="11"/>
                <w:szCs w:val="11"/>
                <w:b w:val="1"/>
                <w:bCs w:val="1"/>
                <w:color w:val="auto"/>
                <w:w w:val="97"/>
              </w:rPr>
              <w:t>(in thousands, except percentages)</w:t>
            </w: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115"/>
        </w:trPr>
        <w:tc>
          <w:tcPr>
            <w:tcW w:w="104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GAAP net loss and</w:t>
            </w: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34"/>
        </w:trPr>
        <w:tc>
          <w:tcPr>
            <w:tcW w:w="1040" w:type="dxa"/>
            <w:vAlign w:val="bottom"/>
            <w:shd w:val="clear" w:color="auto" w:fill="CCEEFF"/>
          </w:tcPr>
          <w:p>
            <w:pPr>
              <w:ind w:left="120"/>
              <w:spacing w:after="0" w:line="134" w:lineRule="exact"/>
              <w:rPr>
                <w:sz w:val="20"/>
                <w:szCs w:val="20"/>
                <w:color w:val="auto"/>
              </w:rPr>
            </w:pPr>
            <w:r>
              <w:rPr>
                <w:rFonts w:ascii="Times New Roman" w:cs="Times New Roman" w:eastAsia="Times New Roman" w:hAnsi="Times New Roman"/>
                <w:sz w:val="12"/>
                <w:szCs w:val="12"/>
                <w:color w:val="auto"/>
              </w:rPr>
              <w:t>comprehensive</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52"/>
        </w:trPr>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loss</w:t>
            </w: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(18,885)</w:t>
            </w: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$(17,829)</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(18,004)</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(17,800)</w:t>
            </w: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(19,818)</w:t>
            </w: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$(19,803)</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(13,965)</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(13,925)</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(18,969)</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(10,692)</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(9,227)</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(8,249)</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(9,448)</w:t>
            </w:r>
          </w:p>
        </w:tc>
      </w:tr>
      <w:tr>
        <w:trPr>
          <w:trHeight w:val="147"/>
        </w:trPr>
        <w:tc>
          <w:tcPr>
            <w:tcW w:w="1040" w:type="dxa"/>
            <w:vAlign w:val="bottom"/>
          </w:tcPr>
          <w:p>
            <w:pPr>
              <w:spacing w:after="0"/>
              <w:rPr>
                <w:sz w:val="20"/>
                <w:szCs w:val="20"/>
                <w:color w:val="auto"/>
              </w:rPr>
            </w:pPr>
            <w:r>
              <w:rPr>
                <w:rFonts w:ascii="Times New Roman" w:cs="Times New Roman" w:eastAsia="Times New Roman" w:hAnsi="Times New Roman"/>
                <w:sz w:val="12"/>
                <w:szCs w:val="12"/>
                <w:color w:val="auto"/>
              </w:rPr>
              <w:t>Add:</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7"/>
        </w:trPr>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Interest expense</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983</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997</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1,046</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1,175</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1,202</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1,168</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1,128</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1,130</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1,132</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1,147</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1,097</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1,074</w:t>
            </w:r>
          </w:p>
        </w:tc>
        <w:tc>
          <w:tcPr>
            <w:tcW w:w="180" w:type="dxa"/>
            <w:vAlign w:val="bottom"/>
            <w:shd w:val="clear" w:color="auto" w:fill="CCEEFF"/>
          </w:tcPr>
          <w:p>
            <w:pPr>
              <w:spacing w:after="0"/>
              <w:rPr>
                <w:sz w:val="12"/>
                <w:szCs w:val="12"/>
                <w:color w:val="auto"/>
              </w:rPr>
            </w:pPr>
          </w:p>
        </w:tc>
      </w:tr>
      <w:tr>
        <w:trPr>
          <w:trHeight w:val="147"/>
        </w:trPr>
        <w:tc>
          <w:tcPr>
            <w:tcW w:w="10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Interest income</w:t>
            </w: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(16)</w:t>
            </w: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(160)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(735)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(1,291)</w:t>
            </w: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(1,681)</w:t>
            </w: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(1,684)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(1,431)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(979)</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(529)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(85)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(174)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(542)</w:t>
            </w:r>
          </w:p>
        </w:tc>
      </w:tr>
      <w:tr>
        <w:trPr>
          <w:trHeight w:val="115"/>
        </w:trPr>
        <w:tc>
          <w:tcPr>
            <w:tcW w:w="1040" w:type="dxa"/>
            <w:vAlign w:val="bottom"/>
            <w:shd w:val="clear" w:color="auto" w:fill="CCEEFF"/>
          </w:tcPr>
          <w:p>
            <w:pPr>
              <w:ind w:left="120"/>
              <w:spacing w:after="0" w:line="115" w:lineRule="exact"/>
              <w:rPr>
                <w:sz w:val="20"/>
                <w:szCs w:val="20"/>
                <w:color w:val="auto"/>
              </w:rPr>
            </w:pPr>
            <w:r>
              <w:rPr>
                <w:rFonts w:ascii="Times New Roman" w:cs="Times New Roman" w:eastAsia="Times New Roman" w:hAnsi="Times New Roman"/>
                <w:sz w:val="12"/>
                <w:szCs w:val="12"/>
                <w:color w:val="auto"/>
              </w:rPr>
              <w:t>Change in fair</w:t>
            </w: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34"/>
        </w:trPr>
        <w:tc>
          <w:tcPr>
            <w:tcW w:w="1040" w:type="dxa"/>
            <w:vAlign w:val="bottom"/>
            <w:shd w:val="clear" w:color="auto" w:fill="CCEEFF"/>
          </w:tcPr>
          <w:p>
            <w:pPr>
              <w:ind w:left="240"/>
              <w:spacing w:after="0" w:line="134" w:lineRule="exact"/>
              <w:rPr>
                <w:sz w:val="20"/>
                <w:szCs w:val="20"/>
                <w:color w:val="auto"/>
              </w:rPr>
            </w:pPr>
            <w:r>
              <w:rPr>
                <w:rFonts w:ascii="Times New Roman" w:cs="Times New Roman" w:eastAsia="Times New Roman" w:hAnsi="Times New Roman"/>
                <w:sz w:val="12"/>
                <w:szCs w:val="12"/>
                <w:color w:val="auto"/>
              </w:rPr>
              <w:t>value of</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34"/>
        </w:trPr>
        <w:tc>
          <w:tcPr>
            <w:tcW w:w="1040" w:type="dxa"/>
            <w:vAlign w:val="bottom"/>
            <w:shd w:val="clear" w:color="auto" w:fill="CCEEFF"/>
          </w:tcPr>
          <w:p>
            <w:pPr>
              <w:ind w:left="240"/>
              <w:spacing w:after="0" w:line="134" w:lineRule="exact"/>
              <w:rPr>
                <w:sz w:val="20"/>
                <w:szCs w:val="20"/>
                <w:color w:val="auto"/>
              </w:rPr>
            </w:pPr>
            <w:r>
              <w:rPr>
                <w:rFonts w:ascii="Times New Roman" w:cs="Times New Roman" w:eastAsia="Times New Roman" w:hAnsi="Times New Roman"/>
                <w:sz w:val="12"/>
                <w:szCs w:val="12"/>
                <w:color w:val="auto"/>
              </w:rPr>
              <w:t>warrant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52"/>
        </w:trPr>
        <w:tc>
          <w:tcPr>
            <w:tcW w:w="1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liabilities</w:t>
            </w: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(749)</w:t>
            </w: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(652)</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(195)</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(235)</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w:t>
            </w: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(392)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(428)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w:t>
            </w:r>
          </w:p>
        </w:tc>
        <w:tc>
          <w:tcPr>
            <w:tcW w:w="180" w:type="dxa"/>
            <w:vAlign w:val="bottom"/>
            <w:shd w:val="clear" w:color="auto" w:fill="CCEEFF"/>
          </w:tcPr>
          <w:p>
            <w:pPr>
              <w:spacing w:after="0"/>
              <w:rPr>
                <w:sz w:val="13"/>
                <w:szCs w:val="13"/>
                <w:color w:val="auto"/>
              </w:rPr>
            </w:pPr>
          </w:p>
        </w:tc>
      </w:tr>
      <w:tr>
        <w:trPr>
          <w:trHeight w:val="115"/>
        </w:trPr>
        <w:tc>
          <w:tcPr>
            <w:tcW w:w="1040" w:type="dxa"/>
            <w:vAlign w:val="bottom"/>
          </w:tcPr>
          <w:p>
            <w:pPr>
              <w:ind w:left="120"/>
              <w:spacing w:after="0" w:line="115" w:lineRule="exact"/>
              <w:rPr>
                <w:sz w:val="20"/>
                <w:szCs w:val="20"/>
                <w:color w:val="auto"/>
              </w:rPr>
            </w:pPr>
            <w:r>
              <w:rPr>
                <w:rFonts w:ascii="Times New Roman" w:cs="Times New Roman" w:eastAsia="Times New Roman" w:hAnsi="Times New Roman"/>
                <w:sz w:val="12"/>
                <w:szCs w:val="12"/>
                <w:color w:val="auto"/>
              </w:rPr>
              <w:t>Loss-on debt</w:t>
            </w: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52"/>
        </w:trPr>
        <w:tc>
          <w:tcPr>
            <w:tcW w:w="10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extinguishment</w:t>
            </w:r>
          </w:p>
        </w:tc>
        <w:tc>
          <w:tcPr>
            <w:tcW w:w="2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1,536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r>
      <w:tr>
        <w:trPr>
          <w:trHeight w:val="115"/>
        </w:trPr>
        <w:tc>
          <w:tcPr>
            <w:tcW w:w="1040" w:type="dxa"/>
            <w:vAlign w:val="bottom"/>
            <w:shd w:val="clear" w:color="auto" w:fill="CCEEFF"/>
          </w:tcPr>
          <w:p>
            <w:pPr>
              <w:ind w:left="120"/>
              <w:spacing w:after="0" w:line="115" w:lineRule="exact"/>
              <w:rPr>
                <w:sz w:val="20"/>
                <w:szCs w:val="20"/>
                <w:color w:val="auto"/>
              </w:rPr>
            </w:pPr>
            <w:r>
              <w:rPr>
                <w:rFonts w:ascii="Times New Roman" w:cs="Times New Roman" w:eastAsia="Times New Roman" w:hAnsi="Times New Roman"/>
                <w:sz w:val="12"/>
                <w:szCs w:val="12"/>
                <w:color w:val="auto"/>
              </w:rPr>
              <w:t>Provision for</w:t>
            </w: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52"/>
        </w:trPr>
        <w:tc>
          <w:tcPr>
            <w:tcW w:w="1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income taxes</w:t>
            </w:r>
          </w:p>
        </w:tc>
        <w:tc>
          <w:tcPr>
            <w:tcW w:w="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r>
      <w:tr>
        <w:trPr>
          <w:trHeight w:val="115"/>
        </w:trPr>
        <w:tc>
          <w:tcPr>
            <w:tcW w:w="1040" w:type="dxa"/>
            <w:vAlign w:val="bottom"/>
          </w:tcPr>
          <w:p>
            <w:pPr>
              <w:ind w:left="120"/>
              <w:spacing w:after="0" w:line="115" w:lineRule="exact"/>
              <w:rPr>
                <w:sz w:val="20"/>
                <w:szCs w:val="20"/>
                <w:color w:val="auto"/>
              </w:rPr>
            </w:pPr>
            <w:r>
              <w:rPr>
                <w:rFonts w:ascii="Times New Roman" w:cs="Times New Roman" w:eastAsia="Times New Roman" w:hAnsi="Times New Roman"/>
                <w:sz w:val="12"/>
                <w:szCs w:val="12"/>
                <w:color w:val="auto"/>
              </w:rPr>
              <w:t>Share-based</w:t>
            </w: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34"/>
        </w:trPr>
        <w:tc>
          <w:tcPr>
            <w:tcW w:w="1040" w:type="dxa"/>
            <w:vAlign w:val="bottom"/>
          </w:tcPr>
          <w:p>
            <w:pPr>
              <w:ind w:left="240"/>
              <w:spacing w:after="0" w:line="134" w:lineRule="exact"/>
              <w:rPr>
                <w:sz w:val="20"/>
                <w:szCs w:val="20"/>
                <w:color w:val="auto"/>
              </w:rPr>
            </w:pPr>
            <w:r>
              <w:rPr>
                <w:rFonts w:ascii="Times New Roman" w:cs="Times New Roman" w:eastAsia="Times New Roman" w:hAnsi="Times New Roman"/>
                <w:sz w:val="12"/>
                <w:szCs w:val="12"/>
                <w:color w:val="auto"/>
              </w:rPr>
              <w:t>compensation</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52"/>
        </w:trPr>
        <w:tc>
          <w:tcPr>
            <w:tcW w:w="10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expense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1,720</w:t>
            </w:r>
          </w:p>
        </w:tc>
        <w:tc>
          <w:tcPr>
            <w:tcW w:w="18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1,353</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1,821</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1,760</w:t>
            </w:r>
          </w:p>
        </w:tc>
        <w:tc>
          <w:tcPr>
            <w:tcW w:w="18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1,572</w:t>
            </w:r>
          </w:p>
        </w:tc>
        <w:tc>
          <w:tcPr>
            <w:tcW w:w="1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1,799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3,009</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2,360</w:t>
            </w:r>
          </w:p>
        </w:tc>
        <w:tc>
          <w:tcPr>
            <w:tcW w:w="1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2,869</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2,079</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2,160</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2,312</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2,844</w:t>
            </w:r>
          </w:p>
        </w:tc>
        <w:tc>
          <w:tcPr>
            <w:tcW w:w="180" w:type="dxa"/>
            <w:vAlign w:val="bottom"/>
          </w:tcPr>
          <w:p>
            <w:pPr>
              <w:spacing w:after="0"/>
              <w:rPr>
                <w:sz w:val="13"/>
                <w:szCs w:val="13"/>
                <w:color w:val="auto"/>
              </w:rPr>
            </w:pPr>
          </w:p>
        </w:tc>
      </w:tr>
      <w:tr>
        <w:trPr>
          <w:trHeight w:val="115"/>
        </w:trPr>
        <w:tc>
          <w:tcPr>
            <w:tcW w:w="1040" w:type="dxa"/>
            <w:vAlign w:val="bottom"/>
            <w:shd w:val="clear" w:color="auto" w:fill="CCEEFF"/>
          </w:tcPr>
          <w:p>
            <w:pPr>
              <w:ind w:left="120"/>
              <w:spacing w:after="0" w:line="115" w:lineRule="exact"/>
              <w:rPr>
                <w:sz w:val="20"/>
                <w:szCs w:val="20"/>
                <w:color w:val="auto"/>
              </w:rPr>
            </w:pPr>
            <w:r>
              <w:rPr>
                <w:rFonts w:ascii="Times New Roman" w:cs="Times New Roman" w:eastAsia="Times New Roman" w:hAnsi="Times New Roman"/>
                <w:sz w:val="12"/>
                <w:szCs w:val="12"/>
                <w:color w:val="auto"/>
              </w:rPr>
              <w:t>Amortization of</w:t>
            </w: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34"/>
        </w:trPr>
        <w:tc>
          <w:tcPr>
            <w:tcW w:w="1040" w:type="dxa"/>
            <w:vAlign w:val="bottom"/>
            <w:shd w:val="clear" w:color="auto" w:fill="CCEEFF"/>
          </w:tcPr>
          <w:p>
            <w:pPr>
              <w:ind w:left="240"/>
              <w:spacing w:after="0" w:line="134" w:lineRule="exact"/>
              <w:rPr>
                <w:sz w:val="20"/>
                <w:szCs w:val="20"/>
                <w:color w:val="auto"/>
              </w:rPr>
            </w:pPr>
            <w:r>
              <w:rPr>
                <w:rFonts w:ascii="Times New Roman" w:cs="Times New Roman" w:eastAsia="Times New Roman" w:hAnsi="Times New Roman"/>
                <w:sz w:val="12"/>
                <w:szCs w:val="12"/>
                <w:color w:val="auto"/>
              </w:rPr>
              <w:t>intangible</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52"/>
        </w:trPr>
        <w:tc>
          <w:tcPr>
            <w:tcW w:w="1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assets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w:t>
            </w: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538</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w:t>
            </w: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w:t>
            </w: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180" w:type="dxa"/>
            <w:vAlign w:val="bottom"/>
            <w:shd w:val="clear" w:color="auto" w:fill="CCEEFF"/>
          </w:tcPr>
          <w:p>
            <w:pPr>
              <w:spacing w:after="0"/>
              <w:rPr>
                <w:sz w:val="13"/>
                <w:szCs w:val="13"/>
                <w:color w:val="auto"/>
              </w:rPr>
            </w:pPr>
          </w:p>
        </w:tc>
      </w:tr>
      <w:tr>
        <w:trPr>
          <w:trHeight w:val="107"/>
        </w:trPr>
        <w:tc>
          <w:tcPr>
            <w:tcW w:w="1040" w:type="dxa"/>
            <w:vAlign w:val="bottom"/>
          </w:tcPr>
          <w:p>
            <w:pPr>
              <w:ind w:left="120"/>
              <w:spacing w:after="0" w:line="107" w:lineRule="exact"/>
              <w:rPr>
                <w:sz w:val="20"/>
                <w:szCs w:val="20"/>
                <w:color w:val="auto"/>
              </w:rPr>
            </w:pPr>
            <w:r>
              <w:rPr>
                <w:rFonts w:ascii="Times New Roman" w:cs="Times New Roman" w:eastAsia="Times New Roman" w:hAnsi="Times New Roman"/>
                <w:sz w:val="12"/>
                <w:szCs w:val="12"/>
                <w:color w:val="auto"/>
              </w:rPr>
              <w:t>Depreciation and</w:t>
            </w: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160"/>
        </w:trPr>
        <w:tc>
          <w:tcPr>
            <w:tcW w:w="1040" w:type="dxa"/>
            <w:vAlign w:val="bottom"/>
          </w:tcPr>
          <w:p>
            <w:pPr>
              <w:ind w:left="240"/>
              <w:spacing w:after="0" w:line="160" w:lineRule="exact"/>
              <w:rPr>
                <w:sz w:val="20"/>
                <w:szCs w:val="20"/>
                <w:color w:val="auto"/>
              </w:rPr>
            </w:pPr>
            <w:r>
              <w:rPr>
                <w:rFonts w:ascii="Times New Roman" w:cs="Times New Roman" w:eastAsia="Times New Roman" w:hAnsi="Times New Roman"/>
                <w:sz w:val="12"/>
                <w:szCs w:val="12"/>
                <w:color w:val="auto"/>
              </w:rPr>
              <w:t>amortization</w:t>
            </w:r>
            <w:r>
              <w:rPr>
                <w:rFonts w:ascii="Times New Roman" w:cs="Times New Roman" w:eastAsia="Times New Roman" w:hAnsi="Times New Roman"/>
                <w:sz w:val="18"/>
                <w:szCs w:val="18"/>
                <w:color w:val="auto"/>
                <w:vertAlign w:val="superscript"/>
              </w:rPr>
              <w:t>(1)</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523</w:t>
            </w:r>
          </w:p>
        </w:tc>
        <w:tc>
          <w:tcPr>
            <w:tcW w:w="18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541</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567</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581</w:t>
            </w:r>
          </w:p>
        </w:tc>
        <w:tc>
          <w:tcPr>
            <w:tcW w:w="18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584</w:t>
            </w:r>
          </w:p>
        </w:tc>
        <w:tc>
          <w:tcPr>
            <w:tcW w:w="1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594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605</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w:t>
            </w:r>
          </w:p>
        </w:tc>
        <w:tc>
          <w:tcPr>
            <w:tcW w:w="1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623</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669</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727</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777</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831</w:t>
            </w:r>
          </w:p>
        </w:tc>
        <w:tc>
          <w:tcPr>
            <w:tcW w:w="180" w:type="dxa"/>
            <w:vAlign w:val="bottom"/>
          </w:tcPr>
          <w:p>
            <w:pPr>
              <w:spacing w:after="0"/>
              <w:rPr>
                <w:sz w:val="13"/>
                <w:szCs w:val="13"/>
                <w:color w:val="auto"/>
              </w:rPr>
            </w:pPr>
          </w:p>
        </w:tc>
      </w:tr>
      <w:tr>
        <w:trPr>
          <w:trHeight w:val="115"/>
        </w:trPr>
        <w:tc>
          <w:tcPr>
            <w:tcW w:w="1040" w:type="dxa"/>
            <w:vAlign w:val="bottom"/>
            <w:shd w:val="clear" w:color="auto" w:fill="CCEEFF"/>
          </w:tcPr>
          <w:p>
            <w:pPr>
              <w:ind w:left="120"/>
              <w:spacing w:after="0" w:line="115" w:lineRule="exact"/>
              <w:rPr>
                <w:sz w:val="20"/>
                <w:szCs w:val="20"/>
                <w:color w:val="auto"/>
              </w:rPr>
            </w:pPr>
            <w:r>
              <w:rPr>
                <w:rFonts w:ascii="Times New Roman" w:cs="Times New Roman" w:eastAsia="Times New Roman" w:hAnsi="Times New Roman"/>
                <w:sz w:val="12"/>
                <w:szCs w:val="12"/>
                <w:color w:val="auto"/>
              </w:rPr>
              <w:t>Loss on disposal</w:t>
            </w: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34"/>
        </w:trPr>
        <w:tc>
          <w:tcPr>
            <w:tcW w:w="1040" w:type="dxa"/>
            <w:vAlign w:val="bottom"/>
            <w:shd w:val="clear" w:color="auto" w:fill="CCEEFF"/>
          </w:tcPr>
          <w:p>
            <w:pPr>
              <w:ind w:left="240"/>
              <w:spacing w:after="0" w:line="134" w:lineRule="exact"/>
              <w:rPr>
                <w:sz w:val="20"/>
                <w:szCs w:val="20"/>
                <w:color w:val="auto"/>
              </w:rPr>
            </w:pPr>
            <w:r>
              <w:rPr>
                <w:rFonts w:ascii="Times New Roman" w:cs="Times New Roman" w:eastAsia="Times New Roman" w:hAnsi="Times New Roman"/>
                <w:sz w:val="12"/>
                <w:szCs w:val="12"/>
                <w:color w:val="auto"/>
              </w:rPr>
              <w:t>of property and</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52"/>
        </w:trPr>
        <w:tc>
          <w:tcPr>
            <w:tcW w:w="1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equipment</w:t>
            </w:r>
          </w:p>
        </w:tc>
        <w:tc>
          <w:tcPr>
            <w:tcW w:w="2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shd w:val="clear" w:color="auto" w:fill="CCEEFF"/>
          </w:tcPr>
          <w:p>
            <w:pPr>
              <w:spacing w:after="0"/>
              <w:rPr>
                <w:sz w:val="13"/>
                <w:szCs w:val="13"/>
                <w:color w:val="auto"/>
              </w:rPr>
            </w:pPr>
          </w:p>
        </w:tc>
      </w:tr>
      <w:tr>
        <w:trPr>
          <w:trHeight w:val="154"/>
        </w:trPr>
        <w:tc>
          <w:tcPr>
            <w:tcW w:w="10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 (15,921)</w:t>
            </w: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(15,210)</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(14,960)</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(15,268)</w:t>
            </w: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 (17,403)</w:t>
            </w: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(15,622)</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(9,860)</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(9,773)</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 (13,999)</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(6,786)</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(5,135)</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(3,509)</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(4,218)</w:t>
            </w:r>
          </w:p>
        </w:tc>
      </w:tr>
      <w:tr>
        <w:trPr>
          <w:trHeight w:val="20"/>
        </w:trPr>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09"/>
        </w:trPr>
        <w:tc>
          <w:tcPr>
            <w:tcW w:w="104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GAAP net loss and</w:t>
            </w: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r>
      <w:tr>
        <w:trPr>
          <w:trHeight w:val="134"/>
        </w:trPr>
        <w:tc>
          <w:tcPr>
            <w:tcW w:w="1040" w:type="dxa"/>
            <w:vAlign w:val="bottom"/>
            <w:shd w:val="clear" w:color="auto" w:fill="CCEEFF"/>
          </w:tcPr>
          <w:p>
            <w:pPr>
              <w:ind w:left="120"/>
              <w:spacing w:after="0" w:line="134" w:lineRule="exact"/>
              <w:rPr>
                <w:sz w:val="20"/>
                <w:szCs w:val="20"/>
                <w:color w:val="auto"/>
              </w:rPr>
            </w:pPr>
            <w:r>
              <w:rPr>
                <w:rFonts w:ascii="Times New Roman" w:cs="Times New Roman" w:eastAsia="Times New Roman" w:hAnsi="Times New Roman"/>
                <w:sz w:val="12"/>
                <w:szCs w:val="12"/>
                <w:color w:val="auto"/>
              </w:rPr>
              <w:t>comprehensive</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34"/>
        </w:trPr>
        <w:tc>
          <w:tcPr>
            <w:tcW w:w="1040" w:type="dxa"/>
            <w:vAlign w:val="bottom"/>
            <w:shd w:val="clear" w:color="auto" w:fill="CCEEFF"/>
          </w:tcPr>
          <w:p>
            <w:pPr>
              <w:ind w:left="120"/>
              <w:spacing w:after="0" w:line="134" w:lineRule="exact"/>
              <w:rPr>
                <w:sz w:val="20"/>
                <w:szCs w:val="20"/>
                <w:color w:val="auto"/>
              </w:rPr>
            </w:pPr>
            <w:r>
              <w:rPr>
                <w:rFonts w:ascii="Times New Roman" w:cs="Times New Roman" w:eastAsia="Times New Roman" w:hAnsi="Times New Roman"/>
                <w:sz w:val="12"/>
                <w:szCs w:val="12"/>
                <w:color w:val="auto"/>
              </w:rPr>
              <w:t>loss margin (as a</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34"/>
        </w:trPr>
        <w:tc>
          <w:tcPr>
            <w:tcW w:w="1040" w:type="dxa"/>
            <w:vAlign w:val="bottom"/>
            <w:shd w:val="clear" w:color="auto" w:fill="CCEEFF"/>
          </w:tcPr>
          <w:p>
            <w:pPr>
              <w:ind w:left="120"/>
              <w:spacing w:after="0" w:line="134" w:lineRule="exact"/>
              <w:rPr>
                <w:sz w:val="20"/>
                <w:szCs w:val="20"/>
                <w:color w:val="auto"/>
              </w:rPr>
            </w:pPr>
            <w:r>
              <w:rPr>
                <w:rFonts w:ascii="Times New Roman" w:cs="Times New Roman" w:eastAsia="Times New Roman" w:hAnsi="Times New Roman"/>
                <w:sz w:val="12"/>
                <w:szCs w:val="12"/>
                <w:color w:val="auto"/>
              </w:rPr>
              <w:t>percentage of</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52"/>
        </w:trPr>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revenue)</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(93.5)%</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(81.9)%</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(82.1)%</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(70.4)%</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(75.0)%</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(64.1)%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(42.4)%</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(42.8)%</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(54.1)%</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(25.9)%</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(17.2)%</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(17.2)%</w:t>
            </w:r>
          </w:p>
        </w:tc>
      </w:tr>
      <w:tr>
        <w:trPr>
          <w:trHeight w:val="115"/>
        </w:trPr>
        <w:tc>
          <w:tcPr>
            <w:tcW w:w="104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Adjusted EBITDA</w:t>
            </w: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34"/>
        </w:trPr>
        <w:tc>
          <w:tcPr>
            <w:tcW w:w="104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margin (as a</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4"/>
        </w:trPr>
        <w:tc>
          <w:tcPr>
            <w:tcW w:w="104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percentage of</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63"/>
        </w:trPr>
        <w:tc>
          <w:tcPr>
            <w:tcW w:w="10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revenue)</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(78.8)%</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(69.9)%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(68.2)%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(60.4)%</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(65.9)%</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(50.6)%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(29.9)%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(30.0)%</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(39.9)%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(16.5)%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77470</wp:posOffset>
            </wp:positionV>
            <wp:extent cx="7550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33" w:lineRule="exact"/>
        <w:rPr>
          <w:sz w:val="20"/>
          <w:szCs w:val="20"/>
          <w:color w:val="auto"/>
        </w:rPr>
      </w:pPr>
    </w:p>
    <w:p>
      <w:pPr>
        <w:ind w:left="600" w:hanging="426"/>
        <w:spacing w:after="0"/>
        <w:tabs>
          <w:tab w:leader="none" w:pos="6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includes depreciation of property and equipment and amortization of capitalized internal-use software costs.</w:t>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4" w:lineRule="exact"/>
        <w:rPr>
          <w:sz w:val="20"/>
          <w:szCs w:val="20"/>
          <w:color w:val="auto"/>
        </w:rPr>
      </w:pPr>
    </w:p>
    <w:p>
      <w:pPr>
        <w:jc w:val="both"/>
        <w:ind w:left="180" w:right="160" w:firstLine="436"/>
        <w:spacing w:after="0" w:line="257"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through proceeds from issuance of our redeemable convertible preferred stock, debt financing agreements, and cash generated from the sale of our products and services. As of March 31, 2025, our principal sources of liquidity were cash and cash equivalents of $59.4 million and working capital of $53.3 million. Cash and cash equivalents are composed of cash held in sweep accounts, checking accounts, and money market funds. Our principal use of cash is to fund our operations and invest in R&amp;D to support our growth.</w:t>
      </w:r>
    </w:p>
    <w:p>
      <w:pPr>
        <w:spacing w:after="0" w:line="182" w:lineRule="exact"/>
        <w:rPr>
          <w:sz w:val="20"/>
          <w:szCs w:val="20"/>
          <w:color w:val="auto"/>
        </w:rPr>
      </w:pPr>
    </w:p>
    <w:p>
      <w:pPr>
        <w:jc w:val="both"/>
        <w:ind w:left="180" w:right="160" w:firstLine="436"/>
        <w:spacing w:after="0" w:line="252" w:lineRule="auto"/>
        <w:rPr>
          <w:sz w:val="20"/>
          <w:szCs w:val="20"/>
          <w:color w:val="auto"/>
        </w:rPr>
      </w:pPr>
      <w:r>
        <w:rPr>
          <w:rFonts w:ascii="Times New Roman" w:cs="Times New Roman" w:eastAsia="Times New Roman" w:hAnsi="Times New Roman"/>
          <w:sz w:val="18"/>
          <w:szCs w:val="18"/>
          <w:color w:val="auto"/>
        </w:rPr>
        <w:t>We have generated significant losses from operations and negative cash flows from operating activities in the past, as reflected in our accumulated deficit of $453.4 million as of March 31, 2025. We believe that our current cash and cash equivalents will be sufficient to fund our operations for at least the next 12 months. Our future capital requirements, however, will depend on many factors, including our growth rate, the timing and extent of our sales and marketing and R&amp;D expenditures, the continuing market acceptance of our products and services, and the use of cash to fund potential mergers or acquisitions. In the event that additional financing is required from outside sources, we may seek to raise additional funds through equity, equity-linked arrangements, and debt. If we are unable to raise additional capital when desired and on acceptable terms, our business, results of operations, and financial condition could be materially and adversely affected.</w:t>
      </w:r>
    </w:p>
    <w:p>
      <w:pPr>
        <w:spacing w:after="0" w:line="189" w:lineRule="exact"/>
        <w:rPr>
          <w:sz w:val="20"/>
          <w:szCs w:val="20"/>
          <w:color w:val="auto"/>
        </w:rPr>
      </w:pPr>
    </w:p>
    <w:p>
      <w:pPr>
        <w:jc w:val="both"/>
        <w:ind w:left="180" w:right="160" w:firstLine="436"/>
        <w:spacing w:after="0" w:line="253" w:lineRule="auto"/>
        <w:rPr>
          <w:sz w:val="20"/>
          <w:szCs w:val="20"/>
          <w:color w:val="auto"/>
        </w:rPr>
      </w:pPr>
      <w:r>
        <w:rPr>
          <w:rFonts w:ascii="Times New Roman" w:cs="Times New Roman" w:eastAsia="Times New Roman" w:hAnsi="Times New Roman"/>
          <w:sz w:val="18"/>
          <w:szCs w:val="18"/>
          <w:color w:val="auto"/>
        </w:rPr>
        <w:t>In May 2020, we entered into the Perceptive Credit Agreement for a senior secured delayed draw term loan facility in an aggregate principal amount of $50.0 million, with up to $30.0 million in aggregate principal available upon the closing date and up to $20.0 million in aggregate principal to be available after the closing date but prior to March 31, 2022 (the “Perceptive Loan”). Upon the closing date, we drew down $30.0 million of the Perceptive Loan. The maturity date of the Perceptive Loan was May 18, 2025. The outstanding principal balance and accrued interest were paid in full in June 2023 with a portion of the proceeds of the MidCap Term Facility (as defined below), and as of December 31, 2023, the outstanding balance was $0.</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45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Interest was charged on any outstanding principal of the Perceptive Loan at the sum of (i) 9.50% plus (ii) the greater of (x) the reference rate as of the second business day immediately preceding the first day of the month and (y) 1.75%, payable monthly. The Perceptive Loan was subject to monthly reporting requirements and a financial covenant to maintain a minimum balance of $3.0 million in cash and trailing 12-month revenue levels measured on the last day of each fiscal quarter.</w:t>
      </w:r>
    </w:p>
    <w:p>
      <w:pPr>
        <w:spacing w:after="0" w:line="182" w:lineRule="exact"/>
        <w:rPr>
          <w:sz w:val="20"/>
          <w:szCs w:val="20"/>
          <w:color w:val="auto"/>
        </w:rPr>
      </w:pPr>
    </w:p>
    <w:p>
      <w:pPr>
        <w:jc w:val="both"/>
        <w:ind w:left="180" w:firstLine="436"/>
        <w:spacing w:after="0" w:line="249" w:lineRule="auto"/>
        <w:rPr>
          <w:sz w:val="20"/>
          <w:szCs w:val="20"/>
          <w:color w:val="auto"/>
        </w:rPr>
      </w:pPr>
      <w:r>
        <w:rPr>
          <w:rFonts w:ascii="Times New Roman" w:cs="Times New Roman" w:eastAsia="Times New Roman" w:hAnsi="Times New Roman"/>
          <w:sz w:val="18"/>
          <w:szCs w:val="18"/>
          <w:color w:val="auto"/>
        </w:rPr>
        <w:t>In June 2023, we entered into a financing arrangement with Physera, Inc., MidCap Funding IV Trust (“MidCap”), as administrative agent, MidCap Financial Trust, as term loan servicer, certain funds managed by MidCap, as lenders, and the lenders, additional borrowers, and guarantors from time to time party thereto (as amended, restated, amended and restated, supplemented, or otherwise modified from time to time, the “MidCap Credit Agreement”), for a senior secured term loan (the “MidCap Term Facility”) in an aggregate principal amount of up to $60.0 million, with up to $30.0 million available upon the initial closing date and up to $30.0 million (the “Second Tranche”) available for draw from October 2024 through March 2025 conditional upon achievement of $120.0 million of trailing 12-month revenue (the “Revenue Condition”) and $60.0 million liquidity. On March 7, 2025, we entered into an amendment to the MidCap Credit Agreement which, among other things, (i) extended the availability of the Second Tranche until December 31, 2025 and (ii) modified the Revenue Condition to require trailing 12-month revenue of $165.0 million if the Second Tranche is advanced during the first fiscal quarter of 2025, $170.0 million if the Second Tranche is advanced during the second fiscal quarter of 2025, $175.0 million if the Second Tranche is advanced during the third fiscal quarter of 2025, and $180.0 million if the Second Tranche is advanced during the fourth fiscal quarter of 2025. Upon the initial closing date of the MidCap Credit Agreement, we drew down on $30.0 million of the MidCap Term Facility and used a portion of the proceeds to repay the outstanding principal balance (including prepayment premium) and accrued interest on the Perceptive Credit Agreement. The MidCap Term Facility is interest-only for 48 months. At the end of the initial interest-only period, we can elect to extend the interest-only period an additional 12 months if we meet a certain trailing 12-month revenue level (the “Minimum Net Revenue”) and no event of default has occurred and is continuing. The MidCap Credit Agreement also includes a revolving line of credit facility (the “MidCap Revolving Facility”) allowing for up to $20.0 million in revolving borrowings. The availability of the MidCap Revolving Facility is calculated as a percentage of our outstanding accounts receivable and inventory balances (“Availability”). We are required to maintain a minimum drawn balance on the MidCap Revolving Facility of no less than 20% of Availability, or will be required to pay a fee equal to the MidCap Revolving Facility interest rate on the difference between the amount of revolving loans drawn and 20% of Availability. Upon the initial closing date of the MidCap Credit Agreement, we drew $1.0 million on the MidCap Revolving Facility. The maturity date of the MidCap Term Facility and the MidCap Revolving Facility is June 1, 2028. As of each of December 31, 2024 and March 31, 2025, the outstanding balance on the MidCap Term Facility was $30.0 million and the outstanding balance on the MidCap Revolving Facility was $1.0 million.</w:t>
      </w:r>
    </w:p>
    <w:p>
      <w:pPr>
        <w:spacing w:after="0" w:line="191"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7"/>
          <w:szCs w:val="17"/>
          <w:color w:val="auto"/>
        </w:rPr>
        <w:t>Interest is charged on any outstanding principal of the MidCap Term Facility at the sum of the one-month forward-looking term SOFR rate, plus 0.10% (“Adjusted SOFR”), plus 7.00%, subject to a floor of 2.50%. Interest on the MidCap Revolving Facility is charged at the sum of Adjusted SOFR plus 4.00%, subject to a floor of 2.50%. Both interest rates are reset monthly. The effective interest rate for the three months ended March 31, 2024 and 2025 was 14.4% and 13.4%, respectively, on the MidCap Term Facility, and 12.0% and 11.3%, respectively, on the MidCap Revolving Facility.</w:t>
      </w:r>
    </w:p>
    <w:p>
      <w:pPr>
        <w:spacing w:after="0" w:line="166"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The MidCap Credit Agreement includes customary covenants for a facility of this type, including monthly reporting requirements and, at any time that liquidity is less than 1.50x the outstanding principal balance of the MidCap Term Facility, a financial covenant to maintain minimum trailing 12-month net revenue levels specified in the MidCap Credit Agreement. The MidCap Credit Agreement also contains various covenants that limit our ability to, among other things: sell, transfer, lease, or dispose of our assets subject to certain exclusions; create, incur, assume, guarantee, or assume additional indebtedness, other than certain permitted indebtedness; encumber or permit liens on any of our assets other than certain permitted liens; make restricted payments, including paying cash dividends on, repurchasing or making distributions with respect to any of our capital stock; make specified investments; consolidate, merge with, or acquire any other entity, or sell or otherwise dispose of</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80"/>
          </w:cols>
          <w:pgMar w:left="320" w:top="451" w:right="4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62" w:lineRule="auto"/>
        <w:rPr>
          <w:sz w:val="20"/>
          <w:szCs w:val="20"/>
          <w:color w:val="auto"/>
        </w:rPr>
      </w:pPr>
      <w:r>
        <w:rPr>
          <w:rFonts w:ascii="Times New Roman" w:cs="Times New Roman" w:eastAsia="Times New Roman" w:hAnsi="Times New Roman"/>
          <w:sz w:val="18"/>
          <w:szCs w:val="18"/>
          <w:color w:val="auto"/>
        </w:rPr>
        <w:t>all or substantially all of our assets; and enter into certain transactions with our affiliates, in each case, subject to certain exceptions, baskets, and thresholds set forth in the MidCap Credit Agreement. As of December 31, 2024 and March 31, 2025, we were in compliance with our financial covenants.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2024 and 2025:</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56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0"/>
        </w:trPr>
        <w:tc>
          <w:tcPr>
            <w:tcW w:w="56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040" w:type="dxa"/>
            <w:vAlign w:val="bottom"/>
            <w:tcBorders>
              <w:top w:val="single" w:sz="8" w:color="auto"/>
              <w:bottom w:val="single" w:sz="8" w:color="auto"/>
            </w:tcBorders>
          </w:tcPr>
          <w:p>
            <w:pPr>
              <w:jc w:val="right"/>
              <w:ind w:right="4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4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760" w:type="dxa"/>
            <w:vAlign w:val="bottom"/>
            <w:tcBorders>
              <w:top w:val="single" w:sz="8" w:color="auto"/>
              <w:bottom w:val="single" w:sz="8" w:color="auto"/>
            </w:tcBorders>
          </w:tcPr>
          <w:p>
            <w:pPr>
              <w:jc w:val="right"/>
              <w:ind w:right="35"/>
              <w:spacing w:after="0" w:line="141" w:lineRule="exact"/>
              <w:rPr>
                <w:sz w:val="20"/>
                <w:szCs w:val="20"/>
                <w:color w:val="auto"/>
              </w:rPr>
            </w:pPr>
            <w:r>
              <w:rPr>
                <w:rFonts w:ascii="Times New Roman" w:cs="Times New Roman" w:eastAsia="Times New Roman" w:hAnsi="Times New Roman"/>
                <w:sz w:val="14"/>
                <w:szCs w:val="14"/>
                <w:b w:val="1"/>
                <w:bCs w:val="1"/>
                <w:color w:val="auto"/>
                <w:w w:val="98"/>
              </w:rPr>
              <w:t xml:space="preserve">   2025    </w:t>
            </w:r>
          </w:p>
        </w:tc>
        <w:tc>
          <w:tcPr>
            <w:tcW w:w="100" w:type="dxa"/>
            <w:vAlign w:val="bottom"/>
          </w:tcPr>
          <w:p>
            <w:pPr>
              <w:spacing w:after="0"/>
              <w:rPr>
                <w:sz w:val="12"/>
                <w:szCs w:val="12"/>
                <w:color w:val="auto"/>
              </w:rPr>
            </w:pPr>
          </w:p>
        </w:tc>
      </w:tr>
      <w:tr>
        <w:trPr>
          <w:trHeight w:val="140"/>
        </w:trPr>
        <w:tc>
          <w:tcPr>
            <w:tcW w:w="56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gridSpan w:val="3"/>
          </w:tcPr>
          <w:p>
            <w:pPr>
              <w:jc w:val="right"/>
              <w:ind w:right="375"/>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unaudited)</w:t>
            </w:r>
          </w:p>
        </w:tc>
        <w:tc>
          <w:tcPr>
            <w:tcW w:w="100" w:type="dxa"/>
            <w:vAlign w:val="bottom"/>
          </w:tcPr>
          <w:p>
            <w:pPr>
              <w:spacing w:after="0"/>
              <w:rPr>
                <w:sz w:val="12"/>
                <w:szCs w:val="12"/>
                <w:color w:val="auto"/>
              </w:rPr>
            </w:pPr>
          </w:p>
        </w:tc>
      </w:tr>
      <w:tr>
        <w:trPr>
          <w:trHeight w:val="21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940" w:type="dxa"/>
            <w:vAlign w:val="bottom"/>
            <w:gridSpan w:val="2"/>
            <w:shd w:val="clear" w:color="auto" w:fill="CCEEFF"/>
          </w:tcPr>
          <w:p>
            <w:pPr>
              <w:ind w:left="27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(20,647)</w:t>
            </w:r>
          </w:p>
        </w:tc>
        <w:tc>
          <w:tcPr>
            <w:tcW w:w="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(16,118)</w:t>
            </w:r>
          </w:p>
        </w:tc>
      </w:tr>
      <w:tr>
        <w:trPr>
          <w:trHeight w:val="21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94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60"/>
              <w:spacing w:after="0"/>
              <w:rPr>
                <w:sz w:val="20"/>
                <w:szCs w:val="20"/>
                <w:color w:val="auto"/>
              </w:rPr>
            </w:pPr>
            <w:r>
              <w:rPr>
                <w:rFonts w:ascii="Times New Roman" w:cs="Times New Roman" w:eastAsia="Times New Roman" w:hAnsi="Times New Roman"/>
                <w:sz w:val="18"/>
                <w:szCs w:val="18"/>
                <w:color w:val="auto"/>
              </w:rPr>
              <w:t>(781)</w:t>
            </w:r>
          </w:p>
        </w:tc>
        <w:tc>
          <w:tcPr>
            <w:tcW w:w="4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(1,249)</w:t>
            </w:r>
          </w:p>
        </w:tc>
      </w:tr>
      <w:tr>
        <w:trPr>
          <w:trHeight w:val="21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940" w:type="dxa"/>
            <w:vAlign w:val="bottom"/>
            <w:gridSpan w:val="2"/>
            <w:shd w:val="clear" w:color="auto" w:fill="CCEEFF"/>
          </w:tcPr>
          <w:p>
            <w:pPr>
              <w:ind w:left="27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556</w:t>
            </w:r>
          </w:p>
        </w:tc>
        <w:tc>
          <w:tcPr>
            <w:tcW w:w="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8"/>
                <w:szCs w:val="18"/>
                <w:color w:val="auto"/>
              </w:rPr>
            </w:pPr>
          </w:p>
        </w:tc>
      </w:tr>
    </w:tbl>
    <w:p>
      <w:pPr>
        <w:spacing w:after="0" w:line="19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2"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Our largest source of operating cash flows is cash collections from our customers who purchase access to our programs for their members. Our primary use of cash in operating activities is for personnel and related expenses, marketing expenses, and third-party hosting and software costs. We have incurred negative cash flows from operating activities and have supplemented working capital requirements through net proceeds from the sale of redeemable convertible preferred stock and proceeds from debt financing arrangements.</w:t>
      </w:r>
    </w:p>
    <w:p>
      <w:pPr>
        <w:spacing w:after="0" w:line="182"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2025 of $16.1 million was the result of a $9.4 million net loss, adjusted for $6.4 million of non-cash adjustments and $13.0 million of net cash outflow from changes in operating assets and liabilities. The non-cash adjustments primarily consisted of $2.8 million of share-based compensation expense, $1.3 million of depreciation and amortization expense, $0.7 million of amortization of deferred commissions, $0.6 million in provision for credit losses, $0.5 million in fair value of warrant liabilities, $0.2 million of amortization of operating lease right-of-use assets, and $0.1 million of amortization of debt issuance costs. The net cash outflow from changes in operating assets and liabilities was primarily the result of a $8.4 million decrease in accrued expenses and other current liabilities, a $6.5 million increase in accounts receivable, a $1.2 million increase in deferred commissions, a $0.6 million increase in prepaid and other current assets, and $0.2 million decrease in operating lease liabilities, partially offset by a $3.3 million increase in deferred revenue, a $0.3 million decrease in inventory, and a $0.3 million increase in accounts payable.</w:t>
      </w:r>
    </w:p>
    <w:p>
      <w:pPr>
        <w:spacing w:after="0" w:line="189"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2024 of $20.6 million was the result of a $19.0 million net loss, adjusted for $5.3 million of non-cash adjustments and $7.0 million of net cash outflow from changes in operating assets and liabilities. The non-cash adjustments primarily consisted of $2.9 million of share-based compensation expense, $1.1 million of depreciation and amortization expense, $0.5 million of amortization of deferred commissions, $0.4 million in fair value of warrant liabilities, $0.2 million in provision for credit losses, $0.2 million of amortization of operating lease right-of-use assets, and $0.1 million of amortization of debt issuance costs. The net cash outflow from changes in operating assets and liabilities was primarily the result of a $8.3 million increase in accounts receivable, a $3.4 million decrease in accrued expenses and other current liabilities, a $2.0 million increase in deferred commissions, a $0.7 million decrease in accounts payable, a $0.6 million increase in prepaid and other current assets, and a $0.2 million decrease in operating lease liabilities, partially offset by a $7.4 million increase in deferred revenue, a $0.6 million decrease in inventory, and a $0.1 million decrease in other non-current assets.</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2"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2025 of $1.2 million was the result of purchases of property and equipment of $0.3 million and capitalized internal-use software costs of $0.9 million.</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80"/>
          </w:cols>
          <w:pgMar w:left="320" w:top="451" w:right="4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2024 of $0.8 million was the result of purchases of property and equipment of $0.2 million and capitalized internal-use software costs of $0.6 million.</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2025 of $0.4 million was the result of $0.9 million of proceeds from the exercise of stock options, partially offset by $0.5 million of payments for deferred offering costs.</w:t>
      </w:r>
    </w:p>
    <w:p>
      <w:pPr>
        <w:spacing w:after="0" w:line="163"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2024 of $0.6 million was the result of $1.0 million of proceeds from the exercise of stock options, partially offset by $0.4 million of payments for deferred offering costs.</w:t>
      </w:r>
    </w:p>
    <w:p>
      <w:pPr>
        <w:spacing w:after="0" w:line="16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2023 and 2024:</w:t>
      </w:r>
    </w:p>
    <w:p>
      <w:pPr>
        <w:spacing w:after="0" w:line="241"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5415915</wp:posOffset>
            </wp:positionH>
            <wp:positionV relativeFrom="paragraph">
              <wp:posOffset>6985</wp:posOffset>
            </wp:positionV>
            <wp:extent cx="155257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552575" cy="8255"/>
                    </a:xfrm>
                    <a:prstGeom prst="rect">
                      <a:avLst/>
                    </a:prstGeom>
                    <a:noFill/>
                  </pic:spPr>
                </pic:pic>
              </a:graphicData>
            </a:graphic>
          </wp:anchor>
        </w:drawing>
      </w:r>
    </w:p>
    <w:p>
      <w:pPr>
        <w:ind w:left="8520"/>
        <w:spacing w:after="0"/>
        <w:tabs>
          <w:tab w:leader="none" w:pos="10100" w:val="left"/>
        </w:tabs>
        <w:rPr>
          <w:sz w:val="20"/>
          <w:szCs w:val="20"/>
          <w:color w:val="auto"/>
        </w:rPr>
      </w:pPr>
      <w:r>
        <w:rPr>
          <w:rFonts w:ascii="Times New Roman" w:cs="Times New Roman" w:eastAsia="Times New Roman" w:hAnsi="Times New Roman"/>
          <w:sz w:val="14"/>
          <w:szCs w:val="14"/>
          <w:b w:val="1"/>
          <w:bCs w:val="1"/>
          <w:color w:val="auto"/>
        </w:rPr>
        <w:t xml:space="preserve">      2023    </w:t>
      </w:r>
      <w:r>
        <w:rPr>
          <w:sz w:val="20"/>
          <w:szCs w:val="20"/>
          <w:color w:val="auto"/>
        </w:rPr>
        <w:tab/>
      </w:r>
      <w:r>
        <w:rPr>
          <w:rFonts w:ascii="Times New Roman" w:cs="Times New Roman" w:eastAsia="Times New Roman" w:hAnsi="Times New Roman"/>
          <w:sz w:val="14"/>
          <w:szCs w:val="14"/>
          <w:b w:val="1"/>
          <w:bCs w:val="1"/>
          <w:color w:val="auto"/>
        </w:rPr>
        <w:t xml:space="preserve">      2024 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5415915</wp:posOffset>
            </wp:positionH>
            <wp:positionV relativeFrom="paragraph">
              <wp:posOffset>-3810</wp:posOffset>
            </wp:positionV>
            <wp:extent cx="155257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552575" cy="8255"/>
                    </a:xfrm>
                    <a:prstGeom prst="rect">
                      <a:avLst/>
                    </a:prstGeom>
                    <a:noFill/>
                  </pic:spPr>
                </pic:pic>
              </a:graphicData>
            </a:graphic>
          </wp:anchor>
        </w:drawing>
      </w:r>
    </w:p>
    <w:p>
      <w:pPr>
        <w:ind w:left="9320"/>
        <w:spacing w:after="0" w:line="228" w:lineRule="auto"/>
        <w:rPr>
          <w:sz w:val="20"/>
          <w:szCs w:val="20"/>
          <w:color w:val="auto"/>
        </w:rPr>
      </w:pPr>
      <w:r>
        <w:rPr>
          <w:rFonts w:ascii="Times New Roman" w:cs="Times New Roman" w:eastAsia="Times New Roman" w:hAnsi="Times New Roman"/>
          <w:sz w:val="14"/>
          <w:szCs w:val="14"/>
          <w:b w:val="1"/>
          <w:bCs w:val="1"/>
          <w:color w:val="auto"/>
        </w:rPr>
        <w:t>(in thousands)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(49,738)</w:t>
            </w:r>
          </w:p>
        </w:tc>
        <w:tc>
          <w:tcPr>
            <w:tcW w:w="5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(34,179)</w:t>
            </w:r>
          </w:p>
        </w:tc>
      </w:tr>
      <w:tr>
        <w:trPr>
          <w:trHeight w:val="21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(2,921)</w:t>
            </w: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r>
      <w:tr>
        <w:trPr>
          <w:trHeight w:val="214"/>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179</w:t>
            </w:r>
          </w:p>
        </w:tc>
        <w:tc>
          <w:tcPr>
            <w:tcW w:w="5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r>
    </w:tbl>
    <w:p>
      <w:pPr>
        <w:spacing w:after="0" w:line="19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2"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Our largest source of operating cash flows is cash collections from our customers who purchase access to our programs for their members. Our primary use of cash in operating activities is for personnel and related expenses, marketing expenses, and third-party hosting and software costs. We have incurred negative cash flows from operating activities and have supplemented working capital requirements through net proceeds from the sale of redeemable convertible preferred stock and proceeds from debt financing arrangements.</w:t>
      </w:r>
    </w:p>
    <w:p>
      <w:pPr>
        <w:spacing w:after="0" w:line="182"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2024 of $34.2 million was the result of a $47.1 million net loss, adjusted for $19.5 million of non-cash adjustments and $6.6 million of net cash outflow from changes in operating assets and liabilities. The non-cash adjustments consisted primarily of $9.4 million of share-based compensation expense, $4.8 million of depreciation and amortization expense, $2.6 million of amortization of deferred commissions, $1.8 million increase in the provision for credit losses, $0.7 million of amortization of operating lease right-of-use assets, and $0.4 million of amortization of debt issuance costs, offset by a decrease in the fair value of warrant liabilities of $0.2 million. The net cash outflow from changes in operating assets and liabilities was primarily the result of an $8.8 million increase in accounts receivable, a $1.9 million increase in prepaid and other current assets, a $6.4 million increase in deferred commissions, a $0.8 million decrease in operating lease liabilities, partially offset by a $5.3 million increase in accrued expenses and other current liabilities, a $4.6 million increase in deferred revenue, a $0.4 million increase in accounts payable, a $0.4 million decrease in other non-current assets, a $0.3 million decrease in inventory, and a $0.2 million increase in other non-current liabilities.</w:t>
      </w:r>
    </w:p>
    <w:p>
      <w:pPr>
        <w:spacing w:after="0" w:line="186" w:lineRule="exact"/>
        <w:rPr>
          <w:sz w:val="20"/>
          <w:szCs w:val="20"/>
          <w:color w:val="auto"/>
        </w:rPr>
      </w:pPr>
    </w:p>
    <w:p>
      <w:pPr>
        <w:jc w:val="both"/>
        <w:ind w:left="180" w:right="20" w:firstLine="436"/>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2023 of $49.7 million was the result of a $67.5 million net loss, adjusted for $19.3 million of non-cash adjustments and $1.5 million of net cash outflow from changes in operating assets and liabilities. The non-cash adjustments consisted primarily of $8.7 million in share-based compensation expense, $4.4 million of depreciation and amortization expense, $1.8 million of amortization of deferred commissions, $0.7 million of amortization of operating lease right-of-use assets, a $1.5 million loss on debt extinguishment, $0.4 million of amortization of debt issuance costs, a change in fair value of warrant liabilities of $1.0 million, $0.2 million of loss on disposal of property and equipment, and a $0.5 million increase in the provision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80"/>
          </w:cols>
          <w:pgMar w:left="320" w:top="451" w:right="4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for credit losses. The net cash outflow from changes in operating assets and liabilities was primarily the result of a $5.3 million increase in accounts receivable, a $1.5 million increase in prepaid and other current assets, a $3.7 million increase in deferred commissions, a $0.7 million decrease in operating lease liabilities, and a $0.3 million decrease in accounts payable, partially offset by a $8.3 million increase in accrued expenses and other current liabilities, a $1.4 million increase in deferred revenue, a $0.2 million decrease in other non-current assets, and a $0.1 million increase in other non-current liabilities.</w:t>
      </w:r>
    </w:p>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2024 of $3.9 million was the result of purchases of property and equipment of $0.6 million and capitalized internal-use software costs of $3.3 million.</w:t>
      </w:r>
    </w:p>
    <w:p>
      <w:pPr>
        <w:spacing w:after="0" w:line="163"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2023 of $2.9 million was the result of purchases of property and equipment of $0.4 million and capitalized internal-use software costs of $2.5 million.</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2024 of $1.2 million was the result of $4.5 million of payments for deferred offering costs, partially offset by $3.3 million of proceeds from the exercise of stock options.</w:t>
      </w:r>
    </w:p>
    <w:p>
      <w:pPr>
        <w:spacing w:after="0" w:line="163"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of $0.2 million was the result of $1.8 million of proceeds from the exercise of stock options and $1.0 million net proceeds from the issuance of debt and payment of long-term debt financing, partially offset by $1.8 million of payments for debt issuance costs associated with the MidCap Credit Agreement, $0.6 million of debt extinguishment costs associated with terminating the Perceptive Loan, and $0.1 million of payments for deferred offering costs.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220" w:lineRule="exact"/>
        <w:rPr>
          <w:sz w:val="20"/>
          <w:szCs w:val="20"/>
          <w:color w:val="auto"/>
        </w:rPr>
      </w:pPr>
    </w:p>
    <w:p>
      <w:pPr>
        <w:jc w:val="both"/>
        <w:ind w:left="180" w:firstLine="43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r>
        <w:rPr>
          <w:rFonts w:ascii="Times New Roman" w:cs="Times New Roman" w:eastAsia="Times New Roman" w:hAnsi="Times New Roman"/>
          <w:sz w:val="18"/>
          <w:szCs w:val="18"/>
          <w:color w:val="auto"/>
        </w:rPr>
        <w:t>. Our operating lease commitments primarily consist of the lease of our corporate offices. As of March 31, 2025,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had fixed lease payment obligations of $0.3 million, all of which are expected to be paid within 12 months. For additional discussion of our operating leases, see Note 7 to our audited consolidated financial statements and Note 6 to our unaudited condensed consolidated financial statements included elsewhere in this prospectus.</w:t>
      </w:r>
    </w:p>
    <w:p>
      <w:pPr>
        <w:spacing w:after="0" w:line="175"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Purchase commitments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unconditional purchase commitments primarily consist of technology and cloud services related to our daily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operations. As of March 31, 2025, we had $3.0 million of unconditional purchase commitments due in 2025, $3.5 million due in 2026, and $2.4 million due in 2027 and thereafter. The purchase obligation amounts do not represent the entire anticipated purchases in the future but represent only those items for which we are contractually obligated. The majority of our goods and services are purchased as needed, with no unconditional commitment. For this reason, these amounts do not provide an indication of our expected future cash outflows related to purchases. See Note 8 to our audited consolidated financial statements and Note 7 to our unaudited condensed consolidated financial statements included elsewhere in this prospectus.</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In the ordinary course of business, we include in our agreements indemnification provisions of varying scope and terms pursuant to which we agree to indemnify customers, channel partners, suppliers, vendors, lessors, business partners, and other parties with respect to certain matters, including, but not limited to, losses</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80"/>
          </w:cols>
          <w:pgMar w:left="320" w:top="451" w:right="4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arising out of the breach of such agreements, services to be provided by us, or from intellectual property infringement claims made by third parties. The term of these indemnification provisions generally survive the termination of the agreements indefinitely. The maximum potential amount of future payments we could be required to make under these arrangements is not determinable. No demands have ever been made upon us to provide indemnification under such agreements, and there are no claims under those indemnification terms that we are aware of that could have a material effect on our consolidated balance sheets, consolidated statements of operations and comprehensive loss, or consolidated statements of cash flows. As a result, we believe the fair value of these agreements is minimal.</w:t>
      </w:r>
    </w:p>
    <w:p>
      <w:pPr>
        <w:spacing w:after="0" w:line="187"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certain officers and other employees that will require us, among other things, to indemnify them against certain liabilities that may arise by reason of their status or service as directors, officers, and employees.</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JOBS Act. As an emerging growth company, we may take advantage of specified reduced disclosure and other requirements that are otherwise applicable generally to public companies. These provisions include: (i) being permitted to present only two years of audited financial statements, in addition to any required unaudited interim financial statements, with correspondingly reduced “Management’s Discussion and Analysis of Financial Condition and Results of Operations” disclosure in this prospectus; (ii) reduced disclosure about our executive compensation arrangements; (iii) not being required to hold advisory votes on executive compensation or to obtain stockholder approval of any golden parachute arrangements not previously approved; (iv) an exemption from the auditor attestation requirement in the assessment of our internal control over financial reporting pursuant to the Sarbanes-Oxley Act of 2002; and (v) an exemption from compliance with the requirements of the Public Company Accounting Oversight Board regarding the communication of critical audit matters in the auditor’s report on the financial statements.</w:t>
      </w:r>
    </w:p>
    <w:p>
      <w:pPr>
        <w:spacing w:after="0" w:line="189"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this offering;</w:t>
      </w:r>
    </w:p>
    <w:p>
      <w:pPr>
        <w:jc w:val="both"/>
        <w:ind w:left="180" w:hanging="6"/>
        <w:spacing w:after="0" w:line="248" w:lineRule="auto"/>
        <w:tabs>
          <w:tab w:leader="none" w:pos="5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Additionally,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 As a result of this election, our audited consolidated financial statements and unaudited condensed consolidated financial statements may not be comparable to those of other public companies that comply with new or revised accounting pronouncements as of public company effective dates. We may choose to early adopt any new or revised accounting standards whenever such early adoption is permitted for private companies.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4"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We are exposed to certain market risks in the ordinary course of our business. Market risk represents the risk of loss that may impact our financial position due to adverse changes in financial market prices and rates.</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80"/>
          </w:cols>
          <w:pgMar w:left="320" w:top="451" w:right="4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We had cash and cash equivalents of $115.6 million and $76.4 million as of December 31, 2023 and 2024, respectively, and $59.4 million as of March 31, 2025. Our cash and cash equivalents consist of cash held in sweep accounts, checking accounts, and money market funds. The cash and cash equivalents are held primarily for working capital purposes. Such interest earning instruments carry a degree of interest rate risk. We had financing arrangements, described above, with $31.0 million outstanding as of each of December 31, 2023 and 2024, and $31.0 million outstanding as of March 31, 2025. Our financing arrangements subject us to a variable amount of interest on the principal balance outstanding and could be adversely impacted by rising interest rates in the future. The effect of a hypothetical 10% change in interest rates would not have had a material impact on our audited consolidated financial statements for the years ended December 31, 2023 and 2024, or on our unaudited condensed consolidated financial statements for the three months ended March 31, 2025.</w:t>
      </w:r>
    </w:p>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While we continue to see demand for our virtual care programs, we believe that current macroeconomic factors, including the impact of inflation and tariffs, are impacting customer and channel partner spending decisions. Given the current macroeconomic environment, we continue to look for ways to manage costs and mitigate any changes in the purchasing behavior of our customers and channel partners that may occur due to significant inflationary pressure, tariffs, or other factors. If our costs, in particular labor, sales and marketing, and cloud hosting costs, become subject to sustained or increased inflationary or other macroeconomic pressure, we may be unable to fully offset such higher costs through price increases, which could harm our business, financial condition, and results of operations.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prepare our audited consolidated financial statements and unaudited condensed consolidated financial statements in conformity with GAAP. The preparation of consolidated financial statements and condensed consolidated financial statements in conformity with GAAP requires certain estimates and assumptions to be made that may affect our consolidated financial statements. Accounting policies that have a significant impact on our results are described in Note 2 to our audited consolidated financial statements and unaudited condensed consolidated financial statements included elsewhere in this prospectus. The accounting policies discussed in this section are those that we consider to be the most critical. We consider an accounting policy to be critical if the policy is subject to a material level of judgment and if changes in those judgments are reasonably likely to materially impact our results.</w:t>
      </w:r>
    </w:p>
    <w:p>
      <w:pPr>
        <w:spacing w:after="0" w:line="189"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base our estimates and judgments on reasonably available information. Our estimates and assumptions may affect the reported amounts of assets and liabilities and disclosure of contingent assets and liabilities at the date of the consolidated financial statements and the reported amounts of revenue and expenses during the reporting period. Actual results may differ from those estimates and such differences may be material to the consolidated financial statements.</w:t>
      </w:r>
    </w:p>
    <w:p>
      <w:pPr>
        <w:spacing w:after="0" w:line="18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We continue to monitor and assess our critical estimates in light of developments, and as new events occur and additional information is obtained, our estimates may change materially in future periods.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generate revenue primarily by providing access to our virtual care programs to our customers’ members. In our virtual care programs, our Care Teams implement clinically validated behavior change protocols over the term of the program for individuals living with chronic conditions, such as cardiometabolic conditions, or living with MSK conditions. Cardiometabolic programs are also supported by one or more connected third-party devices, which are provided to the members upon enrollment in the programs.</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80"/>
          </w:cols>
          <w:pgMar w:left="320" w:top="451" w:right="4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Revenue is recognized when, or as, the performance obligation is satisfied by transferring the control of the promised service to a customer. We recognize a portion of revenue upfront upon hardware delivery and the remaining revenue over the period members have access to our virtual care programs.</w:t>
      </w:r>
    </w:p>
    <w:p>
      <w:pPr>
        <w:spacing w:after="0" w:line="177"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Our customers are business entities, such as health plans and self-insured employers, that have contracted with us to offer our virtual care programs to their covered lives. Covered lives, such as employees or their covered dependents, that are enrolled in an Omada program are referred to as members. We generate revenue based on the enrollments of our customers’ members and their participation in our virtual care programs. We account for each member enrollment as a separate contract under ASC 606. Our agreements typically provide a termination for convenience by either party, with a notice period generally ranging from 30 to 180 days.</w:t>
      </w:r>
    </w:p>
    <w:p>
      <w:pPr>
        <w:spacing w:after="0" w:line="18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We sell to our customers through our direct sales force and through our channel partners. Channel partners include PBMs and health plans that have commercial relationships with our customers. Pursuant to our agreements with channel partners, some channel partners receive an administrative or marketing fee for their services, and we engage directly with our customers with respect to the provision of our services. Our customer acquisition teams work directly with customers on onboarding and enrollment processes for new members. While health plans are customers for their fully insured populations, they also serve as distribution channels to self-insured entities that contract with us through our relationship with the health plan.</w:t>
      </w:r>
    </w:p>
    <w:p>
      <w:pPr>
        <w:spacing w:after="0" w:line="183" w:lineRule="exact"/>
        <w:rPr>
          <w:sz w:val="20"/>
          <w:szCs w:val="20"/>
          <w:color w:val="auto"/>
        </w:rPr>
      </w:pPr>
    </w:p>
    <w:p>
      <w:pPr>
        <w:jc w:val="both"/>
        <w:ind w:left="180" w:firstLine="436"/>
        <w:spacing w:after="0" w:line="271" w:lineRule="auto"/>
        <w:rPr>
          <w:sz w:val="20"/>
          <w:szCs w:val="20"/>
          <w:color w:val="auto"/>
        </w:rPr>
      </w:pPr>
      <w:r>
        <w:rPr>
          <w:rFonts w:ascii="Times New Roman" w:cs="Times New Roman" w:eastAsia="Times New Roman" w:hAnsi="Times New Roman"/>
          <w:sz w:val="17"/>
          <w:szCs w:val="17"/>
          <w:color w:val="auto"/>
        </w:rPr>
        <w:t>For cardiometabolic programs, the transaction price includes monthly fees which are either activity-, outcome-, or milestone-based fees, as applicable, for the respective member service period and may include an upfront member enrollment fee. Variable consideration related to the activity-, outcome-, or milestone-based fees is estimated at contract inception for the non-cancelable term (ranging from 30 to 180 days) to the extent a significant reversal in revenue will not occur. We use the expected value method, primarily relying on our history, to estimate variable consideration, including service-level agreements and performance guarantees based on clinical outcomes. Changes to estimated variable consideration were not material for the periods presented given the relatively short non-cancelable term. Reassessments of variable consideration may occur as historical information changes.</w:t>
      </w:r>
    </w:p>
    <w:p>
      <w:pPr>
        <w:spacing w:after="0" w:line="172"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The estimated transaction price allocated to services is recognized over time during the non-cancelable term as a stand-ready obligation. Contracts that include upfront enrollment fees generally contain a material right related to the discounted renewal option. The allocated value for that right is recognized upon exercise over the estimated benefit period, typically 12 months.</w:t>
      </w:r>
    </w:p>
    <w:p>
      <w:pPr>
        <w:spacing w:after="0" w:line="177"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Monthly service fees earned after the non-cancelable contract term are recognized over the period for which we are obligated to perform services for that member.</w:t>
      </w:r>
    </w:p>
    <w:p>
      <w:pPr>
        <w:spacing w:after="0" w:line="163"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We recognize the sale of third-party connected devices associated with our services as a separate performance obligation when control transfers, which is generally upon shipment to the member. Associated shipping and handling fees are included in cost of revenue and are recognized as activities to fulfill the promise to transfer the goods.</w:t>
      </w:r>
    </w:p>
    <w:p>
      <w:pPr>
        <w:spacing w:after="0" w:line="177"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(“SSP”) basis.</w:t>
      </w:r>
    </w:p>
    <w:p>
      <w:pPr>
        <w:spacing w:after="0" w:line="177"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When such observable prices are not available, we determine SSP based on information such as pricing objectives and strategies, taking into consideration market conditions and other factors, including customer size, volume purchased, market and industry conditions, product-specific factors, and historical sales of the deliverables.</w:t>
      </w:r>
    </w:p>
    <w:p>
      <w:pPr>
        <w:spacing w:after="0" w:line="177"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We apply the practical expedient to not disclose the value of unsatisfied performance obligations for contracts with an original expected length of one year or less.</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80"/>
          </w:cols>
          <w:pgMar w:left="320" w:top="451" w:right="4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of March 31, 2024 and 2025, and December 31, 2023 and 2024, our future performance obligations beyond one year were not material.</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We measure and recognize our share-based compensation expense for stock options based on the estimated fair value of the award. We use the Black-Scholes-Merton option pricing model to determine the grant date fair value of stock options. For awards with service conditions only, share-based compensation expense is recognized on a straight-line basis over the requisite service period of the awards, which is generally the vesting period. We account for forfeitures as they occur. As we continue to accumulate additional data related to our common stock, we may refine our estimates of expected volatility and expected term, which could materially impact our future share-based compensation expense.</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Common Stock Valuations</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 xml:space="preserve">The fair value of the common stock underlying our share-based awards has historically been determined by our board of directors, with input from management and contemporaneous third-party valuations. We believe that our board of directors has the relevant experience and expertise to determine the fair value of our common stock. Given the absence of a public trading market of our common stock, and in accordance with the American Institute of Certified Public Accountants Practice Aid, </w:t>
      </w:r>
      <w:r>
        <w:rPr>
          <w:rFonts w:ascii="Times New Roman" w:cs="Times New Roman" w:eastAsia="Times New Roman" w:hAnsi="Times New Roman"/>
          <w:sz w:val="18"/>
          <w:szCs w:val="18"/>
          <w:i w:val="1"/>
          <w:iCs w:val="1"/>
          <w:color w:val="auto"/>
        </w:rPr>
        <w:t>Valuation of Privately-Held Company Equity Securities Issued as Compensation</w:t>
      </w:r>
      <w:r>
        <w:rPr>
          <w:rFonts w:ascii="Times New Roman" w:cs="Times New Roman" w:eastAsia="Times New Roman" w:hAnsi="Times New Roman"/>
          <w:sz w:val="18"/>
          <w:szCs w:val="18"/>
          <w:color w:val="auto"/>
        </w:rPr>
        <w:t>, our board of directors exercised reasonable judgment and considered numerous objective and subjective factors to determine the best estimate of the fair value of our common stock at each grant date. These factors include:</w:t>
      </w:r>
    </w:p>
    <w:p>
      <w:pPr>
        <w:spacing w:after="0" w:line="214" w:lineRule="exact"/>
        <w:rPr>
          <w:sz w:val="20"/>
          <w:szCs w:val="20"/>
          <w:color w:val="auto"/>
        </w:rPr>
      </w:pPr>
    </w:p>
    <w:p>
      <w:pPr>
        <w:ind w:left="1140" w:hanging="539"/>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contemporaneous valuations performed at periodic intervals by a third-party valuation firm;</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rights, preferences, and privileges of our redeemable convertible preferred stock relative to those of our common stock;</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our redeemable convertible preferred stock and common stock sold to investors in arm’s-length transactions;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and financial performance and estimated trends and prospects for our future performance;</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w:t>
      </w:r>
    </w:p>
    <w:p>
      <w:pPr>
        <w:spacing w:after="0" w:line="247"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an initial public offering, direct listing, or sale of our company, given prevailing market conditions;</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marketability involving securities in a private company;</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global capital market conditions.</w:t>
      </w:r>
    </w:p>
    <w:p>
      <w:pPr>
        <w:spacing w:after="0" w:line="220"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In valuing our common stock, the fair value of our business was determined using various valuation methods, including combinations of the market approach and the income approach with input from management. The market approach estimates value based on a comparison of the subject company to comparable public companies in a similar line of business. From the comparable companies, a representative market value multiple was determined, which was applied to our operating results to estimate the enterprise value of our company. The</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80"/>
          </w:cols>
          <w:pgMar w:left="320" w:top="451" w:right="4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62" w:lineRule="auto"/>
        <w:rPr>
          <w:sz w:val="20"/>
          <w:szCs w:val="20"/>
          <w:color w:val="auto"/>
        </w:rPr>
      </w:pPr>
      <w:r>
        <w:rPr>
          <w:rFonts w:ascii="Times New Roman" w:cs="Times New Roman" w:eastAsia="Times New Roman" w:hAnsi="Times New Roman"/>
          <w:sz w:val="18"/>
          <w:szCs w:val="18"/>
          <w:color w:val="auto"/>
        </w:rPr>
        <w:t>market approach also included reference to our own stock transactions when issuances of redeemable convertible preferred stock were made close to the valuation date. The income approach involves applying an appropriate risk-adjusted discount rate to projected cash flows based on forecasted revenue and costs.</w:t>
      </w:r>
    </w:p>
    <w:p>
      <w:pPr>
        <w:spacing w:after="0" w:line="177"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Once the enterprise value was determined under the market approach or income approach, we derived the equity value of our company using either an option pricing model (“OPM”) or a hybrid method of OPM and the probability weighted expected return method (“PWERM”) to allocate that value among the various classes of securities to arrive at the fair value of the common stock. The OPM is based on the Black-Scholes-Merton option pricing model, which allows for the identification for a range of possible future outcomes, each with an associated probability. The OPM is appropriate to use when the range of possible future outcomes is difficult to predict and thus creates highly speculative forecasts. PWERM involves a forward-looking analysis of the possible future outcomes of the enterprise including an IPO as well as non-IPO market-based outcomes. After the equity value is determined and allocated to the various classes of shares, a discount for lack of marketability (“DLOM”) is applied to arrive at the fair value of ordinary shares. A DLOM is applied based on the theory that, as an owner of a private company stock, the stockholder has limited opportunities to sell this stock, and any such sale would involve significant transaction costs, thereby reducing overall fair market value.</w:t>
      </w:r>
    </w:p>
    <w:p>
      <w:pPr>
        <w:spacing w:after="0" w:line="189"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In addition, we also considered any secondary transactions involving our capital stock. In our evaluation of those transactions, we considered the facts and circumstances of each transaction to determine the extent to which they represented a fair value exchange. Factors considered include transaction volume, timing, whether the transactions occurred among unrelated parties, and whether the transactions involved investors with access to our financial information.</w:t>
      </w:r>
    </w:p>
    <w:p>
      <w:pPr>
        <w:spacing w:after="0" w:line="182"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82"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For valuations after the completion of this offering, our board of directors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 and Common Stock Warrants</w:t>
      </w:r>
    </w:p>
    <w:p>
      <w:pPr>
        <w:spacing w:after="0" w:line="224"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 xml:space="preserve">We account for warrants as either equity-classified or liability-classified instruments based on an assessment of the warrant’s specific terms and applicable authoritative guidance in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We have issued redeemable convertible preferred stock warrants and common stock warrants which are classified as a liability on the consolidated balance sheets because the redeemable convertible preferred stock warrants are freestanding financial instruments that may require us to transfer assets upon exercise, and the common stock warrants contain a term that may require adjustment to the exercise price. We use the Black-Scholes-Merton option pricing model, which incorporates assumptions and estimates, to value the redeemable convertible preferred stock warrants and common stock warrants. Stock volatility is estimated based on the historical volatility of publicly traded peer companies for a term equal to the remaining contractual term of the warrants. The risk-free interest rate is determined by reference to the U.S. Treasury yield curve for time periods approximately equal to the remaining contractual term of the warrants. The dividend yield is estimated at 0% based on the expected dividend yield as we do not anticipate paying any cash dividends in the foreseeable future. As we continue to accumulate additional data related to our common stock and redeemable convertible preferred stock, we may refine our estimates of expected volatility and expected term, which could materially impact future fair values of outstanding warrants.</w:t>
      </w:r>
    </w:p>
    <w:p>
      <w:pPr>
        <w:spacing w:after="0" w:line="193"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 connection with the closing of this offering, the warrants to purchase shares of our Series D redeemable convertible preferred stock will be automatically exercised in accordance with its terms, at which time we expect</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80"/>
          </w:cols>
          <w:pgMar w:left="320" w:top="451" w:right="4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80" w:right="20"/>
        <w:spacing w:after="0" w:line="277" w:lineRule="auto"/>
        <w:rPr>
          <w:sz w:val="20"/>
          <w:szCs w:val="20"/>
          <w:color w:val="auto"/>
        </w:rPr>
      </w:pPr>
      <w:r>
        <w:rPr>
          <w:rFonts w:ascii="Times New Roman" w:cs="Times New Roman" w:eastAsia="Times New Roman" w:hAnsi="Times New Roman"/>
          <w:sz w:val="18"/>
          <w:szCs w:val="18"/>
          <w:color w:val="auto"/>
        </w:rPr>
        <w:t>to adjust the warrant liabilities to fair value prior to reclassifying the warrant liabilities to additional paid-in capital. As a result, following the closing of this offering, the redeemable convertible preferred stock warrants will no longer be subject to fair value accounting.</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Adopted</w:t>
      </w:r>
    </w:p>
    <w:p>
      <w:pPr>
        <w:spacing w:after="0" w:line="224" w:lineRule="exact"/>
        <w:rPr>
          <w:sz w:val="20"/>
          <w:szCs w:val="20"/>
          <w:color w:val="auto"/>
        </w:rPr>
      </w:pPr>
    </w:p>
    <w:p>
      <w:pPr>
        <w:ind w:left="180" w:firstLine="436"/>
        <w:spacing w:after="0" w:line="277" w:lineRule="auto"/>
        <w:rPr>
          <w:sz w:val="20"/>
          <w:szCs w:val="20"/>
          <w:color w:val="auto"/>
        </w:rPr>
      </w:pPr>
      <w:r>
        <w:rPr>
          <w:rFonts w:ascii="Times New Roman" w:cs="Times New Roman" w:eastAsia="Times New Roman" w:hAnsi="Times New Roman"/>
          <w:sz w:val="18"/>
          <w:szCs w:val="18"/>
          <w:color w:val="auto"/>
        </w:rPr>
        <w:t>For more information on recently issued accounting pronouncements, see Note 2 to our audited consolidated financial statements and unaudited condensed consolidated financial statements included elsewhere in this prospectus.</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New Accounting Pronouncements Not Yet Adopted</w:t>
      </w:r>
    </w:p>
    <w:p>
      <w:pPr>
        <w:spacing w:after="0" w:line="224"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For more information on new accounting pronouncements not yet adopted, see Note 2 to our audited consolidated financial statements and unaudited condensed consolidated financial statements included elsewhere in this prospectus.</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80"/>
          </w:cols>
          <w:pgMar w:left="320" w:top="451" w:right="4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6921500" cy="88893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21500" cy="888936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As of 2022, more than 156 million Americans suffered from one or more chronic conditions, such as obesity, prediabetes, diabetes, hypertension, and musculoskeletal (“MSK”) conditions, and approximately 40% of U.S. adults suffered from two or more chronic conditions, based on data published in the Annals of Bioethics &amp; Clinical Applications.</w:t>
      </w:r>
    </w:p>
    <w:p>
      <w:pPr>
        <w:spacing w:after="0" w:line="177"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 xml:space="preserve">Managing these conditions—and treating the acute problems they can lead to—creates significant costs for employers, health plans, pharmacy benefit managers (“PBMs”), and other entities that pay for the cost of care. According to the American Diabetes Association (the “ADA”)’s report “Economic Costs of Diabetes in the U.S. in 2022,” chronic diseases were the leading driver of U.S. medical spend, with diabetes alone accounting for $1 out of every $7 spent. According to research published in </w:t>
      </w:r>
      <w:r>
        <w:rPr>
          <w:rFonts w:ascii="Times New Roman" w:cs="Times New Roman" w:eastAsia="Times New Roman" w:hAnsi="Times New Roman"/>
          <w:sz w:val="18"/>
          <w:szCs w:val="18"/>
          <w:i w:val="1"/>
          <w:iCs w:val="1"/>
          <w:color w:val="auto"/>
        </w:rPr>
        <w:t>Diabetes Care</w:t>
      </w:r>
      <w:r>
        <w:rPr>
          <w:rFonts w:ascii="Times New Roman" w:cs="Times New Roman" w:eastAsia="Times New Roman" w:hAnsi="Times New Roman"/>
          <w:sz w:val="18"/>
          <w:szCs w:val="18"/>
          <w:color w:val="auto"/>
        </w:rPr>
        <w:t>, in 2022, an employee with type 2 diabetes cost on average an additional $7,000 annually due to increased medical costs, absenteeism, and lost productivity. The direct medical cost of people living with diabetes increased by 35% from 2012 to 2022, despite stable diabetes prevalence.</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It doesn’t have to be that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168910</wp:posOffset>
            </wp:positionV>
            <wp:extent cx="6870700" cy="32150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70700" cy="321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Many chronic conditions can be managed or prevented at a more reasonable cost. One reason these conditions are often not managed efficiently is that the U.S. healthcare system was built mainly on encounter-based reimbursement models that pay for specific services, primarily as issues arise. Between what can be short and infrequent office visits, patients are often left to manage their condition on their own. Many have a hard time sticking to care plans and health goals—losing weight, eating better, exercising more—and have few resources to turn to for ongoing questions, accountability, and support as they work to change their lifestyle.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80"/>
          </w:cols>
          <w:pgMar w:left="320" w:top="451" w:right="4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213360</wp:posOffset>
            </wp:positionV>
            <wp:extent cx="6718300" cy="26631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718300" cy="266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Behavior change is hard. Omada was created to make it easier.</w:t>
      </w:r>
    </w:p>
    <w:p>
      <w:pPr>
        <w:spacing w:after="0" w:line="220"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 xml:space="preserve">Our mission is to bend the curve. Our hope is that, one day, tomorrow’s epidemiologists will notice a bend in disease curves, wonder what might be happening, and conclude that part of that impact has been Omada. As part of that mission, we strive to inspire and enable people to make lasting health changes on their own terms. We deliver virtual care </w:t>
      </w:r>
      <w:r>
        <w:rPr>
          <w:rFonts w:ascii="Times New Roman" w:cs="Times New Roman" w:eastAsia="Times New Roman" w:hAnsi="Times New Roman"/>
          <w:sz w:val="18"/>
          <w:szCs w:val="18"/>
          <w:b w:val="1"/>
          <w:bCs w:val="1"/>
          <w:i w:val="1"/>
          <w:iCs w:val="1"/>
          <w:color w:val="auto"/>
        </w:rPr>
        <w:t>between</w:t>
      </w:r>
      <w:r>
        <w:rPr>
          <w:rFonts w:ascii="Times New Roman" w:cs="Times New Roman" w:eastAsia="Times New Roman" w:hAnsi="Times New Roman"/>
          <w:sz w:val="18"/>
          <w:szCs w:val="18"/>
          <w:color w:val="auto"/>
        </w:rPr>
        <w:t xml:space="preserve"> doctor’s visits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providing an engaging, personalized, and integrated experience for our members that is designed to improve their health while delivering value for the employers, health plans, health systems, PBMs, and other entities that cover the cost of our programs.</w:t>
      </w:r>
    </w:p>
    <w:p>
      <w:pPr>
        <w:spacing w:after="0" w:line="183"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Our virtual care programs are rooted in evidence and combine relationship-based, human-led clinical care with purpose-built technology. We call this approach Compassionate Intelligence. We work to develop trust with each member and use technology to help us personalize their experience, enabling us to unlock results at scale.</w:t>
      </w:r>
    </w:p>
    <w:p>
      <w:pPr>
        <w:spacing w:after="0" w:line="177"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We sell our programs to customers that cover the cost for covered individuals. Our customers include employers that cover our programs for their employees and their dependents, health systems that cover our programs for patients, and any other entity that is financially responsible for costs of our programs for a population of covered lives. We also work closely with health plans and PBMs that either cover our programs for a portion of their members as our customers or act as channel partners reselling our programs to their own end customers.</w:t>
      </w:r>
    </w:p>
    <w:p>
      <w:pPr>
        <w:spacing w:after="0" w:line="182"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We launched our initial program in diabetes prevention and weight health in 2012, with the goal of showing that a virtual program could achieve the same clinical results as its in-person archetype. Through feedback from our customers, channel partners, members, and the market at large, we then recognized the need to create an integrated, multi-condition care platform to address multiple, commonly comorbid, chronic conditions. Today, we offer cardiometabolic programs for prediabetes, diabetes, and hypertension; a physical therapy program to address MSK conditions; our GLP-1 Care Tracks; and behavioral health support across all programs. As we have expanded, we have kept our integrated human and technology approach at the center of our business model and have continued to base our program design on clinically validated evidence.</w:t>
      </w:r>
    </w:p>
    <w:p>
      <w:pPr>
        <w:spacing w:after="0" w:line="36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80"/>
          </w:cols>
          <w:pgMar w:left="320" w:top="451" w:right="4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213360</wp:posOffset>
            </wp:positionV>
            <wp:extent cx="6743700" cy="29603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743700" cy="296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80" w:firstLine="436"/>
        <w:spacing w:after="0" w:line="265" w:lineRule="auto"/>
        <w:rPr>
          <w:sz w:val="20"/>
          <w:szCs w:val="20"/>
          <w:color w:val="auto"/>
        </w:rPr>
      </w:pPr>
      <w:r>
        <w:rPr>
          <w:rFonts w:ascii="Times New Roman" w:cs="Times New Roman" w:eastAsia="Times New Roman" w:hAnsi="Times New Roman"/>
          <w:sz w:val="17"/>
          <w:szCs w:val="17"/>
          <w:color w:val="auto"/>
        </w:rPr>
        <w:t>Since our founding, our programs have had a meaningful, positive impact. As of March 31, 2025, we had more than 2,000 customers and over 679,000 total members enrolled in one or more programs, and we had supported over one million members since launch. We count a member as enrolled in a program to the extent their participation was billed at least once in the preceding 12 months. We believe our programs serve a clear need for our customers and channel partners as well as our members, which is reinforced by our strong customer satisfaction and member engagement rates. In 2024, our average customer satisfaction rate for the year was over 90% for each of program implementation and customer success. Our customer satisfaction rate is based on responses received from program implementation and customer success surveys, which we send to the contacts at all customers that launched a new program during the measured period and received customer experience services from us. Results are calculated by a third-party customer experience management vendor, and we consider a customer to be satisfied if they rated our program implementation and ongoing customer success, as applicable, at a 5 or higher on a 7-point scale. Based on our experience and input from this vendor, we believe that our customer satisfaction rates are strong and reflect the value of our services to customers. In 2024, more than 55% of members still engaged with our cardiometabolic programs at least once per month after a year in the program, and over 50% still engaged monthly after two years. We consider members to be still engaged after one year or two years in the program if, during their twelfth or twenty-fourth month of program participation in a cardiometabolic program, they complete at least one interaction with us, such as logging in or interacting with the Omada mobile app, sending messages to Omada Care Team members, or recording metrics such as weight, blood pressure, or blood glucose values. On average, in 2024, members in a cardiometabolic program engaged more than 30 times per month throughout their first year. Based on our experience and feedback from customers, we believe these engagement rates to be positive and to demonstrate the attractiveness of our program to members. We are proud of our progress, and we are just getting started.</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80"/>
          </w:cols>
          <w:pgMar w:left="320" w:top="451" w:right="4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213360</wp:posOffset>
            </wp:positionV>
            <wp:extent cx="6692900" cy="3180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692900" cy="318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Compassion Meets Intelligence</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Our virtual, Between-Visit Care model seeks to bring together the best of human care and technology. Our goal is to support people over time, with programs designed to be simple and engaging to use, accessible whenever and wherever people need them, and complementary and connected to the healthcare system at large. Our model is founded on three pillars:</w:t>
      </w:r>
    </w:p>
    <w:p>
      <w:pPr>
        <w:spacing w:after="0" w:line="200" w:lineRule="exact"/>
        <w:rPr>
          <w:sz w:val="20"/>
          <w:szCs w:val="20"/>
          <w:color w:val="auto"/>
        </w:rPr>
      </w:pPr>
    </w:p>
    <w:p>
      <w:pPr>
        <w:jc w:val="both"/>
        <w:ind w:left="1140" w:hanging="539"/>
        <w:spacing w:after="0" w:line="256"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Care Teams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human relationships and empathy are fundamental drivers of sustainable behavior change. Our Care Teams,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composed of health coaches, relevant specialists, and licensed physical therapists, deliver healthcare to our members within the scope of their credentials. Our Care Teams do not include physicians or provide medical physician services. The members of our Care Teams are intended to remain with a member throughout their entire journey with Omada. Our Care Teams offer proactive and tailored support that builds trust with members and can contribute to positive outcomes.</w:t>
      </w:r>
    </w:p>
    <w:p>
      <w:pPr>
        <w:spacing w:after="0" w:line="205" w:lineRule="exact"/>
        <w:rPr>
          <w:rFonts w:ascii="Times New Roman" w:cs="Times New Roman" w:eastAsia="Times New Roman" w:hAnsi="Times New Roman"/>
          <w:sz w:val="18"/>
          <w:szCs w:val="18"/>
          <w:color w:val="auto"/>
        </w:rPr>
      </w:pPr>
    </w:p>
    <w:p>
      <w:pPr>
        <w:jc w:val="both"/>
        <w:ind w:left="1140" w:right="20" w:hanging="539"/>
        <w:spacing w:after="0" w:line="265"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Technology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integrated technology platform is built to support member engagement at scale. We use our platform and data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enrollment, engagement, and connected third-party devices to amplify the impact of our Care Teams through data-driven personalization, connected experiences, and real-time outcomes monitoring.</w:t>
      </w:r>
    </w:p>
    <w:p>
      <w:pPr>
        <w:spacing w:after="0" w:line="196" w:lineRule="exact"/>
        <w:rPr>
          <w:rFonts w:ascii="Times New Roman" w:cs="Times New Roman" w:eastAsia="Times New Roman" w:hAnsi="Times New Roman"/>
          <w:sz w:val="18"/>
          <w:szCs w:val="18"/>
          <w:color w:val="auto"/>
        </w:rPr>
      </w:pPr>
    </w:p>
    <w:p>
      <w:pPr>
        <w:jc w:val="both"/>
        <w:ind w:left="1140" w:hanging="539"/>
        <w:spacing w:after="0" w:line="259"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Omada Insights Lab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we continue to scale, we invest in continuous innovation across our programs. The Omada Insights Lab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cross-functional collaboration of clinical, product, design, engineering, and Care Team experts, which leverages the insights delivered by our Care Teams and technology platform to identify opportunities to drive even greater results and efficiencies in our programs and business.</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Multi-Condition Care</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The U.S. healthcare system has largely been designed to treat acute conditions that have clear windows of treatment and resolution. Chronic conditions, however, often require a variety of healthcare professionals across disciplines and modalities over indefinite periods of time. As our company grew, we observed a demand from our customers and channel partners for us to expand beyond diabetes prevention and weight health and into other conditions, such as the treatment and management of diabetes, hypertension, and MSK conditions. Based on the</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80"/>
          </w:cols>
          <w:pgMar w:left="320" w:top="451" w:right="4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significant overlap across these chronic conditions, we believed there was an opportunity to better meet members where they were: often suffering from multiple comorbid conditions at once. Our coordinated, multi-condition experience allows us to tailor care plans to members based on their comorbidities, which can be a major advantage in achieving clinical outcomes and a positive member experience. Many of our customers and channel partners also appreciate having a single partner for chronic condition care because it can simplify contracting, account management, implementation, and member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-7620</wp:posOffset>
            </wp:positionV>
            <wp:extent cx="6921500" cy="47669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21500" cy="4766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Grounded in Evidence Since Day One</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In order to realize the full potential of our model, we sought to earn the trust of the existing healthcare ecosystem. Since our founding, we have worked to build bridges between the virtual and traditional (largely in-person) care communities through our commitment to delivering evidence-based care, publishing our outcomes, and earning accreditations and credentials.</w:t>
      </w:r>
    </w:p>
    <w:p>
      <w:pPr>
        <w:spacing w:after="0" w:line="200" w:lineRule="exact"/>
        <w:rPr>
          <w:sz w:val="20"/>
          <w:szCs w:val="20"/>
          <w:color w:val="auto"/>
        </w:rPr>
      </w:pPr>
    </w:p>
    <w:p>
      <w:pPr>
        <w:jc w:val="both"/>
        <w:ind w:left="1140" w:hanging="539"/>
        <w:spacing w:after="0" w:line="259" w:lineRule="auto"/>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Start with Science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foundation of each of our programs is an evidence-based intervention that exists in the in-person care setting,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as the Centers for Disease Control and Prevention (the “CDC”)’s Diabetes Prevention Program. We have taken—in collaboration with groups such as the CDC or ADA—the foundational designs of these programs and built upon them to create technology-enabled solutions able to reach patients at scale.</w:t>
      </w:r>
    </w:p>
    <w:p>
      <w:pPr>
        <w:spacing w:after="0" w:line="201" w:lineRule="exact"/>
        <w:rPr>
          <w:rFonts w:ascii="Times New Roman" w:cs="Times New Roman" w:eastAsia="Times New Roman" w:hAnsi="Times New Roman"/>
          <w:sz w:val="18"/>
          <w:szCs w:val="18"/>
          <w:color w:val="auto"/>
        </w:rPr>
      </w:pPr>
    </w:p>
    <w:p>
      <w:pPr>
        <w:jc w:val="both"/>
        <w:ind w:left="1140" w:hanging="539"/>
        <w:spacing w:after="0" w:line="265" w:lineRule="auto"/>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Deliver Outcomes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demonstrated clinical outcomes and economic value across our multi-condition platform, including 29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published, peer-reviewed studies as of December 31, 2024. These quantified results and data allow us to improve our programs and serve as a key differentiator in both product development and sales and marketing efforts.</w:t>
      </w:r>
    </w:p>
    <w:p>
      <w:pPr>
        <w:spacing w:after="0" w:line="1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80"/>
          </w:cols>
          <w:pgMar w:left="320" w:top="451" w:right="4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140" w:hanging="539"/>
        <w:spacing w:after="0" w:line="252"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are Validated by Experts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virtual care should be subject to many of the same quality control expectations as traditional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in-person care. We have been at the forefront of seeking and achieving accreditations for our quality of care, which is exemplified by the fact that we have received recognition or accreditation by an independent third-party organization in the healthcare industry relevant to three out of four of our standalone programs. We have received full recognition from the CDC’s Diabetes Prevention Recognition Program for certain deployments of our Omada for Prevention &amp; Weight Health program, meaning that these deployments have met the rigorous standards for quality and the outcomes requirements set forth by the CDC for a diabetes prevention program. We have also received accreditations from the Association of Diabetes Care and Education Specialists (the “ADCES”) for our Diabetes program, the National Committee for Quality Assurance (the “NCQA”) for our type 2 Diabetes and combined Diabetes and Hypertension programs, and the Utilization Review Accreditation Commission (the “URAC”) for our MSK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248285</wp:posOffset>
            </wp:positionV>
            <wp:extent cx="6531610" cy="1424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531610" cy="1424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Scaled, Diversified Go-to-Market Model</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As of March 31, 2025, we had more than 2,000 customers and over 679,000 total members enrolled in one or more programs, and we had served over one million members since launch. We believe that the breadth of our success is based in part on our diverse, customer-centric go-to-market strategy and our multi-condition approach. Our customers and channel partners are increasingly looking for solutions that effectively serve their members at scale and can be easily integrated within their existing benefits ecosystems.</w:t>
      </w:r>
    </w:p>
    <w:p>
      <w:pPr>
        <w:spacing w:after="0" w:line="182"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contract with a wide variety of customers and channel partners, including fully insured health plans, self-insured employers, PBMs, and health systems that take on financial risk for some or all of their patients. Our diverse set of channels can offer customers flexibility in how they contract with Omada, either with Omada directly or through a channel partner, which can streamline enrollment, onboarding, and implementation. Our relationships with health plans and PBMs give many employers the flexibility to contract with us in the way they prefer.</w:t>
      </w:r>
    </w:p>
    <w:p>
      <w:pPr>
        <w:spacing w:after="0" w:line="18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Representative customers include Costco, Intermountain Health, Honda, and the Louisiana Office of Group Benefits. Our channel partner strategy also includes health plans, such as Cigna Healthcare, and two of the largest PBMs in the U.S., including Express Scripts by Evernorth.</w:t>
      </w:r>
    </w:p>
    <w:p>
      <w:pPr>
        <w:spacing w:after="0" w:line="163"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We partner with our customers and channel partners across outreach, onboarding, and implementation with the goal of fostering long-term partnerships, retention, and commercial success. This focus on long-term partnerships is evident in our innovative pricing approach. We believe our incentives should be aligned with others in the broader ecosystem, particularly our customers and channel partners, and so we offer pricing models based on each enrolled member’s engagement and/or clinical outcomes.</w:t>
      </w:r>
    </w:p>
    <w:p>
      <w:pPr>
        <w:spacing w:after="0" w:line="182"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We believe that we have established ourselves as a trusted partner in the virtual chronic condition management space. As a trusted healthcare provider for our members and a HIPAA covered entity, we are able to integrate with the broader healthcare ecosystem and obtain and use data more broadly to deliver evidence-based care and a connected member experience. Our track record of scaling the Compassionate Intelligence approach, serving multiple conditions, and delivering clinical results helps make Omada the partner of choice for many customers and channel partners to support their population.</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80"/>
          </w:cols>
          <w:pgMar w:left="320" w:top="451" w:right="4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We have experienced strong growth since our inception. Revenue increased by 38% from $122.8 million to $169.8 million for the years ended December 31, 2023 and 2024, respectively, and by 57% from $35.1 million to $55.0 million for the three months ended March 31, 2024 and 2025, respectively. We continue to generate revenue from recurring customers, as evidenced by our net dollar retention rate, which for customers who were contracted as of the beginning of the prior period, is calculated as total billings generated in a particular period divided by total billings generated in the prior period and was 110% and 128% for the years ended December 31, 2023 and 2024, respectively. We have a history of net losses, due in part to the significant investments we have made in the design and development of our programs and platform enhancements, and have not yet achieved profitability on an annual basis. We incurred net losses of $67.5 million and $47.1 million for the years ended December 31, 2023 and 2024, respectively, and $19.0 million and $9.4 million for the three months ended March 31, 2024 and 2025, respectively. As of December 31, 2023 and 2024, we had an accumulated deficit of $396.8 million and $444.0 million, respectively. As of March 31, 2024 and 2025, we had an accumulated deficit of $415.8 million and $453.4 million, respectively. During the years ended December 31, 2023 and 2024, our cash used in operating activities was $49.7 million and $34.2 million, respectively. During the three months ended March 31, 2024 and 2025, our cash used in operating activities was $20.6 million and $16.1 million, respectively.</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80"/>
          </w:cols>
          <w:pgMar w:left="320" w:top="451" w:right="4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213360</wp:posOffset>
            </wp:positionV>
            <wp:extent cx="6921500" cy="12553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21500" cy="1255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Chronic Condition Prevalence and Cost Continue to Rise Despite Traditional Approaches to Care</w:t>
      </w:r>
    </w:p>
    <w:p>
      <w:pPr>
        <w:spacing w:after="0" w:line="118"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Chronic condition prevalence has been rising for more than two decades and continues to rise. A RAND study from 2015 estimated that more than 170 million Americans could be living with one or more chronic conditions by 2030. According to the CDC, in 2023, chronic conditions were responsible for seven of every ten deaths in the U.S. and accounted for 90%, or $3.8 trillion, of annual medical spend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140970</wp:posOffset>
            </wp:positionV>
            <wp:extent cx="6921500" cy="63703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21500" cy="637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80" w:hanging="206"/>
        <w:spacing w:after="0" w:line="257" w:lineRule="auto"/>
        <w:tabs>
          <w:tab w:leader="none" w:pos="3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American Diabetes Association, Dall, TM, Yang, W, Gillespie, K, et al., </w:t>
      </w:r>
      <w:r>
        <w:rPr>
          <w:rFonts w:ascii="Times New Roman" w:cs="Times New Roman" w:eastAsia="Times New Roman" w:hAnsi="Times New Roman"/>
          <w:sz w:val="14"/>
          <w:szCs w:val="14"/>
          <w:i w:val="1"/>
          <w:iCs w:val="1"/>
          <w:color w:val="auto"/>
        </w:rPr>
        <w:t>The Economic Burden of Elevated Blood Glucose Levels in 2017: Diagnosed and Undiagnosed Diabetes,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Gestational Diabetes Mellitus, and Prediabetes, </w:t>
      </w:r>
      <w:r>
        <w:rPr>
          <w:rFonts w:ascii="Times New Roman" w:cs="Times New Roman" w:eastAsia="Times New Roman" w:hAnsi="Times New Roman"/>
          <w:sz w:val="14"/>
          <w:szCs w:val="14"/>
          <w:color w:val="auto"/>
        </w:rPr>
        <w:t>Diabetes Care, September 2019; 42(9):1661-1668</w:t>
      </w:r>
    </w:p>
    <w:p>
      <w:pPr>
        <w:sectPr>
          <w:pgSz w:w="11900" w:h="16838" w:orient="portrait"/>
          <w:cols w:equalWidth="0" w:num="1">
            <w:col w:w="11080"/>
          </w:cols>
          <w:pgMar w:left="320" w:top="451" w:right="499" w:bottom="942" w:gutter="0" w:footer="0" w:header="0"/>
        </w:sectPr>
      </w:pPr>
    </w:p>
    <w:p>
      <w:pPr>
        <w:spacing w:after="0" w:line="10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133</w:t>
      </w:r>
    </w:p>
    <w:p>
      <w:pPr>
        <w:sectPr>
          <w:pgSz w:w="11900" w:h="16838" w:orient="portrait"/>
          <w:cols w:equalWidth="0" w:num="1">
            <w:col w:w="11080"/>
          </w:cols>
          <w:pgMar w:left="320" w:top="451" w:right="499" w:bottom="942"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67" w:lineRule="auto"/>
        <w:rPr>
          <w:sz w:val="20"/>
          <w:szCs w:val="20"/>
          <w:color w:val="auto"/>
        </w:rPr>
      </w:pPr>
      <w:r>
        <w:rPr>
          <w:rFonts w:ascii="Times New Roman" w:cs="Times New Roman" w:eastAsia="Times New Roman" w:hAnsi="Times New Roman"/>
          <w:sz w:val="17"/>
          <w:szCs w:val="17"/>
          <w:color w:val="auto"/>
        </w:rPr>
        <w:t xml:space="preserve">There are several chronic conditions, including prediabetes, diabetes, obesity, hypertension, and MSK conditions, that are frequently comorbid and that we believe we can effectively treat with our Between-Visit Care model. According to the CDC, in 2021 prediabetes affected 98 million Americans, and 38 million Americans had diabetes. The ADA estimated annual costs of approximately $413 billion associated with diabetes, including approximately $307 billion in direct medical costs and $106 billion due to lost productivity, in 2022. The National Center for Health Statistics also estimated that, between 2021 and 2023, obesity impacted 40% of adults in the U.S., equivalent to 102 million people, and in 2021, a study published in </w:t>
      </w:r>
      <w:r>
        <w:rPr>
          <w:rFonts w:ascii="Times New Roman" w:cs="Times New Roman" w:eastAsia="Times New Roman" w:hAnsi="Times New Roman"/>
          <w:sz w:val="17"/>
          <w:szCs w:val="17"/>
          <w:i w:val="1"/>
          <w:iCs w:val="1"/>
          <w:color w:val="auto"/>
        </w:rPr>
        <w:t xml:space="preserve">PLOS </w:t>
      </w:r>
      <w:r>
        <w:rPr>
          <w:rFonts w:ascii="Times New Roman" w:cs="Times New Roman" w:eastAsia="Times New Roman" w:hAnsi="Times New Roman"/>
          <w:sz w:val="17"/>
          <w:szCs w:val="17"/>
          <w:color w:val="auto"/>
        </w:rPr>
        <w:t>estimated annual medical costs associated with obesity of nearly $173 billion. Hypertension also impacts a large population, with the CDC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Centers for Medicare &amp; Medicaid Services (“CMS”) estimating in 2021 that approximately 120 million Americans were living with the condition, and research published in the </w:t>
      </w:r>
      <w:r>
        <w:rPr>
          <w:rFonts w:ascii="Times New Roman" w:cs="Times New Roman" w:eastAsia="Times New Roman" w:hAnsi="Times New Roman"/>
          <w:sz w:val="17"/>
          <w:szCs w:val="17"/>
          <w:i w:val="1"/>
          <w:iCs w:val="1"/>
          <w:color w:val="auto"/>
        </w:rPr>
        <w:t>Journal of the American Heart Association</w:t>
      </w:r>
      <w:r>
        <w:rPr>
          <w:rFonts w:ascii="Times New Roman" w:cs="Times New Roman" w:eastAsia="Times New Roman" w:hAnsi="Times New Roman"/>
          <w:sz w:val="17"/>
          <w:szCs w:val="17"/>
          <w:color w:val="auto"/>
        </w:rPr>
        <w:t xml:space="preserve"> in 2018 estimating costs of $131 billion annually. MSK conditions have an even broader prevalence, with a study published in </w:t>
      </w:r>
      <w:r>
        <w:rPr>
          <w:rFonts w:ascii="Times New Roman" w:cs="Times New Roman" w:eastAsia="Times New Roman" w:hAnsi="Times New Roman"/>
          <w:sz w:val="17"/>
          <w:szCs w:val="17"/>
          <w:i w:val="1"/>
          <w:iCs w:val="1"/>
          <w:color w:val="auto"/>
        </w:rPr>
        <w:t>The Lancet Regional Health – Americas</w:t>
      </w:r>
      <w:r>
        <w:rPr>
          <w:rFonts w:ascii="Times New Roman" w:cs="Times New Roman" w:eastAsia="Times New Roman" w:hAnsi="Times New Roman"/>
          <w:sz w:val="17"/>
          <w:szCs w:val="17"/>
          <w:color w:val="auto"/>
        </w:rPr>
        <w:t xml:space="preserve"> estimating that 127 million Americans—over one-third of the U.S. population—are affected by an MSK condition in 2019, at an approximate direct annual cost estimate in 2016 of $381 billion.</w:t>
      </w:r>
    </w:p>
    <w:p>
      <w:pPr>
        <w:spacing w:after="0" w:line="176"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Employer-sponsored health insurance is the largest source of health coverage in the U.S., covering approximately 154 million non-elderly people, according to a 2024 report from KFF. Employer annual health benefit costs and employee contributions are at all-time highs, with KFF showing employer premiums outpacing both wages and inflation in 2024 and for most of the last two decades. Given the portion of healthcare costs driven by chronic conditions, managing their financial impact is top of mind for employers and health plans.</w:t>
      </w:r>
    </w:p>
    <w:p>
      <w:pPr>
        <w:spacing w:after="0" w:line="18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As we settle into a world where people regularly access healthcare in a number of different ways to meet their unique and changing needs, virtual care has a meaningful opportunity to improve patient outcomes with effective Between-Visit Care.</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Many Digital Health Solutions Have Fallen Short in Attempts to Address Chronic Conditions</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For more than a decade, digital health and virtual care solutions have promised to use technology to deliver greater access, lower costs, and provide a superior patient experience. While some gains have been made, when it comes to improving outcomes for those living with or at risk for chronic conditions, we believe many digital chronic condition management platforms have not meaningfully changed the trajectory. We believe there are several overlapping reasons for this, including:</w:t>
      </w:r>
    </w:p>
    <w:p>
      <w:pPr>
        <w:spacing w:after="0" w:line="205" w:lineRule="exact"/>
        <w:rPr>
          <w:sz w:val="20"/>
          <w:szCs w:val="20"/>
          <w:color w:val="auto"/>
        </w:rPr>
      </w:pPr>
    </w:p>
    <w:p>
      <w:pPr>
        <w:jc w:val="both"/>
        <w:ind w:left="1140" w:hanging="539"/>
        <w:spacing w:after="0" w:line="259" w:lineRule="auto"/>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Underestimating Trusted, Human-Led Relationships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Many digital health solutions underestimate the importance of trusted, consistent,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human-led relationships. Some solutions use an on-call panel of care staff to react to member needs, so each interaction is with a new provider. Other solutions remove humans entirely in favor of pure technology or bot-based services. We believe that trusted, consistent relationships and care continuity are key components of successful chronic condition management.</w:t>
      </w:r>
    </w:p>
    <w:p>
      <w:pPr>
        <w:spacing w:after="0" w:line="201" w:lineRule="exact"/>
        <w:rPr>
          <w:rFonts w:ascii="Times New Roman" w:cs="Times New Roman" w:eastAsia="Times New Roman" w:hAnsi="Times New Roman"/>
          <w:sz w:val="18"/>
          <w:szCs w:val="18"/>
          <w:color w:val="auto"/>
        </w:rPr>
      </w:pPr>
    </w:p>
    <w:p>
      <w:pPr>
        <w:jc w:val="both"/>
        <w:ind w:left="1140" w:hanging="539"/>
        <w:spacing w:after="0" w:line="256" w:lineRule="auto"/>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One-Dimensional Care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Many solutions focus on a single condition or approach to treatment that ignores comorbidities or changes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health status over time. This is inconvenient at best and potentially harmful at worst. Members with multiple chronic conditions will not have all of their needs met by a single point solution alone, and their care team may pursue a treatment path in isolation. Prescribed medications or exercises could be contraindicated with other necessary therapies, putting the burden on the member to reconcile different treatments.</w:t>
      </w:r>
    </w:p>
    <w:p>
      <w:pPr>
        <w:spacing w:after="0" w:line="205" w:lineRule="exact"/>
        <w:rPr>
          <w:rFonts w:ascii="Times New Roman" w:cs="Times New Roman" w:eastAsia="Times New Roman" w:hAnsi="Times New Roman"/>
          <w:sz w:val="18"/>
          <w:szCs w:val="18"/>
          <w:color w:val="auto"/>
        </w:rPr>
      </w:pPr>
    </w:p>
    <w:p>
      <w:pPr>
        <w:jc w:val="both"/>
        <w:ind w:left="1140" w:hanging="539"/>
        <w:spacing w:after="0" w:line="256" w:lineRule="auto"/>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Lack of Personalization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Developing a program that is flexible and takes members’ unique needs into account requires time and resources,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 many digital health solutions lead with overly automated, generic solutions. This “one size fits all” approach does not consider members’ unique backgrounds, identities, goals, and more—which can create a lack of trust and affinity to recommendations. Similarly, pushing a strict regimen, such as a certain diet or exercise program, on members may only resonate with a small portion of a population that needs support. We believe a program that considers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80"/>
          </w:cols>
          <w:pgMar w:left="320" w:top="451" w:right="4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140" w:right="20"/>
        <w:spacing w:after="0" w:line="277" w:lineRule="auto"/>
        <w:rPr>
          <w:sz w:val="20"/>
          <w:szCs w:val="20"/>
          <w:color w:val="auto"/>
        </w:rPr>
      </w:pPr>
      <w:r>
        <w:rPr>
          <w:rFonts w:ascii="Times New Roman" w:cs="Times New Roman" w:eastAsia="Times New Roman" w:hAnsi="Times New Roman"/>
          <w:sz w:val="18"/>
          <w:szCs w:val="18"/>
          <w:color w:val="auto"/>
        </w:rPr>
        <w:t>context, changes over time, and encourages sustainable behavioral change is better positioned to achieve positive long-term health outcomes.</w:t>
      </w:r>
    </w:p>
    <w:p>
      <w:pPr>
        <w:spacing w:after="0" w:line="186" w:lineRule="exact"/>
        <w:rPr>
          <w:sz w:val="20"/>
          <w:szCs w:val="20"/>
          <w:color w:val="auto"/>
        </w:rPr>
      </w:pPr>
    </w:p>
    <w:p>
      <w:pPr>
        <w:jc w:val="both"/>
        <w:ind w:left="1140" w:hanging="539"/>
        <w:spacing w:after="0" w:line="256" w:lineRule="auto"/>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Ignoring the Need for Clinical Evidence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Many digital health solutions do not ground their program design or offering in scientific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evidence and do not publish peer-reviewed clinical studies. Many do not seek or fail to achieve accreditation from third-party industry organizations that certify an ability to meet clinical quality standards or benchmarks. When companies do not take these measures to ensure quality or outcomes that can be independently measured and validated by relevant authorities, buyers may lack an unbiased basis on which to compare approaches and outcomes or calculate return on investment, which can lead to wasted time and money.</w:t>
      </w:r>
    </w:p>
    <w:p>
      <w:pPr>
        <w:spacing w:after="0" w:line="205" w:lineRule="exact"/>
        <w:rPr>
          <w:rFonts w:ascii="Times New Roman" w:cs="Times New Roman" w:eastAsia="Times New Roman" w:hAnsi="Times New Roman"/>
          <w:sz w:val="18"/>
          <w:szCs w:val="18"/>
          <w:color w:val="auto"/>
        </w:rPr>
      </w:pPr>
    </w:p>
    <w:p>
      <w:pPr>
        <w:jc w:val="both"/>
        <w:ind w:left="1140" w:hanging="539"/>
        <w:spacing w:after="0" w:line="259" w:lineRule="auto"/>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Coordination With Overall Care Ecosystem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Many virtual care solutions fail to integrate with other stakeholders, such as providers, health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plans, or pharmacies, among others. This can create a disjointed member experience and increase complexity for patients. This lack of compatibility with the broader care ecosystem can be especially detrimental to those with chronic conditions, as it limits the opportunity to support patients between visits.</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Navigating the Value (and Cost) of GLP-1s</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It is an exciting time for the field of obesity and weight management. The U.S. Food and Drug Administration (“FDA”) has approved multiple new drug applications from third parties for the use of glucagon-like peptide-1 agonists (“GLP-1s”) to treat diabetes and obesity alongside changes in diet and exercise informed by the safety and efficacy results derived from human clinical trials. Many consider these medications a generational breakthrough in the fight against obesity and obesity-related chronic conditions such as diabetes, hypertension, and heart disease, among other conditions. Even with this breakthrough, we believe the critical need to encourage lasting behavior change remains. For those who can and choose to use GLP-1s, behavior change can help increase weight loss and counter the likely weight regain after discontinuation. For those who cannot or choose not to use GLP-1s, behavior change remains a core part of treatment for obesity and related conditions.</w:t>
      </w:r>
    </w:p>
    <w:p>
      <w:pPr>
        <w:spacing w:after="0" w:line="189"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 xml:space="preserve">GLP-1s have driven dramatic growth in the obesity market, with combined global sales of Ozempic, Rybelsus, Wegovy, and Mounjaro reaching approximately $41.4 billion in 2024, a 73% increase compared to 2023, according to public filings by the respective drug manufacturers. GLP-1s represent a significant cost burden, however, and can cost over $1,000 per patient per month. Meanwhile, the lasting value derived from this therapy may be limited after discontinuation. An early randomized controlled trial published in </w:t>
      </w:r>
      <w:r>
        <w:rPr>
          <w:rFonts w:ascii="Times New Roman" w:cs="Times New Roman" w:eastAsia="Times New Roman" w:hAnsi="Times New Roman"/>
          <w:sz w:val="18"/>
          <w:szCs w:val="18"/>
          <w:i w:val="1"/>
          <w:iCs w:val="1"/>
          <w:color w:val="auto"/>
        </w:rPr>
        <w:t>Diabetes, Obesity &amp; Metabolism</w:t>
      </w:r>
      <w:r>
        <w:rPr>
          <w:rFonts w:ascii="Times New Roman" w:cs="Times New Roman" w:eastAsia="Times New Roman" w:hAnsi="Times New Roman"/>
          <w:sz w:val="18"/>
          <w:szCs w:val="18"/>
          <w:color w:val="auto"/>
        </w:rPr>
        <w:t xml:space="preserve"> in 2022 showed patients regained two-thirds of their prior weight loss at one year after withdrawing from GLP-1 use.</w:t>
      </w:r>
    </w:p>
    <w:p>
      <w:pPr>
        <w:spacing w:after="0" w:line="183" w:lineRule="exact"/>
        <w:rPr>
          <w:sz w:val="20"/>
          <w:szCs w:val="20"/>
          <w:color w:val="auto"/>
        </w:rPr>
      </w:pPr>
    </w:p>
    <w:p>
      <w:pPr>
        <w:jc w:val="both"/>
        <w:ind w:left="180" w:firstLine="436"/>
        <w:spacing w:after="0" w:line="271" w:lineRule="auto"/>
        <w:rPr>
          <w:sz w:val="20"/>
          <w:szCs w:val="20"/>
          <w:color w:val="auto"/>
        </w:rPr>
      </w:pPr>
      <w:r>
        <w:rPr>
          <w:rFonts w:ascii="Times New Roman" w:cs="Times New Roman" w:eastAsia="Times New Roman" w:hAnsi="Times New Roman"/>
          <w:sz w:val="17"/>
          <w:szCs w:val="17"/>
          <w:color w:val="auto"/>
        </w:rPr>
        <w:t>These therapies present both an opportunity and a challenge: employers and other entities that pay for GLP-1s (including health plans and PBMs) must weigh the cost and long-term value of the therapies with the potential impact for the millions of U.S. adults who could be eligible for GLP-1s. According to a 2024 survey of 279 employers conducted by the International Foundation of Employee Benefit Plans, while the majority of employers covered GLP-1 therapies for diabetes, only 34% of employers covered the drugs for diabetes and weight loss, and 19% of the 158 employers who covered the drugs for diabetes only were considering adding weight loss coverage. Some employers, such as Hennepin Health, Ascension, and University of Texas, have publicly announced their intent to stop coverage for these drugs due to their high costs and low perceived benefit.</w:t>
      </w:r>
    </w:p>
    <w:p>
      <w:pPr>
        <w:spacing w:after="0" w:line="172"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 xml:space="preserve">When employers and health plans do choose to cover this class of drugs, FDA-approved labels as of December 31, 2024 guided that GLP-1 therapies prescribed in adults for obesity or chronic weight management should be prescribed concurrently with a behavioral and lifestyle treatment plan. According to the </w:t>
      </w:r>
      <w:r>
        <w:rPr>
          <w:rFonts w:ascii="Times New Roman" w:cs="Times New Roman" w:eastAsia="Times New Roman" w:hAnsi="Times New Roman"/>
          <w:sz w:val="18"/>
          <w:szCs w:val="18"/>
          <w:i w:val="1"/>
          <w:iCs w:val="1"/>
          <w:color w:val="auto"/>
        </w:rPr>
        <w:t>2024 Trends in Drug Benefit Design Report</w:t>
      </w:r>
      <w:r>
        <w:rPr>
          <w:rFonts w:ascii="Times New Roman" w:cs="Times New Roman" w:eastAsia="Times New Roman" w:hAnsi="Times New Roman"/>
          <w:sz w:val="18"/>
          <w:szCs w:val="18"/>
          <w:color w:val="auto"/>
        </w:rPr>
        <w:t xml:space="preserve"> by the Pharmaceutical Strategies Group, 55% of benefits leaders across employers and health plans indicated they currently cover or are evaluating coverage of GLP-1s for weight loss, and of</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80"/>
          </w:cols>
          <w:pgMar w:left="320" w:top="451" w:right="4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62" w:lineRule="auto"/>
        <w:rPr>
          <w:sz w:val="20"/>
          <w:szCs w:val="20"/>
          <w:color w:val="auto"/>
        </w:rPr>
      </w:pPr>
      <w:r>
        <w:rPr>
          <w:rFonts w:ascii="Times New Roman" w:cs="Times New Roman" w:eastAsia="Times New Roman" w:hAnsi="Times New Roman"/>
          <w:sz w:val="18"/>
          <w:szCs w:val="18"/>
          <w:color w:val="auto"/>
        </w:rPr>
        <w:t>those who already cover GLP-1s for weight loss, 29% required participation in a lifestyle modification program for coverage of the medicine. We believe the long-term behavior change promoted by a lifestyle modification program can improve and extend the benefits of GLP-1 medications, can help to counter the drawbacks like loss of muscle mass, and can help benefits leaders justify near-term increases in prescription drug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140970</wp:posOffset>
            </wp:positionV>
            <wp:extent cx="6921500" cy="12471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21500" cy="1247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People with chronic health conditions are the largest and highest-cost populations in the entire U.S. healthcare system. Throughout our journey, we have dedicated significant resources and worked closely with the leading scientific and regulatory bodies to develop a novel, virtual approach to chronic condition management with interventions that are clinically validated and can fundamentally change lives.</w:t>
      </w:r>
    </w:p>
    <w:p>
      <w:pPr>
        <w:spacing w:after="0" w:line="177"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Our primary target population comprises individuals covered by commercial health insurance, which we define as employer-sponsored health insurance, including both self-funded plans administered by health plans and populations that are fully insured by health plans, but excluding individuals covered only by government programs, such as Medicare Advantage, or through PBMs and health systems, where those individuals are not also covered by the commercial health insurance described above. According to a 2024 report from KFF, this target population covered by commercial health insurance is composed of approximately 154 million individuals. Of this target population, we estimate that, as of December 31, 2024, approximately 18 million individuals had access to one or more Omada programs through these commercial health insurance providers and the remainder either had health insurance coverage through commercial health insurance providers that did not cover Omada programs at all or as part of populations that our current customers did not cover for our programs.</w:t>
      </w:r>
    </w:p>
    <w:p>
      <w:pPr>
        <w:spacing w:after="0" w:line="185"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For purposes of illustrating the market opportunity available to us, we assume we could capture the entirety of the target population with prediabetes, diabetes, hypertension, and MSK conditions. The estimates of our market opportunity for individuals with prediabetes, diabetes, hypertension, and MSK conditions rely on data across each condition for the U.S. population as a whole and therefore assume that these conditions do not vary by geography. Because our members are geographically diverse and all reside in the U.S., we believe national data is representative of the target population. If in the future our members are no longer limited to the U.S. or cease to be geographically diverse within the U.S., our calculations would be correspondingly affected. Our estimates for prediabetes, hypertension, and MSK conditions are based on available data that is not age-group specific, although the data used for prediabetes and hypertension is limited to adults. Accordingly, our estimates do not account for how prevalence rates for prediabetes, hypertension, and MSK conditions may vary across age groups. Because our estimates for diabetes are based on available data from the CDC that is age-group specific, the estimates for diabetes utilized different prevalence rates across age groups based on that information. If estimates for the prevalence of U.S. individuals with prediabetes, diabetes, hypertension, or MSK conditions change, including, where used in our estimates, by age group, our calculations would be affected correspondingly.</w:t>
      </w:r>
    </w:p>
    <w:p>
      <w:pPr>
        <w:spacing w:after="0" w:line="193"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Based on the target population, the CDC’s estimated prevalence of prediabetes in the U.S. adult population (38%) and of diabetes in the U.S. working population (4.8% for adults aged 18 to 44 and 18.9% for adults aged 45 to 64) from 2017 to 2020, and the current monthly list price of our programs per active member, multiplied by 12, we estimate that the current addressable market size for prediabetes and diabetes is $41.4 billion and $17.3 billion, respectively.</w:t>
      </w:r>
    </w:p>
    <w:p>
      <w:pPr>
        <w:spacing w:after="0" w:line="182"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Based on the target population, the CDC’s estimated prevalence of hypertension in the U.S. adult population (48.1%) from 2017 to 2020, and the current monthly list price of our program per active member, multiplied by 12, we estimate that our hypertension program represents a $31.6 billion current addressable market. Note that</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80"/>
          </w:cols>
          <w:pgMar w:left="320" w:top="451" w:right="4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this estimate excludes those individuals who have hypertension and also have a comorbidity of prediabetes or diabetes.</w:t>
      </w:r>
    </w:p>
    <w:p>
      <w:pPr>
        <w:spacing w:after="0" w:line="220"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 xml:space="preserve">Based on the target population, the estimated prevalence of MSK conditions in U.S. individuals (38.8%) calculated using 2019 population estimates from the U.S. Census Bureau and a study published in </w:t>
      </w:r>
      <w:r>
        <w:rPr>
          <w:rFonts w:ascii="Times New Roman" w:cs="Times New Roman" w:eastAsia="Times New Roman" w:hAnsi="Times New Roman"/>
          <w:sz w:val="18"/>
          <w:szCs w:val="18"/>
          <w:i w:val="1"/>
          <w:iCs w:val="1"/>
          <w:color w:val="auto"/>
        </w:rPr>
        <w:t>The Lancet Regional Health – Americas</w:t>
      </w:r>
      <w:r>
        <w:rPr>
          <w:rFonts w:ascii="Times New Roman" w:cs="Times New Roman" w:eastAsia="Times New Roman" w:hAnsi="Times New Roman"/>
          <w:sz w:val="18"/>
          <w:szCs w:val="18"/>
          <w:color w:val="auto"/>
        </w:rPr>
        <w:t xml:space="preserve"> examining 2019 global disease data, and the current list price of our program per member for a single episode of care, assuming typical utilization, we estimate that MSK conditions represent a $44.8 billion current addressable market.</w:t>
      </w:r>
    </w:p>
    <w:p>
      <w:pPr>
        <w:spacing w:after="0" w:line="182"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Over the longer term, we may promote our programs more deliberately to other lines of business where we have yet to place significant focus, such as Medicare Advantage plans. KFF estimated that in 2024 there were approximately 33 million Medicare Advantage beneficiaries, which represents 54% of all eligible Medicare beneficiaries. Based on the U.S. prevalence estimates across prediabetes, diabetes, hypertension, and MSK conditions, the size of the Medicare Advantage population, and the list price of our programs per member, we estimate an additional $32.3 billion market opportunity.</w:t>
      </w:r>
    </w:p>
    <w:p>
      <w:pPr>
        <w:spacing w:after="0" w:line="18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While Omada does not develop or prescribe GLP-1 therapies, we believe that our clinical programs position us as an attractive behavior and lifestyle companion choice that can be provided alongside GLP-1 therapies. People receiving GLP-1s for an obesity diagnosis would likely also have a clinical need for an Omada program. Given the comorbidities between obesity and the chronic conditions we serve, and FDA-approved labels’ guidance, as of December 31, 2024, that GLP-1 therapies prescribed in adults for obesity or chronic weight management should be used in conjunction with lifestyle management programs, we see an additional opportunity to capture members who can utilize our GLP-1 Care Tracks alongside our core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147320</wp:posOffset>
            </wp:positionV>
            <wp:extent cx="6870700" cy="50215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70700" cy="5021580"/>
                    </a:xfrm>
                    <a:prstGeom prst="rect">
                      <a:avLst/>
                    </a:prstGeom>
                    <a:noFill/>
                  </pic:spPr>
                </pic:pic>
              </a:graphicData>
            </a:graphic>
          </wp:anchor>
        </w:drawing>
      </w:r>
    </w:p>
    <w:p>
      <w:pPr>
        <w:sectPr>
          <w:pgSz w:w="11900" w:h="16838" w:orient="portrait"/>
          <w:cols w:equalWidth="0" w:num="1">
            <w:col w:w="11080"/>
          </w:cols>
          <w:pgMar w:left="320" w:top="45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137</w:t>
      </w:r>
    </w:p>
    <w:p>
      <w:pPr>
        <w:sectPr>
          <w:pgSz w:w="11900" w:h="16838" w:orient="portrait"/>
          <w:cols w:equalWidth="0" w:num="1">
            <w:col w:w="11080"/>
          </w:cols>
          <w:pgMar w:left="320" w:top="451" w:right="499" w:bottom="144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6921500" cy="53606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21500" cy="5360670"/>
                    </a:xfrm>
                    <a:prstGeom prst="rect">
                      <a:avLst/>
                    </a:prstGeom>
                    <a:noFill/>
                  </pic:spPr>
                </pic:pic>
              </a:graphicData>
            </a:graphic>
          </wp:anchor>
        </w:drawing>
      </w:r>
    </w:p>
    <w:p>
      <w:pPr>
        <w:sectPr>
          <w:pgSz w:w="11900" w:h="16838" w:orient="portrait"/>
          <w:cols w:equalWidth="0" w:num="1">
            <w:col w:w="11080"/>
          </w:cols>
          <w:pgMar w:left="320" w:top="45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 xml:space="preserve">We believe that healthcare industry efforts to improve diabetes outcomes over the past two decades have fallen short of needed improvements, as evidenced by World Health Organization data showing a 3% increase in mortality outcomes from diabetes from 2000 to 2019. While traditional providers and care teams can set a patient on the right treatment plan, factors outside of the doctor’s office significantly influence outcomes. According to data from the </w:t>
      </w:r>
      <w:r>
        <w:rPr>
          <w:rFonts w:ascii="Times New Roman" w:cs="Times New Roman" w:eastAsia="Times New Roman" w:hAnsi="Times New Roman"/>
          <w:sz w:val="18"/>
          <w:szCs w:val="18"/>
          <w:i w:val="1"/>
          <w:iCs w:val="1"/>
          <w:color w:val="auto"/>
        </w:rPr>
        <w:t>American Journal of Preventive Medicine</w:t>
      </w:r>
      <w:r>
        <w:rPr>
          <w:rFonts w:ascii="Times New Roman" w:cs="Times New Roman" w:eastAsia="Times New Roman" w:hAnsi="Times New Roman"/>
          <w:sz w:val="18"/>
          <w:szCs w:val="18"/>
          <w:color w:val="auto"/>
        </w:rPr>
        <w:t xml:space="preserve"> that looked at the 2015 County Health Rankings, less than 20% of what determines health outcomes are attributed to direct, in-office medical care. The remaining more than 80% are determined outside of direct medical care and include factors such as weight management, diet, exercise, social support, and medication adherence practices. We created Omada to provide support in the space between visits.</w:t>
      </w:r>
    </w:p>
    <w:p>
      <w:pPr>
        <w:spacing w:after="0" w:line="189"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Omada members have valuable support at their fingertips, every day, for all the little and big moments that make or break their success between visits. We believe persistent, proactive, empathetic caregivers that can deeply understand a person, get to know their goals, and provide support and accountability are needed to impact outcomes. Technology improves and scales this by allowing for precision, visibility to data and insights, and a rich set of tools that enable personalization. We call the combination of people and technology—the Omada Care Approach—Compassionate Intelligence.</w:t>
      </w:r>
    </w:p>
    <w:p>
      <w:pPr>
        <w:spacing w:after="0" w:line="182"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For example, our technology analyzes millions of pieces of member data from disparate sources to provide a deep, rich analysis of what leads to better health outcomes. These insights are surfaced to our Care Teams who use them to develop a context-informed care plan, with personalized member outreach that aims to proactively deliver the right support to the right member at the right time. Actions and subsequent progress are observed,</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80"/>
          </w:cols>
          <w:pgMar w:left="320" w:top="451" w:right="49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62" w:lineRule="auto"/>
        <w:rPr>
          <w:sz w:val="20"/>
          <w:szCs w:val="20"/>
          <w:color w:val="auto"/>
        </w:rPr>
      </w:pPr>
      <w:r>
        <w:rPr>
          <w:rFonts w:ascii="Times New Roman" w:cs="Times New Roman" w:eastAsia="Times New Roman" w:hAnsi="Times New Roman"/>
          <w:sz w:val="18"/>
          <w:szCs w:val="18"/>
          <w:color w:val="auto"/>
        </w:rPr>
        <w:t>measured, and captured in our robust datasets, built from data from over one million members served since launch. The more members we serve, the more data we learn from, and the more effective we can become at delivering personalized interventions that can drive engagement and clinical outcomes at scale.</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Care Teams: Delivering Connected Care at Scale</w:t>
      </w:r>
    </w:p>
    <w:p>
      <w:pPr>
        <w:spacing w:after="0" w:line="224"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Our Care Teams are at the center of the relationship and the foundation of trust Omada builds with members and are key to our Compassionate Intelligence care approach. Our Care Teams work in close coordination to deliver personalized, virtual, Between-Visit Care to members. Our dedicated Care Teams are intended to remain with a member throughout their entire journey with Omada. They work to proactively engage members even before issues occur, providing support and guidance based on data and insights from our proprietary Care Team Platform.</w:t>
      </w:r>
    </w:p>
    <w:p>
      <w:pPr>
        <w:spacing w:after="0" w:line="182" w:lineRule="exact"/>
        <w:rPr>
          <w:sz w:val="20"/>
          <w:szCs w:val="20"/>
          <w:color w:val="auto"/>
        </w:rPr>
      </w:pPr>
    </w:p>
    <w:p>
      <w:pPr>
        <w:jc w:val="both"/>
        <w:ind w:left="180" w:firstLine="436"/>
        <w:spacing w:after="0" w:line="273" w:lineRule="auto"/>
        <w:rPr>
          <w:sz w:val="20"/>
          <w:szCs w:val="20"/>
          <w:color w:val="auto"/>
        </w:rPr>
      </w:pPr>
      <w:r>
        <w:rPr>
          <w:rFonts w:ascii="Times New Roman" w:cs="Times New Roman" w:eastAsia="Times New Roman" w:hAnsi="Times New Roman"/>
          <w:sz w:val="17"/>
          <w:szCs w:val="17"/>
          <w:color w:val="auto"/>
        </w:rPr>
        <w:t>For more than a decade, studies in care delivery for chronic conditions have shown that multidisciplinary care teams with defined roles and functions outperform a single provider or caregiver. Our Care Teams were designed with this in mind. Each Care Team consists of a primary health coach or specialist, additional relevant specialists where applicable, and/or a licensed physical therapist, depending on the program, allowing us to cost-effectively leverage the right professionals for the right care delivery needs. Each Care Team member is empowered to operate effectively within their relevant training or licenses and is supported by technology that can help remove mundane administrative tasks and clear the way for member care.</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Below is how each member of our Care Team delivers care or support within our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304165</wp:posOffset>
            </wp:positionV>
            <wp:extent cx="6574155" cy="31896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574155" cy="318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1140" w:hanging="539"/>
        <w:spacing w:after="0" w:line="253" w:lineRule="auto"/>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Health Coach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Coaches provide one-on-one education and support directly to members across our Prevention &amp; Weight Health, Diabetes,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Hypertension programs, including for members on GLP-1s. All coaches undergo specialty training, per CDC guidelines, and most coaches have a strong background in nutrition and health coaching. Each Omada health coach also receives on-the-job training and obtains certification as a Diabetes Prevention Program Lifestyle Coach, a curriculum approved and provided by the Diabetes Training and Technical Assistance Center that prepares individuals to serve as lifestyle coaches to deliver the evidence-based national Diabetes Prevention Program promoted by the CDC. Members with type 1 diabetes that are enrolled in Omada for Diabetes receive primary support from a Diabetes Specialist, as described below, rather than a health coach.</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80"/>
          </w:cols>
          <w:pgMar w:left="320" w:top="451" w:right="4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140" w:hanging="539"/>
        <w:spacing w:after="0" w:line="254" w:lineRule="auto"/>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Diabetes Specialist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cardiometabolic specialists provide additional clinical data interpretation support to members in our Diabetes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 reviewing data from continuous glucose monitors (“CGMs”) and blood glucose monitors, medication information, and labs. They work closely with the health coach, communicating via the Care Team Platform, as well as directly with the member. All Omada cardiometabolic specialists obtain certification as Certified Diabetes Care and Education Specialists from the Certification Board for Diabetes Care and Education. This practice-based certification is a healthcare industry standard for experienced health professionals providing appropriate diabetes care and education.</w:t>
      </w:r>
    </w:p>
    <w:p>
      <w:pPr>
        <w:spacing w:after="0" w:line="208" w:lineRule="exact"/>
        <w:rPr>
          <w:rFonts w:ascii="Times New Roman" w:cs="Times New Roman" w:eastAsia="Times New Roman" w:hAnsi="Times New Roman"/>
          <w:sz w:val="18"/>
          <w:szCs w:val="18"/>
          <w:color w:val="auto"/>
        </w:rPr>
      </w:pPr>
    </w:p>
    <w:p>
      <w:pPr>
        <w:jc w:val="both"/>
        <w:ind w:left="1140" w:hanging="539"/>
        <w:spacing w:after="0" w:line="254" w:lineRule="auto"/>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Hypertension Specialist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cardiometabolic specialists provide additional clinical data interpretation support to members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Hypertension program, reviewing blood pressure monitor data, medication information, and labs. They work closely with the health coach, communicating via the Care Team Platform, as well as directly with the member. All Omada cardiometabolic specialists, including our hypertension specialists, obtain certification as Certified Diabetes Care and Education Specialists from the Certification Board for Diabetes Care and Education, which requires additional training in topics such as hypertension and understanding management of blood pressure medications.</w:t>
      </w:r>
    </w:p>
    <w:p>
      <w:pPr>
        <w:spacing w:after="0" w:line="208" w:lineRule="exact"/>
        <w:rPr>
          <w:rFonts w:ascii="Times New Roman" w:cs="Times New Roman" w:eastAsia="Times New Roman" w:hAnsi="Times New Roman"/>
          <w:sz w:val="18"/>
          <w:szCs w:val="18"/>
          <w:color w:val="auto"/>
        </w:rPr>
      </w:pPr>
    </w:p>
    <w:p>
      <w:pPr>
        <w:jc w:val="both"/>
        <w:ind w:left="1140" w:hanging="539"/>
        <w:spacing w:after="0" w:line="259" w:lineRule="auto"/>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Licensed Physical Therapist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Licensed physical therapists provide direct clinical care to members in the MSK program and also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consultation to coaches in our Prediabetes, Diabetes, and Hypertension programs on general MSK practices on an as-needed basis. They have also recently focused on providing content and support on the potential loss of muscle mass from GLP-1 weight loss medication for our GLP-1 Care Tracks.</w:t>
      </w:r>
    </w:p>
    <w:p>
      <w:pPr>
        <w:spacing w:after="0" w:line="201" w:lineRule="exact"/>
        <w:rPr>
          <w:rFonts w:ascii="Times New Roman" w:cs="Times New Roman" w:eastAsia="Times New Roman" w:hAnsi="Times New Roman"/>
          <w:sz w:val="18"/>
          <w:szCs w:val="18"/>
          <w:color w:val="auto"/>
        </w:rPr>
      </w:pPr>
    </w:p>
    <w:p>
      <w:pPr>
        <w:ind w:left="1140" w:right="20" w:hanging="539"/>
        <w:spacing w:after="0" w:line="282" w:lineRule="auto"/>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Licensed Clinical Social Worker (Behavioral Health Specialist)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Licensed clinical social workers provide consultation to our other Care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 members across all clinical programs on general behavioral health practices on an as-needed basis.</w:t>
      </w:r>
    </w:p>
    <w:p>
      <w:pPr>
        <w:spacing w:after="0" w:line="181" w:lineRule="exact"/>
        <w:rPr>
          <w:rFonts w:ascii="Times New Roman" w:cs="Times New Roman" w:eastAsia="Times New Roman" w:hAnsi="Times New Roman"/>
          <w:sz w:val="18"/>
          <w:szCs w:val="18"/>
          <w:color w:val="auto"/>
        </w:rPr>
      </w:pPr>
    </w:p>
    <w:p>
      <w:pPr>
        <w:ind w:left="1140" w:hanging="539"/>
        <w:spacing w:after="0" w:line="282" w:lineRule="auto"/>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Member Support Agent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Support Agents provide device and platform support to members across all programs, via phone, email,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self-service support articles.</w:t>
      </w:r>
    </w:p>
    <w:p>
      <w:pPr>
        <w:spacing w:after="0" w:line="15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Omada provides a unique opportunity for individuals to make an impact across the lives of thousands of people each year. We believe that the differentiated structure of our Care Teams and the important position of each role, together with Omada’s employee compensation, benefits package, training and career opportunities, and workplace culture, make these highly desirable roles for those interested in health or wellness coaching and chronic condition care. As of December 31, 2024, our trailing-12-month retention rate for health coaches was 91%. Health coaches also have the opportunity to pursue a Certified Diabetes Care and Education Specialist credential, offering career path progression to a cardiometabolic specialist role. This helps us recruit and retain great talent who align with our mission and vision, serve to reinforce our culture, and underpin our efforts to engage members on their path to achieving long-term behavior change and lifelong health.</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Technology: Enabling a Personalized Health Experience</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Our technology platform is purpose-built to magnify the impact of our Between-Visit Care model and drive operational excellence in a trusted and secure way. We use technology to harness the distinctly human ability of our Care Teams to connect with members and build a personal relationship across a diverse and growing member population. Our technology enables our Care Teams to build trust with more members faster, targeting greater impact at lower cost than traditional care models. We also use technology to scale our enterprise and to drive internal efficiencies across our business, such as member enrollment, coach capacity planning, device fulfillment, and reporting for customers and channel partners.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80"/>
          </w:cols>
          <w:pgMar w:left="320" w:top="451" w:right="4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213360</wp:posOffset>
            </wp:positionV>
            <wp:extent cx="6921500" cy="28416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21500" cy="2841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We collect data from a wide range of interactions between our members, our technology platform, connected third-party devices, and our Care Teams. Our Care Team Platform receives more than 50,000 data points every 60 minutes, as of December 31, 2024. These data feed into and power continuous adjustments, inform care pathways unique to the member, and help our Care Teams determine when the human touch can be most effective using real-time engagement data. Our approach is designed to promote meaningful engagement across all of our programs:</w:t>
      </w:r>
    </w:p>
    <w:p>
      <w:pPr>
        <w:spacing w:after="0" w:line="209" w:lineRule="exact"/>
        <w:rPr>
          <w:sz w:val="20"/>
          <w:szCs w:val="20"/>
          <w:color w:val="auto"/>
        </w:rPr>
      </w:pPr>
    </w:p>
    <w:p>
      <w:pPr>
        <w:ind w:left="1140" w:right="20" w:hanging="539"/>
        <w:spacing w:after="0" w:line="277" w:lineRule="auto"/>
        <w:tabs>
          <w:tab w:leader="none" w:pos="11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more than 55% of members still engaged with our cardiometabolic programs at least once per month after a year in the program, and over 50% still engaged monthly after two years.</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average, in 2024, members in a cardiometabolic program engaged more than 30 times per month throughout their first year.</w:t>
      </w:r>
    </w:p>
    <w:p>
      <w:pPr>
        <w:spacing w:after="0" w:line="247"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members with an active MSK condition spent an average of between ten and eleven weeks in our MSK program and completed over 25 workouts on average during their episode of care.</w:t>
      </w:r>
    </w:p>
    <w:p>
      <w:pPr>
        <w:spacing w:after="0" w:line="163"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Our integrated technology platform supports activities across the entire lifecycle of our work with customers, channel partners, and members: from benefit eligibility confirmation and enrollment outreach to application and member onboarding, device management and fulfillment, member-facing tools and applications, Care Team tools, data capture and storage, and platform and billing infrastructure. The investments in our technology and Care Team Platform have enabled us to scale and serve more than one million members since launch, while retaining and ensuring the ability to deliver an exceptional member experience, with high clinical quality and consistency. For example, improvements in both the efficiency and effectiveness of our platform have yielded a 32% increase in total members per coach from full year 2023 to full year 2024, while maintaining comparable 6-month weight loss outcomes.</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80"/>
          </w:cols>
          <w:pgMar w:left="320" w:top="451" w:right="4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213360</wp:posOffset>
            </wp:positionV>
            <wp:extent cx="6692900" cy="30200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692900" cy="302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Member-Facing Applications</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Our member-facing platform is designed to offer a cohesive and integrated experience that encompasses the full range of direct interactions a member has with Omada. From their first introduction via our outbound outreach, through application and enrollment, to the delivery of our care programs, our members’ journeys come to life within the technology stack.</w:t>
      </w:r>
    </w:p>
    <w:p>
      <w:pPr>
        <w:spacing w:after="0" w:line="177"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Through a single log-in to our mobile and web applications, members can access interactive lessons, peer groups, social communities, devices and meal tracking, and their dedicated Care Team. Once the member enrolls in an Omada program, their journey is immediately personalized through what they experience in the app and by Care Team communications. Every time they log on, they land on a dynamic home screen that reflects specific content and activities based on their program and current goals. A continuous feedback loop is available through our analytics suite that informs continuous improvement of our recommendations, actions, and content.</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Connected Devices</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As clinically appropriate, we provide members with a suite of connected third-party devices that quantitatively measure progress, surface real-time member data to our platform, and can inform further personalization they receive from their Care Team. Depending on the program, these devices can include scales, blood pressure monitors, blood glucose monitors, and CGMs. For example, a typical Prevention &amp; Weight Health member will receive a scale, whereas a typical Hypertension member might receive both a scale and a blood pressure monitor.</w:t>
      </w:r>
    </w:p>
    <w:p>
      <w:pPr>
        <w:spacing w:after="0" w:line="182"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Most devices are cellular-connected devices paired with their member account that require no setup by the member and transmit fast, accurate readings directly to Omada. Members get real-time visibility and awareness of how their behaviors are impacting their health, creating incredibly valuable learning moments and engagement with the program. Care Teams use the data to generate insights that further personalize members’ care plans and interventions, creating additional member learning moments.</w:t>
      </w:r>
    </w:p>
    <w:p>
      <w:pPr>
        <w:spacing w:after="0" w:line="182"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The CGM offering in our Omada for Diabetes program particularly stands out. CGMs can provide a motion-picture-like view of a member’s blood sugar compared to the still photo a blood glucose monitor provides. We support data integration for members who already use a CGM, and we provide third-party CGM sensors at critical points in our Diabetes program to members who do not have those sensors. We have a partnership with Abbott Laboratories that includes the supply of FreeStyle Libre sensors for our Diabetes program. We make</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80"/>
          </w:cols>
          <w:pgMar w:left="320" w:top="451" w:right="4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62" w:lineRule="auto"/>
        <w:rPr>
          <w:sz w:val="20"/>
          <w:szCs w:val="20"/>
          <w:color w:val="auto"/>
        </w:rPr>
      </w:pPr>
      <w:r>
        <w:rPr>
          <w:rFonts w:ascii="Times New Roman" w:cs="Times New Roman" w:eastAsia="Times New Roman" w:hAnsi="Times New Roman"/>
          <w:sz w:val="18"/>
          <w:szCs w:val="18"/>
          <w:color w:val="auto"/>
        </w:rPr>
        <w:t>available the FreeStyle Libre sensors at no cost to members and facilitate members’ ability to seek prescriptions for these CGMs, where appropriate, through a third-party care partner. We have seen that real-time glucose data can provide our members and Care Teams with rich insight into managing glucose levels. We have also seen that members who engage with CGMs are more engaged in the program overall.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302260</wp:posOffset>
            </wp:positionV>
            <wp:extent cx="6633210" cy="22053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633210" cy="2205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Care Team Platform</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Care Teams can drive human connections that build trust, improve effectiveness of interventions, and start the flywheel of positive experiences and outcomes for members. Facilitating this at scale is complex and requires integrated software that supports the member experience as well as Care Team and device operations. The most commonly used electronic health record (“EHR”) systems on the market do not offer all of the features we believe are necessary for Between-Visit Care. Existing EHR systems built for traditional care did not support the level of communication, content integration, continuous workflow optimization, or ease of use we desired. So we built our own.</w:t>
      </w:r>
    </w:p>
    <w:p>
      <w:pPr>
        <w:spacing w:after="0" w:line="183"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Our Care Team Platform is designed for easy and efficient navigation, and to enable our Care Teams to drive positive outcomes for members. Upon enrollment, we match members with other members in peer groups based on similar geographic location and life stage, then assign a Care Team depending on the program and context. Through the Care Team Platform, we surface shared member context for easy reference and enable Care Team members to communicate with each other and with members through asynchronous messaging. Our proprietary tools also enhance many activities in the Care Team workflow. For example, we have developed algorithms, informed by data from our member interactions, that can help prioritize and organize our Care Teams’ inboxes. These algorithms can also identify potential high-impact opportunities to support a member and can surface those opportunities for review and action by our trained Care Teams.</w:t>
      </w:r>
    </w:p>
    <w:p>
      <w:pPr>
        <w:spacing w:after="0" w:line="18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regularly assess operating workflows and care path activities with a goal of making our Care Teams more effective and efficient. For example, in 2023, we reduced the time needed for a coach to support the first year of a member’s journey with Omada for Prevention &amp; Weight Health by 5% without negatively impacting our key measures of member engagement. To accomplish this, we highlighted patterns in members’ early engagement profiles and incorporated new criteria to help our Care Teams identify priority members for outreach. We enabled our Care Teams to make more targeted clinical interventions that considered how likely a member was to respond and added detail to make the topics more relevant to a given member’s journey from the very first month. Going forward, we expect to continue evaluating potential workflow efficiencies to further scale the impact of our Care Teams.</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80"/>
          </w:cols>
          <w:pgMar w:left="320" w:top="451" w:right="4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213360</wp:posOffset>
            </wp:positionV>
            <wp:extent cx="6667500" cy="41224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667500" cy="4122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Purpose-Built Infrastructure</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Our technology platform includes a combination of custom-built technology and commercially available software. Our eligibility and outreach layer can screen members for coverage, clinical eligibility, and program needs. Prospective members follow a single application that routes them into the best program based on their needs and eligibility. Our programs are mobile-first, across iOS and Android, which enables us to better reach members throughout their daily lives.</w:t>
      </w:r>
    </w:p>
    <w:p>
      <w:pPr>
        <w:spacing w:after="0" w:line="182"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Omada is regulated as a healthcare provider and a HIPAA covered entity. Safe and secure data capture and storage are critical to our business. Our data technology stack includes data extraction, structuring, and warehousing; event tracking and analysis software; and integrations across tools designed to ensure a single source of truth for critical tasks, from billing via claims to Care Team intervention prompts.</w:t>
      </w:r>
    </w:p>
    <w:p>
      <w:pPr>
        <w:spacing w:after="0" w:line="177"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As we deliver care to members between visits with their in-person providers, we believe it is important to share data within the broader healthcare ecosystem rather than operate in isolation. We enable members to share their health information from our programs with their in-person providers. As a healthcare provider, we can also exchange health information bidirectionally in support of members through our access to health information exchanges. As part of our healthcare operations, we use data to inform and enable our delivery of relevant clinical interventions, and we look to leverage data analysis and data science to drive meaningful impact on member outcomes at scale.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80"/>
          </w:cols>
          <w:pgMar w:left="320" w:top="451" w:right="4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Continuous Innovation: The Omada Insights Lab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1709420</wp:posOffset>
            </wp:positionH>
            <wp:positionV relativeFrom="paragraph">
              <wp:posOffset>18415</wp:posOffset>
            </wp:positionV>
            <wp:extent cx="3723640" cy="27819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723640" cy="2781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At Omada, we have invested in continuous innovation across our programs, conscious that every gain in efficiency and effectiveness could help more members to reach their health goals. Informed by our robust dataset from delivering care to over one million members since launch, the Omada Insights Lab develops dynamic insights and multi-disciplinary analysis. A cross-functional collaboration of experienced teams in clinical, product, design, engineering, and Care Teams, the Insights Lab targets the discovery of insights that drive innovative and cost-effective interventions in chronic condition care.</w:t>
      </w:r>
    </w:p>
    <w:p>
      <w:pPr>
        <w:spacing w:after="0" w:line="183"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As we learn, we use some of the best practice product design and development methodologies for rapid testing and iteration, such as Continuous Discovery (opportunity mapping, hypothesis testing, frequent user interviewing), and (scrum) Agile software development practices. We also leverage artificial intelligence (“AI”), including generative AI (“GenAI”), and machine learning (“ML”), which we describe further below, to help us drive scalable operating efficiencies that support our Care Team-centered model. As the general state of AI and ML technology continues to evolve, we plan to evaluate new ways in which these technologies could further enhance the impact of what we build.</w:t>
      </w:r>
    </w:p>
    <w:p>
      <w:pPr>
        <w:spacing w:after="0" w:line="183"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Over time, we have produced improvements to a number of activities in order to drive meaningful impact at scale and reflect our member-centric design approach and commitment to exceptional experiences, including:</w:t>
      </w:r>
    </w:p>
    <w:p>
      <w:pPr>
        <w:spacing w:after="0" w:line="186" w:lineRule="exact"/>
        <w:rPr>
          <w:sz w:val="20"/>
          <w:szCs w:val="20"/>
          <w:color w:val="auto"/>
        </w:rPr>
      </w:pPr>
    </w:p>
    <w:p>
      <w:pPr>
        <w:jc w:val="both"/>
        <w:ind w:left="1140" w:right="20" w:hanging="539"/>
        <w:spacing w:after="0" w:line="287" w:lineRule="auto"/>
        <w:tabs>
          <w:tab w:leader="none" w:pos="11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Instant Context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leverage the GenAI capabilities of prominent, third-party large language models, augmented with internal data from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interactions with members, to prepare helpful contextual summaries of certain member history and circumstances, for evaluation by our trained Care Teams. These summaries can reduce the time Care Teams spend gathering valuable context for individualized responses.</w:t>
      </w:r>
    </w:p>
    <w:p>
      <w:pPr>
        <w:spacing w:after="0" w:line="180" w:lineRule="exact"/>
        <w:rPr>
          <w:rFonts w:ascii="Times New Roman" w:cs="Times New Roman" w:eastAsia="Times New Roman" w:hAnsi="Times New Roman"/>
          <w:sz w:val="17"/>
          <w:szCs w:val="17"/>
          <w:color w:val="auto"/>
        </w:rPr>
      </w:pPr>
    </w:p>
    <w:p>
      <w:pPr>
        <w:jc w:val="both"/>
        <w:ind w:left="1140" w:right="20" w:hanging="539"/>
        <w:spacing w:after="0" w:line="287" w:lineRule="auto"/>
        <w:tabs>
          <w:tab w:leader="none" w:pos="11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Automatic Message Tagging</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also leverage third-party large language models to analyze and categorize messages that our Care Teams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send to members. This categorization helps us to understand what our Care Teams have discussed with specific members at various times and enables us to evaluate the effectiveness of different Care Team interventions at driving member engagement and clinical outcomes.</w:t>
      </w:r>
    </w:p>
    <w:p>
      <w:pPr>
        <w:spacing w:after="0" w:line="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80"/>
          </w:cols>
          <w:pgMar w:left="320" w:top="451" w:right="4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140" w:right="20" w:hanging="539"/>
        <w:spacing w:after="0" w:line="256" w:lineRule="auto"/>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Smart Recommendations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developed our own ML algorithms, informed by data from our member interactions and information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our content libraries as further described below, to create a content recommendation engine that can use predictive insights to help surface relevant wellness content and resources from our library to members based on circumstances and factors that our clinical teams believe are likely to make those resources most relevant. These smart recommendations provided by our content engine can surface more impactful information to members at more opportune times.</w:t>
      </w:r>
    </w:p>
    <w:p>
      <w:pPr>
        <w:spacing w:after="0" w:line="205" w:lineRule="exact"/>
        <w:rPr>
          <w:rFonts w:ascii="Times New Roman" w:cs="Times New Roman" w:eastAsia="Times New Roman" w:hAnsi="Times New Roman"/>
          <w:sz w:val="18"/>
          <w:szCs w:val="18"/>
          <w:color w:val="auto"/>
        </w:rPr>
      </w:pPr>
    </w:p>
    <w:p>
      <w:pPr>
        <w:jc w:val="both"/>
        <w:ind w:left="1140" w:hanging="539"/>
        <w:spacing w:after="0" w:line="252" w:lineRule="auto"/>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MSK Computer Vision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leverage and configure third-party computer vision libraries available on leading mobile devices to evaluate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members’ form in performing certain exercises or motions. To further enable use of this technology, we have also developed a domain-specific language to enable non-engineers, such as our affiliated physical therapists, to more easily write new scripts that allow us to assess additional types of exercises and motions for our MSK Program. This AI-powered computer vision technology can provide real-time feedback to members and provides physical therapists with range-of-motion information and other objective measurement data to augment their qualitative assessment of movement performance, helping them to evaluate form and analyze how well care plans are producing improvements in mobility. For more information on the risks and benefits associated with virtual physical therapy, see “—Our Programs— Omada for MSK”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300990</wp:posOffset>
            </wp:positionV>
            <wp:extent cx="5725795" cy="38849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725795" cy="388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Our extensible, integrated technology platform has allowed us to evolve our programs in support of new conditions (including Omada for Diabetes, Omada for Hypertension, and Omada for MSK), additional comorbidities (such as behavioral health issues), and new treatments that emerge (such as GLP-1s, supported through our GLP-1 Care Tracks). We plan to leverage this extensible platform in similar ways in the future to pursue strategic clinical, customer, and market opportunities.</w:t>
      </w:r>
    </w:p>
    <w:p>
      <w:pPr>
        <w:spacing w:after="0" w:line="182"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As we seek to leverage AI and ML, we are mindful of responsible privacy practices, including the minimum-necessary requirements applicable to our healthcare operations and our broader data privacy program, and commitments to our members. We have developed our ML algorithms with data that includes only limited identifiers—by removing fields such as legal names, addresses, birth dates, and most other direct identifiers and</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80"/>
          </w:cols>
          <w:pgMar w:left="320" w:top="451" w:right="4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by including direct identifiers and other fields, such as age and clinical indicators, only when required for the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168910</wp:posOffset>
            </wp:positionV>
            <wp:extent cx="6921500" cy="12217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21500" cy="1221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When our sales team engages with customers and channel partners, we often hear that obesity, diabetes, hypertension, and MSK conditions are impacting employee health and driving up the total cost of care. However, many still contract with multiple vendors, in some cases as many as ten, in order to construct a health benefits offering that meets their needs. This approach can result in several ongoing program implementations, confusion among employees, under-utilization of the different programs, and difficulty measuring outcomes across an employee population. Omada offers a single platform that delivers integrated, evidence-based chronic condition programs for several condition areas without the need to contract with multiple providers, providing a streamlined and convenient experience for members.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Our Programs</w:t>
      </w:r>
    </w:p>
    <w:p>
      <w:pPr>
        <w:spacing w:after="0" w:line="224"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Since launching our first program in 2012, we observed a demand from our customers and channel partners to expand beyond diabetes prevention and weight management and into other conditions, such as the treatment and management of diabetes, hypertension, and MSK conditions. The significant overlap across these chronic conditions created a natural growth avenue by enabling a coordinated, context-informed care approach across conditions.</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Omada for Prevention &amp; Weight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171450</wp:posOffset>
            </wp:positionV>
            <wp:extent cx="6921500" cy="25361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21500" cy="253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Omada for Prevention &amp; Weight Health, our first program launched in 2012, focuses on prediabetes and weight management, two critical elements of preventing diabetes and heart disease. Informed by guidelines and recommendations set by the U.S. Preventive Services Task Force and the CDC, the goal of the program is to enable members to lose weight, maintain a healthy weight, and increase physical activity. We pair members with a dedicated health coach for the entirety of their experience and support them with a connected scale, a personalized learning path, nutrition counseling, and support from peer groups to build community.</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80"/>
          </w:cols>
          <w:pgMar w:left="320" w:top="451" w:right="4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In 2018, demand from customers and channel partners, member need, and clinically appropriate interventions came together in an opportunity to expand our offering to support members with diabetes and hypertension leveraging our existing, flexible platform. Considering this market need and feedback, we decided to launch Omada for Diabetes, Omada for Hypertension, and the combined Omada for Diabetes and Hypertension programs. We refer to these, along with our Omada for Prevention &amp; Weight Health program, as our cardiometabolic programs.</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Omada for Diabetes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171450</wp:posOffset>
            </wp:positionV>
            <wp:extent cx="6718300" cy="23329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718300" cy="233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Launched in 2018, Omada for Diabetes is designed to help members with type 1 or type 2 diabetes achieve stable blood glucose levels and meet and reach their A1C reduction goals based in part on treatment guidelines from the ADA. According to the CDC, between 2017 and 2020, nearly 90% of people with type 2 diabetes had obesity or were overweight, and so we also support members with reaching and maintaining a healthy weight through modifications in diet, exercise, and other behaviors. Members are paired with a dedicated, professionally trained health coach who acts as their primary contact, except in the case of members living with type 1 diabetes, whose primary contact is a Certified Diabetes Care and Education Specialist. Care Teams for members with type 2 diabetes also include a Certified Diabetes Care and Education Specialist in addition to the member’s primary contact. Members are also provided with connected third-party devices based on their needs, which can include a connected scale and a blood glucose monitor. We can also facilitate prescriptions for CGM sensors at certain points in the program through a third-party care partner to improve understanding of behavior and blood glucose levels. As in our Prevention &amp; Weight Health program, members are engaged with a personalized learning path and supported by peer groups.</w:t>
      </w:r>
    </w:p>
    <w:p>
      <w:pPr>
        <w:spacing w:after="0" w:line="186"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We are proud to have earned the NCQA’s Population Health Program Accreditation for our fully virtual type 2 Diabetes and combined Diabetes and Hypertension programs.</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80"/>
          </w:cols>
          <w:pgMar w:left="320" w:top="451" w:right="4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Omada for Hypertension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171450</wp:posOffset>
            </wp:positionV>
            <wp:extent cx="6718300" cy="23837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718300" cy="2383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Launched in 2018, Omada for Hypertension is designed to help reduce members’ blood pressure and help them maintain healthy blood pressure based on clinical protocols recommended by the American Medical Association (the “AMA”), the American College of Cardiology (the “ACC”), and the American Heart Association (the “AHA”). As with type 2 diabetes, hypertension is often comorbid with obesity; according to a June 2021 report from the National Center of Health Statistics that reviewed data between 2017 and 2020, approximately 58% of U.S. adults who were classified as having obesity also had hypertension. We help members in need of weight management support in reaching and maintaining a healthy weight through modifications to diet, exercise, and other behaviors. Members are paired with a dedicated, professionally trained health coach and a Certified Diabetes Care and Education Specialist. Members are also provided with connected third-party devices based on their needs, which can include a connected scale and a blood pressure monitor. As in our Prevention &amp; Weight Health program, members are engaged with a personalized learning path and supported by peer groups.</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Omada for MSK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171450</wp:posOffset>
            </wp:positionV>
            <wp:extent cx="6718300" cy="22225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718300" cy="2222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Launched by Omada in 2020, Omada for MSK connects individuals to licensed physical therapists for consultation and virtual treatment. Our program provides members access to treatment in as little as 24 hours from enrollment. We match clinically eligible patients with a dedicated physical therapist and provide ongoing access through video visits and asynchronous chat. Omada-affiliated physical therapists assign evidence-based treatment exercises and stretches to members, and the program helps members complete their prescribed care path at the recommended cadence. Physical therapists can assess patient progress through form analysis (by video), range of motion (by computer vision technology), and patient reports (in-app feedback). Members can also access an individualized education curriculum to help build healthy habits that support recovery and long-</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80"/>
          </w:cols>
          <w:pgMar w:left="320" w:top="451" w:right="4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term health. Our education library includes hundreds of pieces of content, ranging from articles to interactive media and videos.</w:t>
      </w:r>
    </w:p>
    <w:p>
      <w:pPr>
        <w:spacing w:after="0" w:line="220"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Although virtual physical therapy is not appropriate for all diagnoses, clinical practice guidelines published in May 2024 by the American Physical Therapy Association recommend using “telerehabilitation” (i.e., virtual physical therapy). These guidelines concluded that, when compared to in-person care for appropriate diagnoses, on balance, the benefits of virtual physical therapy (which include improved accessibility, increased adherence to treatment plans, and potential improvement in the timeliness of services) outweigh the risks, harms, and costs of virtual physical therapy (which include potential cybersecurity and data privacy concerns, potential safety risks in certain circumstances if the provider is unable to assist the patient at home, and the potential for poorer patient outcomes and experiences if barriers compromise a physical therapist’s ability to effectively manage a plan of care virtually). Virtual physical therapy can be comparable to in-person care for patient acceptability, satisfaction, and clinical outcomes and superior for adherence and attendance.</w:t>
      </w:r>
    </w:p>
    <w:p>
      <w:pPr>
        <w:spacing w:after="0" w:line="183" w:lineRule="exact"/>
        <w:rPr>
          <w:sz w:val="20"/>
          <w:szCs w:val="20"/>
          <w:color w:val="auto"/>
        </w:rPr>
      </w:pPr>
    </w:p>
    <w:p>
      <w:pPr>
        <w:jc w:val="both"/>
        <w:ind w:left="180" w:firstLine="436"/>
        <w:spacing w:after="0" w:line="258" w:lineRule="auto"/>
        <w:rPr>
          <w:sz w:val="20"/>
          <w:szCs w:val="20"/>
          <w:color w:val="auto"/>
        </w:rPr>
      </w:pPr>
      <w:r>
        <w:rPr>
          <w:rFonts w:ascii="Times New Roman" w:cs="Times New Roman" w:eastAsia="Times New Roman" w:hAnsi="Times New Roman"/>
          <w:sz w:val="18"/>
          <w:szCs w:val="18"/>
          <w:color w:val="auto"/>
        </w:rPr>
        <w:t xml:space="preserve">58% of people who had diabetes also suffered from an MSK condition, according to a </w:t>
      </w:r>
      <w:r>
        <w:rPr>
          <w:rFonts w:ascii="Times New Roman" w:cs="Times New Roman" w:eastAsia="Times New Roman" w:hAnsi="Times New Roman"/>
          <w:sz w:val="18"/>
          <w:szCs w:val="18"/>
          <w:i w:val="1"/>
          <w:iCs w:val="1"/>
          <w:color w:val="auto"/>
        </w:rPr>
        <w:t>Journal of Back and Musculoskeletal Rehabilitation</w:t>
      </w:r>
      <w:r>
        <w:rPr>
          <w:rFonts w:ascii="Times New Roman" w:cs="Times New Roman" w:eastAsia="Times New Roman" w:hAnsi="Times New Roman"/>
          <w:sz w:val="18"/>
          <w:szCs w:val="18"/>
          <w:color w:val="auto"/>
        </w:rPr>
        <w:t xml:space="preserve"> meta-analysis in 2019. As a result, we believe our MSK program can be highly complementary to our cardiometabolic offering. Independently accredited by URAC for virtual physical therapy services for joint and muscle health from licensed physical therapists, Omada for MSK meets the high clinical standards we have set across our suite of programs.</w:t>
      </w:r>
    </w:p>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Omada GLP-1 Care Tracks</w:t>
      </w:r>
    </w:p>
    <w:p>
      <w:pPr>
        <w:spacing w:after="0" w:line="224"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Despite the clinical promise of GLP-1 therapy and its increased use recently, individuals often still face challenges in their journey to sustainable weight health. These challenges can include high costs of GLP-1 therapy, limited insurance coverage, potential side effects, and the risk of weight regain after discontinuation. We believe individuals can see better results when they also receive broad support from care programs that can address these challenges and empower them to make lasting lifestyle changes.</w:t>
      </w:r>
    </w:p>
    <w:p>
      <w:pPr>
        <w:spacing w:after="0" w:line="182"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First launched in 2023, the initial version of Omada’s GLP-1 Care Track, currently embedded in our cardiometabolic programs, is designed to support members on a GLP-1 therapy—while also engaged in one of those programs—to enable their success before, during, and after GLP-1 therapy. With over 50,000 members across Omada programs having used GLP-1 therapies as of December 31, 2024, Omada has experience supporting members currently taking GLP-1 therapy in making lasting health changes. The GLP-1 Care Tracks present an opportunity to provide additional personalized support, education, and resources to help individuals achieve sustainable weight health throughout their GLP-1 journey and beyond. This GLP-1 Care Track has resonated with our customers and channel partners, as demonstrated by the March 2024 announcement of our collaboration with Evernorth. Through this collaboration, our lifestyle support programs will be provided to eligible members enrolled in EncircleRx, an Express Scripts by Evernorth solution designed to help clients manage GLP-1 costs. Omada does not develop or prescribe GLP-1 therapies. Rather, our GLP-1 Care Track is intended to build and enhance outcomes from the combination of our virtual programs and the member’s medication, with the ultimate goal of supporting members to achieve and maintain weight loss long-term—even after they decide to discontinue GLP-1 therapy. While the initial version of our GLP-1 Care Track is embedded in each of our cardiometabolic programs, our customers and channel partners will also be able to purchase an enhanced version (the “Enhanced GLP-1 Care Track”), which includes more specialized programming and support.</w:t>
      </w:r>
    </w:p>
    <w:p>
      <w:pPr>
        <w:spacing w:after="0" w:line="191"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To inform the design and refinement of our GLP-1 Care Tracks and as part of our commitment to establishing and validating the health impact of our offerings and their value for customers and channel partners, we and certain of our customers and channel partners have conducted initial analyses of the results of our programs when provided alongside GLP-1 therapy. In total, these analyses have reviewed data from more than 5,500 of our members that were taking or had recently discontinued GLP-1 therapy between 2022 and 2024. Two of those analyses reviewed early results for our GLP-1 Care Tracks, which we describe in detail below.</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80"/>
          </w:cols>
          <w:pgMar w:left="320" w:top="451" w:right="4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Initial results from one such analysis of members who chose to enroll in Omada’s Enhanced GLP-1 Care Track from June through early August 2024 have shown promising improvements in supporting weight loss and healthy behaviors among individuals taking GLP-1 therapy:</w:t>
      </w:r>
    </w:p>
    <w:p>
      <w:pPr>
        <w:spacing w:after="0" w:line="173" w:lineRule="exact"/>
        <w:rPr>
          <w:sz w:val="20"/>
          <w:szCs w:val="20"/>
          <w:color w:val="auto"/>
        </w:rPr>
      </w:pPr>
    </w:p>
    <w:p>
      <w:pPr>
        <w:jc w:val="both"/>
        <w:ind w:left="1140" w:hanging="539"/>
        <w:spacing w:after="0" w:line="259" w:lineRule="auto"/>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Improved Health Behaviors: </w:t>
      </w:r>
      <w:r>
        <w:rPr>
          <w:rFonts w:ascii="Times New Roman" w:cs="Times New Roman" w:eastAsia="Times New Roman" w:hAnsi="Times New Roman"/>
          <w:sz w:val="18"/>
          <w:szCs w:val="18"/>
          <w:color w:val="auto"/>
        </w:rPr>
        <w:t>Members showed significant improvements in health-promoting behaviors during their first 16 weeks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participation in the Enhanced GLP-1 Care Track, including on average a 12% increase in weigh-ins, 22% more recorded healthy meals, and 27% more self-reported days of engaging in physical activity, in each case, compared to similar Omada members taking GLP-1 therapy but not enrolled in the Enhanced GLP-1 Care Track.</w:t>
      </w:r>
    </w:p>
    <w:p>
      <w:pPr>
        <w:spacing w:after="0" w:line="188" w:lineRule="exact"/>
        <w:rPr>
          <w:rFonts w:ascii="Times New Roman" w:cs="Times New Roman" w:eastAsia="Times New Roman" w:hAnsi="Times New Roman"/>
          <w:sz w:val="18"/>
          <w:szCs w:val="18"/>
          <w:color w:val="auto"/>
        </w:rPr>
      </w:pPr>
    </w:p>
    <w:p>
      <w:pPr>
        <w:ind w:left="1140" w:right="20" w:hanging="539"/>
        <w:spacing w:after="0" w:line="282" w:lineRule="auto"/>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Greater Weight Loss: </w:t>
      </w:r>
      <w:r>
        <w:rPr>
          <w:rFonts w:ascii="Times New Roman" w:cs="Times New Roman" w:eastAsia="Times New Roman" w:hAnsi="Times New Roman"/>
          <w:sz w:val="18"/>
          <w:szCs w:val="18"/>
          <w:color w:val="auto"/>
        </w:rPr>
        <w:t>Members in the Enhanced GLP-1 Care Track achieved on average a statistically significant 28% greater weight loss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week 16 compared to similar members taking GLP-1 therapy but not enrolled in the Enhanced GLP-1 Care Track.</w:t>
      </w:r>
    </w:p>
    <w:p>
      <w:pPr>
        <w:spacing w:after="0" w:line="168" w:lineRule="exact"/>
        <w:rPr>
          <w:rFonts w:ascii="Times New Roman" w:cs="Times New Roman" w:eastAsia="Times New Roman" w:hAnsi="Times New Roman"/>
          <w:sz w:val="18"/>
          <w:szCs w:val="18"/>
          <w:color w:val="auto"/>
        </w:rPr>
      </w:pPr>
    </w:p>
    <w:p>
      <w:pPr>
        <w:ind w:left="1140" w:right="20" w:hanging="539"/>
        <w:spacing w:after="0" w:line="312" w:lineRule="auto"/>
        <w:tabs>
          <w:tab w:leader="none" w:pos="11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Increased Self-Efficacy: </w:t>
      </w:r>
      <w:r>
        <w:rPr>
          <w:rFonts w:ascii="Times New Roman" w:cs="Times New Roman" w:eastAsia="Times New Roman" w:hAnsi="Times New Roman"/>
          <w:sz w:val="17"/>
          <w:szCs w:val="17"/>
          <w:color w:val="auto"/>
        </w:rPr>
        <w:t>Members in the Enhanced GLP-1 Care Track reported a 12% average increase in self-efficacy at week 16</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compared to the time of enrollment, reflecting improvements in self-confidence in their ability to lose weight and maintain healthy habits.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251460</wp:posOffset>
            </wp:positionV>
            <wp:extent cx="5344160" cy="50044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344160" cy="5004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80"/>
          </w:cols>
          <w:pgMar w:left="320" w:top="451" w:right="4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213360</wp:posOffset>
            </wp:positionV>
            <wp:extent cx="5344160" cy="15436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344160" cy="154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In addition, a separate analysis, reviewing early results from members who chose during the period from late February through May 2024 to receive GLP-1 therapy discontinuation program support through our initial, embedded GLP-1 Care Track, has shown promising weight maintenance among individuals discontinuing GLP-1 therapy:</w:t>
      </w:r>
    </w:p>
    <w:p>
      <w:pPr>
        <w:spacing w:after="0" w:line="173" w:lineRule="exact"/>
        <w:rPr>
          <w:sz w:val="20"/>
          <w:szCs w:val="20"/>
          <w:color w:val="auto"/>
        </w:rPr>
      </w:pPr>
    </w:p>
    <w:p>
      <w:pPr>
        <w:jc w:val="both"/>
        <w:ind w:left="1140" w:right="20" w:hanging="539"/>
        <w:spacing w:after="0" w:line="265" w:lineRule="auto"/>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Lasting Weight Health: </w:t>
      </w:r>
      <w:r>
        <w:rPr>
          <w:rFonts w:ascii="Times New Roman" w:cs="Times New Roman" w:eastAsia="Times New Roman" w:hAnsi="Times New Roman"/>
          <w:sz w:val="18"/>
          <w:szCs w:val="18"/>
          <w:color w:val="auto"/>
        </w:rPr>
        <w:t>Omada members who discontinued GLP-1 therapy and opted into the GLP-1 Care Track embedded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cardiometabolic programs on average maintained the weight lost 16 weeks after discontinuation, with an average weight change of (0.1)%. Moreover, 84% of these members gained less than 4% of their weight compared to the time of discontinuation.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172720</wp:posOffset>
            </wp:positionV>
            <wp:extent cx="5344160" cy="46062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344160" cy="460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80"/>
          </w:cols>
          <w:pgMar w:left="320" w:top="451" w:right="4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Omada promotes health improvements like these by supporting our members through each phase of their GLP-1 therapy journeys.</w:t>
      </w:r>
    </w:p>
    <w:p>
      <w:pPr>
        <w:spacing w:after="0" w:line="243" w:lineRule="exact"/>
        <w:rPr>
          <w:sz w:val="20"/>
          <w:szCs w:val="20"/>
          <w:color w:val="auto"/>
        </w:rPr>
      </w:pPr>
    </w:p>
    <w:p>
      <w:pPr>
        <w:jc w:val="both"/>
        <w:ind w:left="1140" w:hanging="539"/>
        <w:spacing w:after="0" w:line="252" w:lineRule="auto"/>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Pre-Therapy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Omada supports entities covering the cost of GLP-1 therapy, such as employers and PBMs, by seeking to manage flexible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utilization of GLP-1 therapy through data-driven insights and our extensive experience with cardiometabolic conditions. Although approved GLP-1 therapies represent a potentially significant cost to medical budgets, with an estimated cost of $1,000 per patient per month, these therapies have been proven to result in positive clinical outcomes. For example, a 2023 study published in the </w:t>
      </w:r>
      <w:r>
        <w:rPr>
          <w:rFonts w:ascii="Times New Roman" w:cs="Times New Roman" w:eastAsia="Times New Roman" w:hAnsi="Times New Roman"/>
          <w:sz w:val="18"/>
          <w:szCs w:val="18"/>
          <w:i w:val="1"/>
          <w:iCs w:val="1"/>
          <w:color w:val="auto"/>
        </w:rPr>
        <w:t>BMJ</w:t>
      </w:r>
      <w:r>
        <w:rPr>
          <w:rFonts w:ascii="Times New Roman" w:cs="Times New Roman" w:eastAsia="Times New Roman" w:hAnsi="Times New Roman"/>
          <w:sz w:val="18"/>
          <w:szCs w:val="18"/>
          <w:color w:val="auto"/>
        </w:rPr>
        <w:t xml:space="preserve"> found that GLP-1s reduced A1C and improved weight management for type 2 diabetes patients. This tradeoff between cost and clinical outcomes may make an employer’s decision to include coverage for GLP-1 therapies a difficult one. Omada can provide data to plan sponsors to inform their decisions on how to effectively balance GLP-1 coverage while pursuing their goals across health outcomes, engagement, and cost.</w:t>
      </w:r>
    </w:p>
    <w:p>
      <w:pPr>
        <w:spacing w:after="0" w:line="211" w:lineRule="exact"/>
        <w:rPr>
          <w:rFonts w:ascii="Times New Roman" w:cs="Times New Roman" w:eastAsia="Times New Roman" w:hAnsi="Times New Roman"/>
          <w:sz w:val="18"/>
          <w:szCs w:val="18"/>
          <w:color w:val="auto"/>
        </w:rPr>
      </w:pPr>
    </w:p>
    <w:p>
      <w:pPr>
        <w:jc w:val="both"/>
        <w:ind w:left="1140" w:hanging="539"/>
        <w:spacing w:after="0" w:line="253" w:lineRule="auto"/>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During Therapy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Patients enrolled in an Omada cardiometabolic program and taking a GLP-1 can receive support from our GLP-1 Care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Tracks, which emphasize the importance of healthy behavior change while on the medication. Omada health coaches and credentialed specialists supporting these Care Tracks are trained on GLP-1s to provide relevant education, access to resources, and content around GLP-1 use and discontinuation, as well as access to a GLP-1 peer community. Our GLP-1 Care Tracks are designed to help members understand their prescriber’s instructions, how the medication may be affecting them, including managing side effects, and how to incorporate lifestyle changes, including nutrition changes, exercise, and muscle loss mitigation, with the goal of increasing the success of the therapy.</w:t>
      </w:r>
    </w:p>
    <w:p>
      <w:pPr>
        <w:spacing w:after="0" w:line="182" w:lineRule="exact"/>
        <w:rPr>
          <w:rFonts w:ascii="Times New Roman" w:cs="Times New Roman" w:eastAsia="Times New Roman" w:hAnsi="Times New Roman"/>
          <w:sz w:val="18"/>
          <w:szCs w:val="18"/>
          <w:color w:val="auto"/>
        </w:rPr>
      </w:pPr>
    </w:p>
    <w:p>
      <w:pPr>
        <w:jc w:val="both"/>
        <w:ind w:left="1140" w:right="20" w:hanging="539"/>
        <w:spacing w:after="0" w:line="253" w:lineRule="auto"/>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Post-Therapy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Omada encourages long-term weight loss through sustained lifestyle change across our cardiometabolic programs.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members choose to discontinue GLP-1s, the GLP-1 Care Tracks support them as they prepare for this discontinuation, with the goal of maintaining benefits gained during therapy. In a 2022 clinical study published in </w:t>
      </w:r>
      <w:r>
        <w:rPr>
          <w:rFonts w:ascii="Times New Roman" w:cs="Times New Roman" w:eastAsia="Times New Roman" w:hAnsi="Times New Roman"/>
          <w:sz w:val="18"/>
          <w:szCs w:val="18"/>
          <w:i w:val="1"/>
          <w:iCs w:val="1"/>
          <w:color w:val="auto"/>
        </w:rPr>
        <w:t>Diabetes, Obesity and Metabolism</w:t>
      </w:r>
      <w:r>
        <w:rPr>
          <w:rFonts w:ascii="Times New Roman" w:cs="Times New Roman" w:eastAsia="Times New Roman" w:hAnsi="Times New Roman"/>
          <w:sz w:val="18"/>
          <w:szCs w:val="18"/>
          <w:color w:val="auto"/>
        </w:rPr>
        <w:t>, patients on GLP-1s regained on average two-thirds of weight lost one year after withdrawal of the GLP-1 protocol. The study found similar changes in cardiometabolic variables after stopping the drug. We believe that studies such as this one reinforce the need for programs like Omada to help members take steps to maintain weight loss and other benefits from therapies such as GLP-1s, particularly in light of the upfront cost burden to plan sponsors.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130175</wp:posOffset>
            </wp:positionV>
            <wp:extent cx="6921500" cy="9753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21500" cy="975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Given the dynamic nature of the GLP-1 space, we expect there may be further opportunities for Omada to provide additional value for members on GLP-1s in the coming years.</w:t>
      </w:r>
    </w:p>
    <w:p>
      <w:pPr>
        <w:spacing w:after="0" w:line="1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Member Experience</w:t>
      </w:r>
    </w:p>
    <w:p>
      <w:pPr>
        <w:spacing w:after="0" w:line="18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Our virtual care programs are built on six foundational components that we deliver to help members to stay on track: flexible learning paths, dedicated Care Teams, curated peer support groups, connected third-party devices, medication support, and behavioral health support. Together, these components lead to engaging experiences, measurable outcomes, and sustainable behavior change.</w:t>
      </w:r>
    </w:p>
    <w:p>
      <w:pPr>
        <w:spacing w:after="0" w:line="173" w:lineRule="exact"/>
        <w:rPr>
          <w:sz w:val="20"/>
          <w:szCs w:val="20"/>
          <w:color w:val="auto"/>
        </w:rPr>
      </w:pPr>
    </w:p>
    <w:p>
      <w:pPr>
        <w:jc w:val="both"/>
        <w:ind w:left="1140" w:right="20" w:hanging="539"/>
        <w:spacing w:after="0" w:line="259" w:lineRule="auto"/>
        <w:tabs>
          <w:tab w:leader="none" w:pos="11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Flexible Learning Paths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programs are flexible and allow members to follow a learning path that addresses their individual interests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challenges. As members identify specific goals, our Care Teams and technology platform can provide relevant information from our robust library of educational content and interactive resources to support members towards those goals. Our member applications are accessible 24/7, providing a member-centric experience when, where, and how members need it.</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80"/>
          </w:cols>
          <w:pgMar w:left="320" w:top="451" w:right="4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213360</wp:posOffset>
            </wp:positionV>
            <wp:extent cx="5267325" cy="28416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267325" cy="2841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140" w:hanging="539"/>
        <w:spacing w:after="0" w:line="254" w:lineRule="auto"/>
        <w:tabs>
          <w:tab w:leader="none" w:pos="11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Dedicated Care Teams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member is assigned a dedicated Care Team that is assembled based on data provided during enrollment.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Care Team includes a health coach or a physical therapist who acts as the member’s primary contact, except in the case of members living with type 1 diabetes, whose primary contact is a Diabetes Specialist. Care Teams for members living with type 2 diabetes and/or hypertension also include a diabetes and/or hypertension specialist, as applicable, in addition to the member’s primary contact. Licensed clinical social workers and physical therapists are also available to consult with frontline Care Team members on general behavioral health practices, and members can also interact with member support agents for platform and device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1056005</wp:posOffset>
            </wp:positionH>
            <wp:positionV relativeFrom="paragraph">
              <wp:posOffset>146685</wp:posOffset>
            </wp:positionV>
            <wp:extent cx="5038725" cy="32575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0387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80"/>
          </w:cols>
          <w:pgMar w:left="320" w:top="451" w:right="4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140" w:hanging="539"/>
        <w:spacing w:after="0" w:line="259" w:lineRule="auto"/>
        <w:tabs>
          <w:tab w:leader="none" w:pos="1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Curated Peer Support Groups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member-facing applications provide access to peer groups that can foster a sense of community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based on members’ programs, timing, shared experiences, and common interests. These groups are topic- or condition-specific and can provide inspiration and support to help members stay on their care path. For example, our weight loss medication peer communities bring members on GLP-1s together with trained specialist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1115695</wp:posOffset>
            </wp:positionH>
            <wp:positionV relativeFrom="paragraph">
              <wp:posOffset>125730</wp:posOffset>
            </wp:positionV>
            <wp:extent cx="4919980" cy="33337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919980" cy="3333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1140" w:hanging="539"/>
        <w:spacing w:after="0" w:line="279" w:lineRule="auto"/>
        <w:tabs>
          <w:tab w:leader="none" w:pos="11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Connected Devices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At enrollment, we supply every member in a cardiometabolic program with connected third-party devices specific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their condition and needs that surface real-time member data to our platform. These data are simultaneously integrated into the Omada Care Team Platform and improve the insights and data used across the care delivery and development teams. We also integrate with many third-party health apps and devices a member may already be using, which can further enrich our data and enhance member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1073150</wp:posOffset>
            </wp:positionH>
            <wp:positionV relativeFrom="paragraph">
              <wp:posOffset>132715</wp:posOffset>
            </wp:positionV>
            <wp:extent cx="4996180" cy="34182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996180" cy="3418205"/>
                    </a:xfrm>
                    <a:prstGeom prst="rect">
                      <a:avLst/>
                    </a:prstGeom>
                    <a:noFill/>
                  </pic:spPr>
                </pic:pic>
              </a:graphicData>
            </a:graphic>
          </wp:anchor>
        </w:drawing>
      </w:r>
    </w:p>
    <w:p>
      <w:pPr>
        <w:sectPr>
          <w:pgSz w:w="11900" w:h="16838" w:orient="portrait"/>
          <w:cols w:equalWidth="0" w:num="1">
            <w:col w:w="11060"/>
          </w:cols>
          <w:pgMar w:left="320" w:top="451"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155</w:t>
      </w:r>
    </w:p>
    <w:p>
      <w:pPr>
        <w:sectPr>
          <w:pgSz w:w="11900" w:h="16838" w:orient="portrait"/>
          <w:cols w:equalWidth="0" w:num="1">
            <w:col w:w="11060"/>
          </w:cols>
          <w:pgMar w:left="320" w:top="451" w:right="519" w:bottom="1440" w:gutter="0" w:footer="0" w:header="0"/>
          <w:type w:val="continuous"/>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140" w:hanging="539"/>
        <w:spacing w:after="0" w:line="256" w:lineRule="auto"/>
        <w:tabs>
          <w:tab w:leader="none" w:pos="11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Medication Support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provide support for members taking medication within our GLP-1 Care Tracks and our cardiometabolic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programs generally. We collect medication information upon enrollment, update this information along the way when we learn that a member’s prescriptions change, and check in via regular surveys. Members can also submit photos of medication for easy sharing with their Care Team. We focus especially on identifying and tackling barriers to adherence through Care Team discussions, resources, and related peer support groups.</w:t>
      </w:r>
    </w:p>
    <w:p>
      <w:pPr>
        <w:spacing w:after="0" w:line="205" w:lineRule="exact"/>
        <w:rPr>
          <w:rFonts w:ascii="Times New Roman" w:cs="Times New Roman" w:eastAsia="Times New Roman" w:hAnsi="Times New Roman"/>
          <w:sz w:val="18"/>
          <w:szCs w:val="18"/>
          <w:color w:val="auto"/>
        </w:rPr>
      </w:pPr>
    </w:p>
    <w:p>
      <w:pPr>
        <w:jc w:val="both"/>
        <w:ind w:left="1140" w:hanging="539"/>
        <w:spacing w:after="0" w:line="254" w:lineRule="auto"/>
        <w:tabs>
          <w:tab w:leader="none" w:pos="11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Behavioral Health Support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Care Teams are trained to initiate important conversations with members to understand how mental health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might affect their ability to work on their health goals. We deploy tools such as the PHQ-4 assessment to help surface potential member needs. Care Teams are able to address some concerns directly, with tools such as audio breathing techniques and educational content, and provide care navigation to an employer’s Employee Assistance Program or other resources for greater care needs. Behind the scenes, our licensed clinical social workers provide training, conduct workshops, and offer consultations and guidance to their Care Team colleagues on general behavioral health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70485</wp:posOffset>
            </wp:positionV>
            <wp:extent cx="6921500" cy="12553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21500" cy="1255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At Omada, we pride ourselves in our clinical leadership, which we achieve through our commitment to an evidence-based care model, our history of demonstrating outcomes and value through peer-reviewed studies, and our pursuit and achievement of recognized industry accreditations.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132715</wp:posOffset>
            </wp:positionV>
            <wp:extent cx="6921500" cy="38512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21500" cy="385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 designing our programs and care model, we begin by studying what has been shown to work in traditional, often in-person, settings. We study prevailing practices and the clinical literature to inform both</w:t>
      </w:r>
    </w:p>
    <w:p>
      <w:pPr>
        <w:sectPr>
          <w:pgSz w:w="11900" w:h="16838" w:orient="portrait"/>
          <w:cols w:equalWidth="0" w:num="1">
            <w:col w:w="11080"/>
          </w:cols>
          <w:pgMar w:left="320" w:top="451" w:right="499" w:bottom="1440" w:gutter="0" w:footer="0" w:header="0"/>
        </w:sectPr>
      </w:pP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156</w:t>
      </w:r>
    </w:p>
    <w:p>
      <w:pPr>
        <w:sectPr>
          <w:pgSz w:w="11900" w:h="16838" w:orient="portrait"/>
          <w:cols w:equalWidth="0" w:num="1">
            <w:col w:w="11080"/>
          </w:cols>
          <w:pgMar w:left="320" w:top="451" w:right="499" w:bottom="1440" w:gutter="0" w:footer="0" w:header="0"/>
          <w:type w:val="continuous"/>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77" w:lineRule="auto"/>
        <w:rPr>
          <w:sz w:val="20"/>
          <w:szCs w:val="20"/>
          <w:color w:val="auto"/>
        </w:rPr>
      </w:pPr>
      <w:r>
        <w:rPr>
          <w:rFonts w:ascii="Times New Roman" w:cs="Times New Roman" w:eastAsia="Times New Roman" w:hAnsi="Times New Roman"/>
          <w:sz w:val="18"/>
          <w:szCs w:val="18"/>
          <w:color w:val="auto"/>
        </w:rPr>
        <w:t>higher-level program design and smaller-order feature development. Our clinical teams advise on clinical best practices and work closely with our product development teams to incorporate the science of behavior change into our programs and features.</w:t>
      </w:r>
    </w:p>
    <w:p>
      <w:pPr>
        <w:spacing w:after="0" w:line="163"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have dedicated significant resources to conducting peer-reviewed research to show the value of our programs. As of December 31, 2024, we had published 29 peer-reviewed studies. In sponsoring and publishing research, including randomized controlled trials—the gold standard of clinical research—we seek to demonstrate our outcomes, bolster credibility, and strengthen our position in the market with prospective customers and channel partners.</w:t>
      </w:r>
    </w:p>
    <w:p>
      <w:pPr>
        <w:spacing w:after="0" w:line="182"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In addition to sponsoring and publishing research, we have sought and received several healthcare industry certifications and accreditations traditionally recognized as indicators of clinical quality for in-person care. These accomplishments validate our ability to meet independent standards in a variety of areas, including the quality and safety of the care we provide.</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Proven Outcomes Through a Novel Approach</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programs are modeled after standard-of-care interventions historically delivered in a traditional, in-person 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168910</wp:posOffset>
            </wp:positionV>
            <wp:extent cx="5861685" cy="28416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861685" cy="2841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Traditional programs for diabetes prevention, diabetes, hypertension, and MSK conditions can produce results, but they are generally designed for local, in-person engagement, which is a major challenge to scale. Our virtual, Between-Visit Care model has the potential to reach millions of individuals with an effective approach that is personalized and flexible, grounded in science, and powered by a combination of human care and technology for scale.</w:t>
      </w:r>
    </w:p>
    <w:p>
      <w:pPr>
        <w:spacing w:after="0" w:line="182"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As we develop our programs and enhance our features, we continue to use insights from literature. For example, at the start of the Omada program, we assess a member’s self-efficacy, motivation, and barriers to change to determine how we can better engage with the member. Literature suggests that those who self-score lower in these categories may benefit from more support and accountability, which allows us to focus our Care Teams where they can be most effective. We have applied this theory in our goal setting feature, among other areas. Whenever a member sets a goal, the Care Team sees the member’s self-score and can tailor the interaction alongside. In this way, by adapting insights from clinical literature in enabling our Care Team and building our technology, we can support many members at once while maintaining a focus on outcomes.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080"/>
          </w:cols>
          <w:pgMar w:left="320" w:top="451" w:right="4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Raising the Bar for Digital Health</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We are proud of our ability to demonstrate clinical outcomes across our multi-condition platform through respected scientific research methodologies and publications, including a randomized controlled trial published in 2022. We quantify our clinical results and have ready access to data to continuously improve our programs, which we believe is a significant strategic advantage in both our product development and sales efforts.</w:t>
      </w:r>
    </w:p>
    <w:p>
      <w:pPr>
        <w:spacing w:after="0" w:line="177"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As of December 31, 2024, we had published 29 peer-reviewed studies across our program portfolio, and more under investigation. We have published on topics ranging from the long-term health outcomes of our virtual programs to the financial impact of our programs and the impact of our programs on sub-populations, including those eligible for Medicare and Medicaid.</w:t>
      </w:r>
    </w:p>
    <w:p>
      <w:pPr>
        <w:spacing w:after="0" w:line="9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Clinical Outcomes</w:t>
      </w:r>
    </w:p>
    <w:p>
      <w:pPr>
        <w:spacing w:after="0" w:line="158"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We have demonstrated clinical outcomes for each of our programs through peer-reviewed studies published in medical journals. Some of our published outcomes highlights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73025</wp:posOffset>
            </wp:positionV>
            <wp:extent cx="6718300" cy="48266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718300" cy="4826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80"/>
          </w:cols>
          <w:pgMar w:left="320" w:top="451" w:right="4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6819900" cy="78460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19900" cy="7846060"/>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159</w:t>
      </w:r>
    </w:p>
    <w:p>
      <w:pPr>
        <w:sectPr>
          <w:pgSz w:w="11900" w:h="16838" w:orient="portrait"/>
          <w:cols w:equalWidth="0" w:num="1">
            <w:col w:w="10139"/>
          </w:cols>
          <w:pgMar w:left="320" w:top="451" w:right="1440" w:bottom="1440" w:gutter="0" w:footer="0" w:header="0"/>
          <w:type w:val="continuous"/>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213360</wp:posOffset>
            </wp:positionV>
            <wp:extent cx="6718300" cy="49453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718300" cy="4945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Financial Savings</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For our customers and channel partners, the value proposition of our programs includes member enrollment, engagement, and satisfaction, in addition to demonstrated clinical outcomes and cost savings in areas where outcomes improve. To demonstrate the economic value of our cardiometabolic programs, we have utilized a savings model that provides projected cost savings estimates up to five years. Our savings model is based on a simulation model and customized savings calculator created by GlobalData based on clinical data collected at program enrollment and approximately twelve months post-enrollment from 176,002 members from our cardiometabolic programs between 2019 and 2022. To create our savings model, we extrapolated GlobalData’s calculator with clinical data collected at program enrollment and between six and twelve months post-enrollment and to include an aggregate total of over 500,000 members from our cardiometabolic programs between 2019 and 2023. Using this member clinical data, our savings model simulates a matched cohort from National Health and Nutrition Examination Survey (“NHANES”) data reported by U.S. households and uses Medical Expenditure Panel Survey (“MEPS”) data reported by U.S. households to estimate a reduction of disease onset and associated cost savings attributable to the relative improvements in clinical outcomes observed across our member population.</w:t>
      </w:r>
    </w:p>
    <w:p>
      <w:pPr>
        <w:spacing w:after="0" w:line="186"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Our model assumes that the NHANES clinical and demographic data reported by U.S. households and used to create a matched cohort accurately represents individuals in the control group and that the MEPS expenditure data reported by U.S. households accurately represents or approximates healthcare spending among U.S. individuals with clinical and demographic profiles similar to Omada members and matched control groups. The model also assumes that individuals providing follow-up data and otherwise meeting criteria to be included in the analysis are representative of potential members in our target populations. Finally, the model also assumes improvements in clinical outcomes (weight loss, systolic blood pressure, and/or A1C, depending on the program)</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80"/>
          </w:cols>
          <w:pgMar w:left="320" w:top="451" w:right="4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77" w:lineRule="auto"/>
        <w:rPr>
          <w:sz w:val="20"/>
          <w:szCs w:val="20"/>
          <w:color w:val="auto"/>
        </w:rPr>
      </w:pPr>
      <w:r>
        <w:rPr>
          <w:rFonts w:ascii="Times New Roman" w:cs="Times New Roman" w:eastAsia="Times New Roman" w:hAnsi="Times New Roman"/>
          <w:sz w:val="18"/>
          <w:szCs w:val="18"/>
          <w:color w:val="auto"/>
        </w:rPr>
        <w:t>at year one will be maintained in future years, up to five years following enrollment. Projections from our savings model are based on these assumptions and may not be realized by customers and channel partners.</w:t>
      </w:r>
    </w:p>
    <w:p>
      <w:pPr>
        <w:spacing w:after="0" w:line="163"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Across these diverse populations where individuals suffer from obesity and other cardiometabolic diseases, our model shows that cost savings accumulate over time and can generate long-term return on investment. We believe this is consistent with the expectations of many customers and channel partners that savings will be realized in two to three years for programs such as ours. In our model, savings accumulate in year two and beyond, in part because a person’s behavior has changed, and that impact is realized over time.</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Simulated average gross healthcare savings per member at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168275</wp:posOffset>
            </wp:positionV>
            <wp:extent cx="6675755" cy="22225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675755" cy="2222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80" w:right="380"/>
        <w:spacing w:after="0" w:line="257" w:lineRule="auto"/>
        <w:rPr>
          <w:sz w:val="20"/>
          <w:szCs w:val="20"/>
          <w:color w:val="auto"/>
        </w:rPr>
      </w:pPr>
      <w:r>
        <w:rPr>
          <w:rFonts w:ascii="Times New Roman" w:cs="Times New Roman" w:eastAsia="Times New Roman" w:hAnsi="Times New Roman"/>
          <w:sz w:val="14"/>
          <w:szCs w:val="14"/>
          <w:i w:val="1"/>
          <w:iCs w:val="1"/>
          <w:color w:val="auto"/>
        </w:rPr>
        <w:t>Footnote to Table: Table reflects projected average savings for members that remain active in the program and report clinical data between their sixth and twelfth month. Table does not include fees paid by customers and channel partners for the Omada programs themselves.</w:t>
      </w:r>
    </w:p>
    <w:p>
      <w:pPr>
        <w:spacing w:after="0" w:line="16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also published a model to estimate the cost savings of our MSK program. We have used a Markov counterfactual simulation model, created by GlobalData based on a nationally representative sample of MEPS data from patients with MSK conditions, as reported by U.S. households, to estimate the potential savings from patient-initiated virtual physical therapy services. The model applies parameters of effectiveness of physical therapy and patient-initiated physical therapy from peer-reviewed publications to the MEPS data. The model assumes that the MEPS data reported by U.S. households and used to create a simulated matched cohort accurately represents or approximates healthcare spend among U.S. individuals with clinical and demographic profiles similar to Omada members and matched control groups. Projections from our model are based on these assumptions and may not be realized by customers and channel partners.</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Simulated average gross healthcare savings per person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168910</wp:posOffset>
            </wp:positionV>
            <wp:extent cx="6675755" cy="7975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67575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i w:val="1"/>
          <w:iCs w:val="1"/>
          <w:color w:val="auto"/>
        </w:rPr>
        <w:t>Footnote to Table: Table does not include fees paid by customers and channel partners for the Omada program itself.</w:t>
      </w:r>
    </w:p>
    <w:p>
      <w:pPr>
        <w:spacing w:after="0" w:line="2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Validated by Experts</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Our programs have earned multiple recognitions and accreditations, demonstrating how we meet exacting standards with our innovative, virtual Between-Visit Care programs. Among our primary competitors (named below), our Diabetes and combined Diabetes and Hypertension programs were the first type 2 diabetes programs to be awarded NCQA’s Population Health Program accreditation in March 2021, and ours was the first MSK program to be awarded URAC’s Telehealth accreditation in August 2023. We believe these achievements</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80"/>
          </w:cols>
          <w:pgMar w:left="320" w:top="451" w:right="4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18"/>
          <w:szCs w:val="18"/>
          <w:color w:val="auto"/>
        </w:rPr>
        <w:t>advance the digital health industry more broadly, showing that modalities other than traditional, in-person care can meet standards for quality and outcomes. These recognitions and accreditations lend credence to our value proposition for potential customers and channel partners, especially with health plans, PBMs, and health systems who often involve senior clinical leaders in evaluating digital health solutions, which helps us reach more people living with chronic conditions.</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recognitions and accreditations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168910</wp:posOffset>
            </wp:positionV>
            <wp:extent cx="6675755" cy="43008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675755" cy="4300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We believe that our deep clinical underpinning and track record of peer-reviewed research, together with these independent recognitions and accreditations, are key differentiators in a market with many consumer-focused programs. We are committed to publishing new learnings as we advance and improve our programs to meet the changing needs of our members and create value for our customers and channel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140970</wp:posOffset>
            </wp:positionV>
            <wp:extent cx="6921500" cy="12299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21500" cy="1229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Increasingly, customers and channel partners are looking for solutions that can address the multiple conditions impacting their members or employees, demonstrate proven clinical outcomes and economic value, and be easily implemented and seamlessly integrated with their existing benefits ecosystem.</w:t>
      </w:r>
    </w:p>
    <w:p>
      <w:pPr>
        <w:spacing w:after="0" w:line="177"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Our go-to-market strategy follows a business-to-business-to-consumer (“B2B2C”) motion. We sell primarily to employers, who either contract with Omada directly or obtain access to our programs through a channel partner, such as a health plan or PBM. These employer customers are highly diversified across industry, size, and</w:t>
      </w:r>
    </w:p>
    <w:p>
      <w:pPr>
        <w:sectPr>
          <w:pgSz w:w="11900" w:h="16838" w:orient="portrait"/>
          <w:cols w:equalWidth="0" w:num="1">
            <w:col w:w="11060"/>
          </w:cols>
          <w:pgMar w:left="320" w:top="451" w:right="519" w:bottom="1440" w:gutter="0" w:footer="0" w:header="0"/>
        </w:sectPr>
      </w:pPr>
    </w:p>
    <w:p>
      <w:pPr>
        <w:spacing w:after="0" w:line="1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162</w:t>
      </w:r>
    </w:p>
    <w:p>
      <w:pPr>
        <w:sectPr>
          <w:pgSz w:w="11900" w:h="16838" w:orient="portrait"/>
          <w:cols w:equalWidth="0" w:num="1">
            <w:col w:w="11060"/>
          </w:cols>
          <w:pgMar w:left="320" w:top="451" w:right="519" w:bottom="1440" w:gutter="0" w:footer="0" w:header="0"/>
          <w:type w:val="continuous"/>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62" w:lineRule="auto"/>
        <w:rPr>
          <w:sz w:val="20"/>
          <w:szCs w:val="20"/>
          <w:color w:val="auto"/>
        </w:rPr>
      </w:pPr>
      <w:r>
        <w:rPr>
          <w:rFonts w:ascii="Times New Roman" w:cs="Times New Roman" w:eastAsia="Times New Roman" w:hAnsi="Times New Roman"/>
          <w:sz w:val="18"/>
          <w:szCs w:val="18"/>
          <w:color w:val="auto"/>
        </w:rPr>
        <w:t>geography, and, as of December 31, 2024, included 85 Fortune 500 companies. The remainder of our revenue is derived from inclusion as a benefit in fully insured health plans (primarily in the commercial market), from PBMs through specific therapeutic programs, or via health systems that assume the cost of care for their patients.</w:t>
      </w:r>
    </w:p>
    <w:p>
      <w:pPr>
        <w:spacing w:after="0" w:line="177"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partner with our customers and channel partners, collaborating across implementation and onboarding as we aim to meet their needs in deploying the Omada offering for their employees, members or patients. We then build upon this relationship to offer ongoing analytics and account support, which add to our value proposition and can lead to longer relationships, greater retention, and commercial success. Our focus on partnership with our customers and channel partners is demonstrated by our innovative approach to pricing models for our cardiometabolic programs, offering models based on each enrolled member’s program engagement and/or clinical outcomes. We believe this aligns how we are paid with the goals of our customers and channel partners. The success of our offering, as well as our approach to sales, onboarding, and support, is demonstrated by our customer satisfaction rate of over 90% as of December 31, 2024.</w:t>
      </w:r>
    </w:p>
    <w:p>
      <w:pPr>
        <w:spacing w:after="0" w:line="189"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After customers and channel partners contract with Omada, we collaborate with them to support enrollment of covered employees or dependents, covered health plan or PBM members, or health system patients. Once contracted, Omada works with the customer or channel partner to increase awareness and access for eligible members through outreach led by Omada or by the customer or channel partner. In the year ended December 31, 2024, we supported our customers and channel partners by sending approximately 98 million emails across approximately 4,900 outreach campaigns to drive awareness and enrollment.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144780</wp:posOffset>
            </wp:positionV>
            <wp:extent cx="6718300" cy="32912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718300" cy="329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Diverse, Customer-Centric Strategy</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Our diverse channel approach offers customers optionality in how they purchase our programs and expands our ability to reach more customers and meet their different enterprise goals. We organize our sales channels into four categories:</w:t>
      </w:r>
    </w:p>
    <w:p>
      <w:pPr>
        <w:spacing w:after="0" w:line="186" w:lineRule="exact"/>
        <w:rPr>
          <w:sz w:val="20"/>
          <w:szCs w:val="20"/>
          <w:color w:val="auto"/>
        </w:rPr>
      </w:pPr>
    </w:p>
    <w:p>
      <w:pPr>
        <w:jc w:val="both"/>
        <w:ind w:left="1140" w:hanging="539"/>
        <w:spacing w:after="0" w:line="265" w:lineRule="auto"/>
        <w:tabs>
          <w:tab w:leader="none" w:pos="11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Employers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Employers can access Omada programs through a channel partner, if covered by their health plan or PBM, or they can contract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directly with Omada if they prefer to hold the contract. This flexibility is valuable to customers, especially many of our largest employer customers.</w:t>
      </w:r>
    </w:p>
    <w:p>
      <w:pPr>
        <w:spacing w:after="0" w:line="196" w:lineRule="exact"/>
        <w:rPr>
          <w:rFonts w:ascii="Times New Roman" w:cs="Times New Roman" w:eastAsia="Times New Roman" w:hAnsi="Times New Roman"/>
          <w:sz w:val="18"/>
          <w:szCs w:val="18"/>
          <w:color w:val="auto"/>
        </w:rPr>
      </w:pPr>
    </w:p>
    <w:p>
      <w:pPr>
        <w:jc w:val="both"/>
        <w:ind w:left="1140" w:hanging="539"/>
        <w:spacing w:after="0" w:line="265" w:lineRule="auto"/>
        <w:tabs>
          <w:tab w:leader="none" w:pos="11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Health Plans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Regional and national health plan channel partners typically contract directly with us. They make our programs available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self-insured employer customers as a channel partner and/or include our programs as covered benefits for their fully insured populations as our customer.</w:t>
      </w: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080"/>
          </w:cols>
          <w:pgMar w:left="320" w:top="451" w:right="4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1140" w:right="20" w:hanging="539"/>
        <w:spacing w:after="0" w:line="282" w:lineRule="auto"/>
        <w:tabs>
          <w:tab w:leader="none" w:pos="11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Pharmacy Benefit Managers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PBMs act as channel partners to offer our programs directly to self-insured employers or they include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programs as part of a therapeutic benefit program with direct coverage for prospective members as our customer.</w:t>
      </w:r>
    </w:p>
    <w:p>
      <w:pPr>
        <w:spacing w:after="0" w:line="181" w:lineRule="exact"/>
        <w:rPr>
          <w:rFonts w:ascii="Times New Roman" w:cs="Times New Roman" w:eastAsia="Times New Roman" w:hAnsi="Times New Roman"/>
          <w:sz w:val="18"/>
          <w:szCs w:val="18"/>
          <w:color w:val="auto"/>
        </w:rPr>
      </w:pPr>
    </w:p>
    <w:p>
      <w:pPr>
        <w:jc w:val="both"/>
        <w:ind w:left="1140" w:hanging="539"/>
        <w:spacing w:after="0" w:line="265" w:lineRule="auto"/>
        <w:tabs>
          <w:tab w:leader="none" w:pos="11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Health Systems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Health systems, a more nascent channel for Omada which includes hospitals and other large practices that assume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care for their patients, may cover our programs for those patients with us directly. By offering Omada programs to their patients, health systems hope to meet quality performance metrics and manage the total cost of care for which they are at-risk.</w:t>
      </w:r>
    </w:p>
    <w:p>
      <w:pPr>
        <w:spacing w:after="0" w:line="196" w:lineRule="exact"/>
        <w:rPr>
          <w:rFonts w:ascii="Times New Roman" w:cs="Times New Roman" w:eastAsia="Times New Roman" w:hAnsi="Times New Roman"/>
          <w:sz w:val="18"/>
          <w:szCs w:val="18"/>
          <w:color w:val="auto"/>
        </w:rPr>
      </w:pPr>
    </w:p>
    <w:p>
      <w:pPr>
        <w:jc w:val="both"/>
        <w:ind w:left="1140" w:hanging="539"/>
        <w:spacing w:after="0" w:line="265" w:lineRule="auto"/>
        <w:tabs>
          <w:tab w:leader="none" w:pos="11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Platform Resellers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programs are available through other resellers, including several wellness platforms, who act as channel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 This provides another opportunity for employers to launch Omada programs seamlessly alongside other benefit solutions they deploy.</w:t>
      </w:r>
    </w:p>
    <w:p>
      <w:pPr>
        <w:spacing w:after="0" w:line="173"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As of December 31, 2024, customers accessing our programs via a channel partner represented more than 90% of our customer base. Channel partners can support customer sales targeting, improve the reach and velocity of our sales funnel, and validate our product offering to potential customers. We offer a similar customer support model regardless of the channel a customer uses to purchase our programs; our goal is to build and maintain strong relationships supporting implementation, program deployment, member enrollment, and long-term customer success. For most large employers that contract with Omada through a channel partner, we maintain relationships directly. Maintaining a trusted partnership with employers, regardless of sales channel, is key to our go-to-market approach, as it ensures continued stability and drives expansion opportunities across our employers and channels.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Pricing and Billing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94615</wp:posOffset>
            </wp:positionV>
            <wp:extent cx="6921500" cy="16795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21500" cy="1679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We principally generate revenue in our cardiometabolic programs by billing based on each enrolled member’s program engagement and/or clinical outcomes, which we believe aligns our goals closely with those of our customers and channel partners. We bill our MSK program based on utilization, consistent with the episodic nature of physical therapy. We also offer clinical performance guarantees in some cases, further standing behind our commitment to outcomes. We believe our innovative approach to pricing—offering models that charge only for members who enroll and engage rather than at a population level—is valuable to employers and directly contributes to the sales success we have experienced.</w:t>
      </w:r>
    </w:p>
    <w:p>
      <w:pPr>
        <w:spacing w:after="0" w:line="183"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When supported by our customers’ health plans, we can bill our services through electronic claims, similar to many other healthcare providers. Electronic claims provide more easily analyzed data and can simplify administration and spend tracking. Those claims may also be counted as medical or pharmacy expenses, depending on plan determinations, which differentiates our fees from those for wellness offerings, which often come from separate and significantly smaller wellness budgets.</w:t>
      </w:r>
    </w:p>
    <w:p>
      <w:pPr>
        <w:spacing w:after="0" w:line="182"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A typical member can enroll in our cardiometabolic programs without incurring copays, coinsurance, or deductibles. Because these programs are designed to manage these conditions and to prevent their exacerbation, our customers and channel partners typically offer these programs at no cost to the member, generally based on their determination that the U.S. Preventive Services Task Force recommends these programs as Grade A or</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80"/>
          </w:cols>
          <w:pgMar w:left="320" w:top="451" w:right="4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62" w:lineRule="auto"/>
        <w:rPr>
          <w:sz w:val="20"/>
          <w:szCs w:val="20"/>
          <w:color w:val="auto"/>
        </w:rPr>
      </w:pPr>
      <w:r>
        <w:rPr>
          <w:rFonts w:ascii="Times New Roman" w:cs="Times New Roman" w:eastAsia="Times New Roman" w:hAnsi="Times New Roman"/>
          <w:sz w:val="18"/>
          <w:szCs w:val="18"/>
          <w:color w:val="auto"/>
        </w:rPr>
        <w:t>Grade B preventive services. Members in Omada for MSK may incur copays, coinsurance, or deductibles when receiving physical therapy services, depending on plan design and much like in-person physical therapy. Omada for MSK also includes preventive, educational materials available to all covered members at no cost.</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Operational Excellence</w:t>
      </w:r>
    </w:p>
    <w:p>
      <w:pPr>
        <w:spacing w:after="0" w:line="224"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Core to earning and maintaining the trust of our customers and channel partners is a robust set of mature operational processes and an enterprise data platform that drives the key elements of our go-to-market approach: customer onboarding, experience, and retention; member outreach and enrollment; and ongoing enrollment optimization and innovation. Our integrated systems allow us to handle a high volume of customers, channel partners, and members, manage outreach precisely, and scale efficiently.</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Customer Onboarding, Experience, and Retention</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Once a customer or channel partner chooses Omada, whether a health plan, PBM, employer, or health system, our customer experience and partner management teams nurture these relationships. These teams are designed to provide seamless customer onboarding, member enrollment support, insightful data reporting, tailored business reviews, product roadmap updates, and more, based on the needs of each customer and channel partner. The strength of our customer relationships is evidenced in our three-year average customer retention rate of over 90%, and our customer satisfaction rate of over 90% for each of program implementation and customer success, each as of December 31, 2024, and our customer net promoter score of 70, as of March 2025.</w:t>
      </w:r>
    </w:p>
    <w:p>
      <w:pPr>
        <w:spacing w:after="0" w:line="187"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After initial onboarding, we support customers and channel partners with reporting tools that provide transparency into their population’s progress. These tools include a broad portfolio of reports covering program performance metrics such as enrollment, engagement, clinical outcomes, and satisfaction. We can also facilitate deeper insights through custom reporting solutions and supplementary tools to meet specific needs of our customers and channel partners.</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Member Outreach and Enrollment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894715</wp:posOffset>
            </wp:positionH>
            <wp:positionV relativeFrom="paragraph">
              <wp:posOffset>171450</wp:posOffset>
            </wp:positionV>
            <wp:extent cx="5352415" cy="29857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352415" cy="298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080"/>
          </w:cols>
          <w:pgMar w:left="320" w:top="451" w:right="4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Member outreach and enrollment is central to promoting awareness and increasing the number of enrolled members across our covered populations. We work with customers and channel partners to develop tailored, multi-channel outreach programs spanning email, traditional mail, company communications, and workplace collateral that encourage individuals to enroll in an Omada program.</w:t>
      </w:r>
    </w:p>
    <w:p>
      <w:pPr>
        <w:spacing w:after="0" w:line="97"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Over the years, we have developed and honed our best practice approach to member enrollment outreach. We can lead outreach campaigns ourselves or support customers and channel partners with materials to lead their own campaigns, providing flexibility for them in engaging their populations. In 2024, more than half of new member enrollments came from campaigns where Omada led the outreach. Increased adoption of our email outreach program, combined with ongoing email optimizations, has led to significant enrollment rate growth over the last few years. From 2023 to 2024, our average email enrollment rate, which refers to the percentage of a customer’s population that receives our email enrollment campaigns that enrolls into our programs, increased by more than 60%, and the number of enrollments attributed to email outreach increased by 75%.</w:t>
      </w:r>
    </w:p>
    <w:p>
      <w:pPr>
        <w:spacing w:after="0" w:line="120"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We also develop custom strategies for our customers and channel partners to identify and reach prospective members who are likely to benefit from our programs. Data from customers or channel partners can identify individuals known to have the conditions we serve, and with this data, we can deliver more tailored outreach messaging. In 2024, customers and channel partners who enabled us to launch email outreach campaigns saw average enrollments equal to 14% of the total eligible population we emailed. However, where we were able to deliver more tailored outreach for relevant conditions, we saw some higher rates. For example, when customers and channel partners enabled email outreach tailored for the subset of people living with diabetes, they saw an 8% increase in average enrollment rate in the same period.</w:t>
      </w:r>
    </w:p>
    <w:p>
      <w:pPr>
        <w:spacing w:after="0" w:line="120"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Our enrollment platform’s testing and learning environment powers our outreach optimization efforts. We continuously test outreach messaging and strategies, and monitor performance during live campaigns, to understand which content resonates best with which members. Customers and channel partners appreciate our insights on how to engage their population, and we have consistently achieved improvements in enrollment rates over the last two years. We hope to further improve these efforts through our consistent, iterative campaign testing, increasing the reach and frequency of campaigns where we lead outreach, and continued exploration of future potential AI and ML capabilities across our business.</w:t>
      </w:r>
    </w:p>
    <w:p>
      <w:pPr>
        <w:spacing w:after="0" w:line="10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Our purpose-built enrollment platform supports the entire go-to-market process from closed sale to member enrollment. We efficiently intake population outreach files, operationalize enrollment outreach strategies, and generate custom reports for customers and channel partners to quantify the success of our efforts. As we have scaled our operations, we have proactively invested in robust data systems, platform upgrades, and risk mitigation. We also invest in data visibility, quality, and system resiliency to support our goals of seamless outreach and an excellent experience for customers and channel partners. Recent platform upgrades executed in 2023 resulted in significant operational efficiencies in the 2024 enrollment period, including significant decreases in processing time while maintaining our focus on quality control.</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Enrollment Optimization and Innovation</w:t>
      </w:r>
    </w:p>
    <w:p>
      <w:pPr>
        <w:spacing w:after="0" w:line="14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7"/>
          <w:szCs w:val="17"/>
          <w:color w:val="auto"/>
        </w:rPr>
        <w:t>Our markets, customers, channel partners, and members are dynamic, and we continuously look to improve and innovate from within to meet their changing needs and preferences. We recognize that, in many ways, healthcare remains disjointed and confusing for the average consumer. According to NFP’s 2023 U.S. Benefits Trend Report, 61% of employees with employer-sponsored health insurance did not fully understand their benefits. This makes it even more important and challenging to identify prospective members and to deliver effective messaging at the right time to drive enrollment.</w:t>
      </w:r>
    </w:p>
    <w:p>
      <w:pPr>
        <w:spacing w:after="0" w:line="99"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Through our more than 2,000 customers as of March 31, 2025, we cover a significant number of total lives, but we believe that member enrollment is considerably limited by awareness. As a trusted partner within the healthcare ecosystem, we are continuously exploring new methods and potential partnerships to increase awareness of Omada programs, coverage, and the benefits of enrolling.</w:t>
      </w:r>
    </w:p>
    <w:p>
      <w:pPr>
        <w:spacing w:after="0" w:line="110"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For example, we have begun to partner with third parties, starting with a large online retailer, to enable consumers to begin the process of checking coverage for our programs in more online spaces beyond our</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080"/>
          </w:cols>
          <w:pgMar w:left="320" w:top="451" w:right="4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62" w:lineRule="auto"/>
        <w:rPr>
          <w:sz w:val="20"/>
          <w:szCs w:val="20"/>
          <w:color w:val="auto"/>
        </w:rPr>
      </w:pPr>
      <w:r>
        <w:rPr>
          <w:rFonts w:ascii="Times New Roman" w:cs="Times New Roman" w:eastAsia="Times New Roman" w:hAnsi="Times New Roman"/>
          <w:sz w:val="18"/>
          <w:szCs w:val="18"/>
          <w:color w:val="auto"/>
        </w:rPr>
        <w:t>customers’ benefits sites, such as on retail sites where consumers are looking for healthcare-related goods or services. When consumers visit those spaces, they may see a suggestion to check if they have access to relevant benefits such as Omada, and if the coverage check indicates that a user may be eligible for an Omada program, they will be guided to our website to complete the enrollment process.</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80"/>
          </w:cols>
          <w:pgMar w:left="320" w:top="451" w:right="4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6921500" cy="889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21500" cy="889825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220980</wp:posOffset>
            </wp:positionV>
            <wp:extent cx="6879590" cy="889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79590" cy="889825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220980</wp:posOffset>
            </wp:positionV>
            <wp:extent cx="6879590" cy="889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79590" cy="889825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220980</wp:posOffset>
            </wp:positionV>
            <wp:extent cx="6879590" cy="89065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79590" cy="8906510"/>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6921500" cy="889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21500" cy="889825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213360</wp:posOffset>
            </wp:positionV>
            <wp:extent cx="6921500" cy="12382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21500" cy="1238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Through years of investments in member-facing and customer-driven innovation, we have built a competitive advantage that has served us to date and lays the foundation for future growth.</w:t>
      </w:r>
    </w:p>
    <w:p>
      <w:pPr>
        <w:spacing w:after="0" w:line="16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Our human-led, technology-enabled care approach—Compassionate Intelligence—and our ability to offer multi-condition, contextually relevant care, are core to our success with members—the foundation of our competitive advantage. We believe our multi-condition platform and our differentiated experience for members also resonate with customers and channel partners as a significant advantage. In addition, we believe our commitment to high clinical standards, our customer-centric experience, and the sophistication of our compliance and security programs have attracted customers and channel partners over the years. We have invested since our founding in maintaining and nurturing trust-based relationships with customers and channel partners, allowing us to grow with them over time and to expand our capacities to work together.</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Compassionate Intelligence: Why Members Love Omada</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Our Compassionate Intelligence care is designed to resonate with members. A 2022 survey conducted by Pew Research Center demonstrated this appeal, with 60% of the respondents noting they would be uncomfortable with their own healthcare provider relying on AI to make critical healthcare decisions. We intentionally constructed our technology platform to help facilitate a trusted relationship between our members and their Care Teams. This ongoing, consistent, human relationship can create a sense of connection as members and Care Teams get to know each other over time. Members appreciate the ability to reach out with questions, to be held accountable, and to have dedicated support at their fingertips.</w:t>
      </w:r>
    </w:p>
    <w:p>
      <w:pPr>
        <w:spacing w:after="0" w:line="18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Our applications are designed to be engaging, simple, and convenient to use wherever and whenever a member may need. With helpful context highlighted by our algorithm-driven AI and ML support tools described earlier in this prospectus, our Care Teams aim to align the right care intervention with the right member at the right time. We consider personal goals, cultural background, geographic location, and more in our efforts to provide contextually relevant care. We do not push a one-size fits all diet or approach to health. We understand deeply that different members find success with different kinds of support. Members can engage differently with our Care Teams, content, connected third-party devices, and other data and technology, depending on what works effectively for them.</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080"/>
          </w:cols>
          <w:pgMar w:left="320" w:top="451" w:right="4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We believe that our commitment to designing engaging, personalized experiences in our applications has resonated with our members. According to the data below from Sensor Tower, Inc., a market intelligence firm, we believe monthly downloads of our application for cardiometabolic programs have trended favorably compared to those of our competitors in recent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140970</wp:posOffset>
            </wp:positionV>
            <wp:extent cx="6362065" cy="32658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362065"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Monthly downloads of our application for cardiometabolic programs reflect the seasonality we experience in our business. We typically launch our programs at the start of each year, which generally leads to higher new member enrollment in the first and second quarters and, accordingly, an increase in application downloads during the same periods as new members are onboarded and begin to engage with our cardiometabolic programs.</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Multi-Condition Platform: The Anti-Point Solution</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 xml:space="preserve">According to data published in the Annals of Bioethics &amp; Clinical Applications, in 2022, approximately 40% of adults in the U.S. were living with two or more chronic conditions, which can leave many individuals to struggle with a healthcare system that treats each one of their issues separately. The CDC reported in 2023 that people with diabetes were more than twice as likely to experience depression; a 2019 study published in the </w:t>
      </w:r>
      <w:r>
        <w:rPr>
          <w:rFonts w:ascii="Times New Roman" w:cs="Times New Roman" w:eastAsia="Times New Roman" w:hAnsi="Times New Roman"/>
          <w:sz w:val="18"/>
          <w:szCs w:val="18"/>
          <w:i w:val="1"/>
          <w:iCs w:val="1"/>
          <w:color w:val="auto"/>
        </w:rPr>
        <w:t>Journal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Back and Musculoskeletal Rehabilitation </w:t>
      </w:r>
      <w:r>
        <w:rPr>
          <w:rFonts w:ascii="Times New Roman" w:cs="Times New Roman" w:eastAsia="Times New Roman" w:hAnsi="Times New Roman"/>
          <w:sz w:val="18"/>
          <w:szCs w:val="18"/>
          <w:color w:val="auto"/>
        </w:rPr>
        <w:t>found that 58% of people with diabetes also experienced an MSK condition; and a 2021 study published in</w:t>
      </w:r>
      <w:r>
        <w:rPr>
          <w:rFonts w:ascii="Times New Roman" w:cs="Times New Roman" w:eastAsia="Times New Roman" w:hAnsi="Times New Roman"/>
          <w:sz w:val="18"/>
          <w:szCs w:val="18"/>
          <w:i w:val="1"/>
          <w:iCs w:val="1"/>
          <w:color w:val="auto"/>
        </w:rPr>
        <w:t xml:space="preserve"> Endotext </w:t>
      </w:r>
      <w:r>
        <w:rPr>
          <w:rFonts w:ascii="Times New Roman" w:cs="Times New Roman" w:eastAsia="Times New Roman" w:hAnsi="Times New Roman"/>
          <w:sz w:val="18"/>
          <w:szCs w:val="18"/>
          <w:color w:val="auto"/>
        </w:rPr>
        <w:t>found that approximately 74% of adults with diabetes also had hypertension. We have carefully selected the conditions that we treat in an effort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address significant areas of comorbidity in an integrated member experience with one provider. We are able to deliver care to members diagnosed with prediabetes, obesity, type 1 or type 2 diabetes, and hypertension; members taking GLP-1 therapy; and members who suffer from MSK conditions. Additionally, all members may receive additional support for behavioral health challenges from anxiety or stress to depression to promote overall wellbeing and support their physical and mental health. We believe that our members appreciate that we look beyond their primary condition to support them in their journey towards health.</w:t>
      </w:r>
    </w:p>
    <w:p>
      <w:pPr>
        <w:spacing w:after="0" w:line="186"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Much like our members, our customers and channel partners are also increasingly seeking multi-condition solutions. According to the 2023 Segal Health Plan Cost Trend Survey, employers may work with as many as ten different vendors to construct their health and wellness portfolio and to construct a health benefits offering that meets their needs. Segal further expects this to prompt plan sponsors to look for integrated solutions from their current health provider network and PBM carriers to replace multiple, separate contracts. We see this desire to manage fewer vendors reflected in our own sales pipeline: the number of customers offering more than one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80"/>
          </w:cols>
          <w:pgMar w:left="320" w:top="451" w:right="4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62" w:lineRule="auto"/>
        <w:rPr>
          <w:sz w:val="20"/>
          <w:szCs w:val="20"/>
          <w:color w:val="auto"/>
        </w:rPr>
      </w:pPr>
      <w:r>
        <w:rPr>
          <w:rFonts w:ascii="Times New Roman" w:cs="Times New Roman" w:eastAsia="Times New Roman" w:hAnsi="Times New Roman"/>
          <w:sz w:val="18"/>
          <w:szCs w:val="18"/>
          <w:color w:val="auto"/>
        </w:rPr>
        <w:t>Omada program has grown to approximately 31% of all customers as of December 31, 2024, with the proportion doubling over the last three years. Consolidating vendors can streamline buying, implementation, account management, data reporting, evaluation, and enrollment outreach processes. We believe no single competitor offers a broad, effective multi-condition platform at our scale and across the condition areas we address.</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Commitment to Outcomes</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consider our commitment to outcomes a core competitive advantage in selling to our customers and channel partners. Each Omada program is based on clinical guidelines that inform an evidence-based approach. Our programs are designed to reflect clinical best practices, tracked against validated industry metrics, and embraced by important industry stakeholders. In holding ourselves to many of the same quality standards as other healthcare providers, we strive to be a trusted member of the healthcare ecosystem at large, valued by our customers and channel partners alike.</w:t>
      </w:r>
    </w:p>
    <w:p>
      <w:pPr>
        <w:spacing w:after="0" w:line="182"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Against a growing landscape of technology-enabled products and services categorized as “digital health,” our demonstrated history of producing robust, peer-reviewed outcomes distinguishes Omada as a data-driven leader in virtual care. Through our 29 published, peer-reviewed studies as of December 31, 2024, we have established and validated the health impact of our programs and their value for customers and channel partners. Our publications include findings from our randomized controlled trial, which we observe to be a rarity in the digital health space and in our competitive set. Our programs also hold certifications and accreditations from relevant medical associations or accreditation bodies, which underscore their quality and safety. We believe this commitment to clinical quality strongly aligns with what customers and channel partners expect from a virtual care provider. Among our primary competitors (named below), our Diabetes and combined Diabetes and Hypertension programs were the first type 2 diabetes programs to be awarded NCQA’s PHP accreditation in March 2021, and ours was the first MSK program to be awarded URAC’s Telehealth accreditation in August 2023.</w:t>
      </w:r>
    </w:p>
    <w:p>
      <w:pPr>
        <w:spacing w:after="0" w:line="189"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Our ability to quantify our clinical results and to have data at our fingertips extends beyond clinical trials and peer-reviewed publications. Our technology and analytics platform allows us to analyze member data in pursuit of constant improvement in our programs, through our Omada Insights Lab. We offer customizable reports that show the progress of outreach and enrollment efforts and demonstrate how Omada programs progress against their goals.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Flexible, Customer-Centric Experience</w:t>
      </w:r>
    </w:p>
    <w:p>
      <w:pPr>
        <w:spacing w:after="0" w:line="224"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Our diversified go-to-market strategy and connectivity with employers, health plans, and PBMs have created a channel-agnostic and flexible sales approach. As the number of point solutions increases, employers are streamlining benefit strategies through their health plans and PBMs in addition to contracting directly with digital health companies. Our relationships with health plans, PBMs, and other channel partners give employers the flexibility to contract with us in the way they prefer.</w:t>
      </w:r>
    </w:p>
    <w:p>
      <w:pPr>
        <w:spacing w:after="0" w:line="182"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Providing access to our programs through channel partners eases the burden of contracting, implementation, and account management for employer customers. Additionally, for customers who purchase our programs through a health plan that supports electronic claims billing of our services, Omada can submit claims to the employer’s health plan claims administrator directly. This additional level of integration with health plans allows our fees to be treated as medical spend, where consistent with plan design, instead of being expensed as a part of the employer’s separate and often smaller wellness budget.</w:t>
      </w:r>
    </w:p>
    <w:p>
      <w:pPr>
        <w:spacing w:after="0" w:line="183"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We also support their delivery of coordinated care, employee navigation, and wellness incentive programs through integrations with our channel partners and customers’ benefit-referral and wellness-platform solutions.</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080"/>
          </w:cols>
          <w:pgMar w:left="320" w:top="451" w:right="4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Trusted to Deliver at Scale</w:t>
      </w:r>
    </w:p>
    <w:p>
      <w:pPr>
        <w:spacing w:after="0" w:line="224" w:lineRule="exact"/>
        <w:rPr>
          <w:sz w:val="20"/>
          <w:szCs w:val="20"/>
          <w:color w:val="auto"/>
        </w:rPr>
      </w:pPr>
    </w:p>
    <w:p>
      <w:pPr>
        <w:jc w:val="both"/>
        <w:ind w:left="180" w:right="20" w:firstLine="436"/>
        <w:spacing w:after="0" w:line="253" w:lineRule="auto"/>
        <w:rPr>
          <w:sz w:val="20"/>
          <w:szCs w:val="20"/>
          <w:color w:val="auto"/>
        </w:rPr>
      </w:pPr>
      <w:r>
        <w:rPr>
          <w:rFonts w:ascii="Times New Roman" w:cs="Times New Roman" w:eastAsia="Times New Roman" w:hAnsi="Times New Roman"/>
          <w:sz w:val="18"/>
          <w:szCs w:val="18"/>
          <w:color w:val="auto"/>
        </w:rPr>
        <w:t>Our customers and channel partners are sophisticated, and when partnering with new digital solutions, they thoughtfully evaluate potential risks and seek lasting partnerships. We believe that we have established ourselves as a trusted partner with a strong track record for both longevity and security. We have scaled to more than 2,000 customers as of March 31, 2025, and have served more than one million members since launch. As a healthcare provider and covered entity under HIPAA, we value the trust of our customers, channel partners, and members. We have implemented safeguards designed to protect member privacy and to maintain high levels of data security and member safety. Our experience as a seasoned partner for more than a decade distinguishes us from new, emerging solutions.</w:t>
      </w:r>
    </w:p>
    <w:p>
      <w:pPr>
        <w:spacing w:after="0" w:line="187"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are subject to many of the same data privacy and security responsibilities as a hospital or physician’s office, and we take our ability to create and receive member protected health information seriously. We thoughtfully design our processes to meet and embrace these responsibilities, and we believe our customers and channel partners value our deep respect for data privacy and security compliance. We also carefully design and manage our information security program to uphold the trust of our customers, channel partners, and members. We have completed SOC 2 Type II audits annually and have earned HITRUST Certification, which was most recently renewed for two years in September 2023. We believe that these certifications, the investments we have made in the security of our technology platform, and our track record of operational excellence at scale reinforce our ability to be a customer’s partner of choice to support their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148590</wp:posOffset>
            </wp:positionV>
            <wp:extent cx="6921500" cy="12382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21500" cy="1238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We have several immediate and long-term growth opportunities that carry with them the potential to reach millions of new members and deliver greater impact at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132715</wp:posOffset>
            </wp:positionV>
            <wp:extent cx="6455410" cy="27311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455410" cy="2731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Expand Our Channel Partnerships and Grow Our Customer Base</w:t>
      </w:r>
    </w:p>
    <w:p>
      <w:pPr>
        <w:spacing w:after="0" w:line="224"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We seek to grow our business by acquiring more covered lives across multiple buyer categories: selling to new customers and channel partners as well as expanding within our existing channel partners to new lines of business.</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080"/>
          </w:cols>
          <w:pgMar w:left="320" w:top="451" w:right="4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213360</wp:posOffset>
            </wp:positionV>
            <wp:extent cx="6726555" cy="41649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726555" cy="4164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We had more than 2,000 customers as of March 31, 2025, and we believe there is still a significant opportunity for us to grow our number of covered lives through existing channels. According to the U.S. Census Bureau, during 2023, 305 million people had health insurance. As of December 2024, our existing health plan partners provided health insurance for 156 million lives across their networks. That population, combined with our other current customers as of December 31, 2024, represented an estimated 20 million individuals with benefits coverage for one or more Omada programs, where they have a clinical need. In addition, according to the two large PBMs that are our channel partners, those PBMs provided pharmacy benefits to over 200 million individuals as of March 2024. Those PBMs currently cover our programs for only a small portion of this population, and although the populations covered by our various channel partners may overlap, we believe there is significant opportunity for us to increase the number of covered lives we serve through PBM partnerships. Together, these lines of business present a large opportunity for us to expand within current channels by selling to more self-insured and fully insured employers and expanding to new lines of business.</w:t>
      </w:r>
    </w:p>
    <w:p>
      <w:pPr>
        <w:spacing w:after="0" w:line="189"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also see opportunity with new channels and in lines of business where we have yet to place significant focus, such as Medicare Advantage and fully insured lines of business, and we believe there is potential for growth in our more nascent channels including health systems and government programs, such as the Department of Defense and Veterans Affairs. We believe our proven outcomes and value proposition will resonate with these buyers similar to how they have resonated within our core markets.</w:t>
      </w:r>
    </w:p>
    <w:p>
      <w:pPr>
        <w:spacing w:after="0" w:line="182"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Additionally, while Omada does not develop or prescribe GLP-1 therapies, we expect the attention and focus that GLP-1s bring to our industry, along with the launch of our GLP-1 Care Tracks to support individuals who take GLP-1 therapy alongside those who do not, will help accelerate our growth. Our GLP-1 Care Tracks, which are offered only to members enrolled in an Omada cardiometabolic program, build on outcomes from our existing programs. These offerings leverage our experience driving healthy behavior change for over a decade and represent a significant growth opportunity as customers and channel partners look for ways to both support their populations and manage their costs.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080"/>
          </w:cols>
          <w:pgMar w:left="320" w:top="451" w:right="4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Sell Multiple Programs Into Existing Customer Base</w:t>
      </w:r>
    </w:p>
    <w:p>
      <w:pPr>
        <w:spacing w:after="0" w:line="224"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We have seen significant uptake of our multi-condition offering, both from existing customers and channel partners who initially entered into contracts for one program but later added others and from new customers and channel partners who enter into contracts for multi-condition solutions from day one. We believe there is still opportunity to continue multi-condition expansion. As of December 31, 2024, approximately 31% of our customers offered more than one Omada program, which leaves a sizable opportunity to sell additional programs.</w:t>
      </w:r>
    </w:p>
    <w:p>
      <w:pPr>
        <w:spacing w:after="0" w:line="182"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Additionally, we believe that delivering our GLP-1 Care Tracks to support people taking this novel class of drugs presents a significant opportunity, particularly for individuals with the chronic conditions we serve. Given the FDA’s label recommendation as of December 31, 2024 for GLP-1 use as an adjunct to diet and exercise, we may see new interest from customers and channel partners with access to Omada programs. As GLP-1 coverage increases over time, we believe our value proposition positions us to capitalize on the long-term tailwinds in this growing market, as we believe many of our accounts who are covering GLP-1s for obesity would value a lifestyle intervention alongside.</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Increase Member Enrollment</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As of December 31, 2024, we estimate that 20 million individuals had benefits coverage for one or more Omada programs through their employers, health plans, PBMs, health systems, or other customers, where they have a clinical need. Having served over one million members since launch, there is still significant opportunity to enroll more members, and future efforts in a number of areas could increase enrollment rates.</w:t>
      </w:r>
    </w:p>
    <w:p>
      <w:pPr>
        <w:spacing w:after="0" w:line="177"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We are focused on achieving higher enrollment rates by helping more customers and channel partners adopt our outreach best practices, including enabling Omada-led outreach campaigns, implementing strategies to reach individuals with known risk, and evaluating new enrollment strategies and channels. We also have a strong outreach optimization engine, and we continuously work to iterate and improve our tactics to drive higher enrollment rates. As the general state of AI and ML technology continues to evolve, we plan to evaluate new ways in which these technologies could further optimize our outreach strategies.</w:t>
      </w:r>
    </w:p>
    <w:p>
      <w:pPr>
        <w:spacing w:after="0" w:line="183"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Additionally, we can collaborate with other healthcare providers to expand awareness and potentially increase member enrollment. Through collaboration, providers can recommend that individuals enroll in our programs where consistent with their treatment guidance for patients, further promoting awareness of our programs from within these trusted relationships. We currently work with some healthcare providers in this manner, but there may be more opportunity to increase enrollments through similar collaborations.</w:t>
      </w:r>
    </w:p>
    <w:p>
      <w:pPr>
        <w:spacing w:after="0" w:line="182"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We can also leverage other new and innovative strategies to expand awareness of our programs. For example, our recently announced partnership with a large online retailer provides us with an additional pathway to increase awareness among millions of potential members who may have Omada covered as a benefit.</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Enhance Member Engagement Within Existing Customer Base</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Given the engagement-based pricing models that we offer for cardiometabolic programs, increased member engagement can drive significant growth going forward. In 2024, more than 55% of members still engaged with our cardiometabolic programs at least once per month after a year in the program. Our data, Care Teams, and technology power our ability to drive increased engagement, through frequent touchpoints, reminders, and progress tracking tools.</w:t>
      </w:r>
    </w:p>
    <w:p>
      <w:pPr>
        <w:spacing w:after="0" w:line="182"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General advancements in AI and ML also may present opportunities for us to more effectively and efficiently interact and engage with our members. Recent AI and ML improvements that we have launched, including processes for automatically tagging and categorizing messages from members for our Care Teams, smart content recommendations that help surface relevant resources from our library for members, and computer vision form assessments, each described earlier in this document, focus on driving more frequent engagement with members across the platform.</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080"/>
          </w:cols>
          <w:pgMar w:left="320" w:top="451" w:right="4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Future Innovation Horizons</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We have a demonstrated history of launching new offerings (Omada for Diabetes and Omada for Hypertension in 2018) on our current infrastructure and new Care Tracks within existing products (GLP-1 Care Tracks). We also successfully added MSK care to our program offerings through an acquisition in 2020. Based on this history of growth, we believe that we have the foundation to grow our platform capabilities on the back of our existing technology investments. Though our focus remains on continued progress in our current care areas, we will continue to monitor the needs of our customers and channel partners, and we believe we are well positioned to respond to their requirements organically or, where appropriate, to add new capabilities through partnerships and potential acquisitions.</w:t>
      </w:r>
    </w:p>
    <w:p>
      <w:pPr>
        <w:spacing w:after="0" w:line="187"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Considering these opportunities and the size of our market, we currently remain focused on operations within the U.S. However, we recognize that chronic disease is a global issue, and we may consider expanding our programs internationally.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132715</wp:posOffset>
            </wp:positionV>
            <wp:extent cx="6921500" cy="12471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21500" cy="1247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As of March 31, 2025, we had 849 full-time employees, which included our health coaches and other Care Team members as well as individuals across sales and marketing, research and development (“R&amp;D”), and general and administrative. We care deeply about attracting, motivating, and retaining high-performing talent. Omada strives to be a place where people can be at their best and do their best work. In 2023 and 2024, we were certified as a “Great Place to Work” by the Great Place to Work Institute.</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culture is based on three core principles.</w:t>
      </w:r>
    </w:p>
    <w:p>
      <w:pPr>
        <w:spacing w:after="0" w:line="243" w:lineRule="exact"/>
        <w:rPr>
          <w:sz w:val="20"/>
          <w:szCs w:val="20"/>
          <w:color w:val="auto"/>
        </w:rPr>
      </w:pPr>
    </w:p>
    <w:p>
      <w:pPr>
        <w:ind w:left="1140" w:hanging="539"/>
        <w:spacing w:after="0" w:line="282" w:lineRule="auto"/>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Mission-Driven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strive to bend disease curves. Our mission attracts talented high performers who are motivated to go above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beyond each day.</w:t>
      </w:r>
    </w:p>
    <w:p>
      <w:pPr>
        <w:spacing w:after="0" w:line="181" w:lineRule="exact"/>
        <w:rPr>
          <w:rFonts w:ascii="Times New Roman" w:cs="Times New Roman" w:eastAsia="Times New Roman" w:hAnsi="Times New Roman"/>
          <w:sz w:val="18"/>
          <w:szCs w:val="18"/>
          <w:color w:val="auto"/>
        </w:rPr>
      </w:pPr>
    </w:p>
    <w:p>
      <w:pPr>
        <w:ind w:left="1140" w:right="20" w:hanging="539"/>
        <w:spacing w:after="0" w:line="282" w:lineRule="auto"/>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Remote-First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seek to use our technology platform and capabilities to attract and retain the best talent regardless of location, while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emphasizing the importance of in-person time and effective collaboration.</w:t>
      </w:r>
    </w:p>
    <w:p>
      <w:pPr>
        <w:spacing w:after="0" w:line="181"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Values-Focused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six core values are the foundation of our culture and are meant to guide everything we do.</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The Foundation of Our Culture</w:t>
      </w:r>
    </w:p>
    <w:p>
      <w:pPr>
        <w:spacing w:after="0" w:line="224" w:lineRule="exact"/>
        <w:rPr>
          <w:sz w:val="20"/>
          <w:szCs w:val="20"/>
          <w:color w:val="auto"/>
        </w:rPr>
      </w:pPr>
    </w:p>
    <w:p>
      <w:pPr>
        <w:ind w:left="180" w:firstLine="436"/>
        <w:spacing w:after="0" w:line="277" w:lineRule="auto"/>
        <w:rPr>
          <w:sz w:val="20"/>
          <w:szCs w:val="20"/>
          <w:color w:val="auto"/>
        </w:rPr>
      </w:pPr>
      <w:r>
        <w:rPr>
          <w:rFonts w:ascii="Times New Roman" w:cs="Times New Roman" w:eastAsia="Times New Roman" w:hAnsi="Times New Roman"/>
          <w:sz w:val="18"/>
          <w:szCs w:val="18"/>
          <w:color w:val="auto"/>
        </w:rPr>
        <w:t>We embody six core values that keep us focused on key success factors as we continue to grow. We seek to live these values in processes and ways of working across our business day-to-day. These values ultimately support our high-performing culture.</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080"/>
          </w:cols>
          <w:pgMar w:left="320" w:top="451" w:right="4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213360</wp:posOffset>
            </wp:positionV>
            <wp:extent cx="4962525" cy="34016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962525" cy="3401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40" w:hanging="539"/>
        <w:spacing w:after="0"/>
        <w:tabs>
          <w:tab w:leader="none" w:pos="11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Cultivate Trust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listen closely, and we operate with kindness. We provide respectful and candid feedback to each other.</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Seek Context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ask to understand, and we build connections. We do our research up front to move faster down the road.</w:t>
      </w:r>
    </w:p>
    <w:p>
      <w:pPr>
        <w:spacing w:after="0" w:line="247" w:lineRule="exact"/>
        <w:rPr>
          <w:rFonts w:ascii="Times New Roman" w:cs="Times New Roman" w:eastAsia="Times New Roman" w:hAnsi="Times New Roman"/>
          <w:sz w:val="18"/>
          <w:szCs w:val="18"/>
          <w:color w:val="auto"/>
        </w:rPr>
      </w:pPr>
    </w:p>
    <w:p>
      <w:pPr>
        <w:ind w:left="1140" w:hanging="539"/>
        <w:spacing w:after="0" w:line="282" w:lineRule="auto"/>
        <w:tabs>
          <w:tab w:leader="none" w:pos="11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Act Boldly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innovate daily to solve problems, improve processes, and find new opportunities for our customers, channel partners,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members.</w:t>
      </w:r>
    </w:p>
    <w:p>
      <w:pPr>
        <w:spacing w:after="0" w:line="181"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Deliver Results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reward impact over output. We set a high bar. We are not afraid to fail, and we take pride in our work.</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Succeed Together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prioritize Omada’s progress above team or self. We have fun as we get our work done, and we celebrate together.</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Remember Why We’re Here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push through the challenges of changing healthcare because we know the destination is worth it.</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 Differentiated Employee Value Proposition</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Our employee value proposition is differentiated in the market, enabling us to attract and retain high performing talent. This is true for our corporate staff and our member-facing Care Team—our health coaches, clinical and behavioral health specialists, and physical therapists—who are core to our mission, as they directly impact the lives of our members through Omada’s scale. We support this level of impact from our Care Teams enabling them to focus on what they do best—coaching to improve the lives of our members. We leverage our Care Team Platform to maximize their focus and impact, and work collaboratively across our teams to ensure we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080"/>
          </w:cols>
          <w:pgMar w:left="320" w:top="451" w:right="4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understand and meet our members’ needs across a broad set of conditions from prevention to chronic care management.</w:t>
      </w:r>
    </w:p>
    <w:p>
      <w:pPr>
        <w:spacing w:after="0" w:line="220"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As a company, we offer a unique combination of benefits to support our employees, grounded in our strong culture and mission and supported by a commitment to learning and development, competitive compensation and benefits, and flexibility through our remote-first way of working and generous paid time-off policies. Our employee value proposition is reflected in our quantitative employee engagement scores: as of October 2024, our overall engagement score was 78% across the entire organization, and overall engagement among health coaches was 81%. Correspondingly, our respective trailing-12-month voluntary attrition rates remained low, at 9% and 8% as of December 31, 2024.</w:t>
      </w:r>
    </w:p>
    <w:p>
      <w:pPr>
        <w:spacing w:after="0" w:line="183"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None of our employees are represented by a labor union or covered by a collective bargaining agreement. We have not experienced any work stoppages and consider our relationship with our employees to be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132080</wp:posOffset>
            </wp:positionV>
            <wp:extent cx="6921500" cy="12382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21500" cy="1238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Sales and Marketing Teams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We sell our programs directly to customers and through channel partners. Our sales and account management teams are structured to reflect our growth opportunities and to serve our various customers and channel partners:</w:t>
      </w:r>
    </w:p>
    <w:p>
      <w:pPr>
        <w:spacing w:after="0" w:line="186" w:lineRule="exact"/>
        <w:rPr>
          <w:sz w:val="20"/>
          <w:szCs w:val="20"/>
          <w:color w:val="auto"/>
        </w:rPr>
      </w:pPr>
    </w:p>
    <w:p>
      <w:pPr>
        <w:jc w:val="both"/>
        <w:ind w:left="1140" w:hanging="539"/>
        <w:spacing w:after="0" w:line="265" w:lineRule="auto"/>
        <w:tabs>
          <w:tab w:leader="none" w:pos="11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Employer Sales Team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team is organized by employer size and is responsible for selling Omada’s programs to new employers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selling additional programs to existing employer customers. Our embedded consultant relations team also builds relationships to help grow Omada awareness amongst benefit consultants in support of sales.</w:t>
      </w:r>
    </w:p>
    <w:p>
      <w:pPr>
        <w:spacing w:after="0" w:line="196" w:lineRule="exact"/>
        <w:rPr>
          <w:rFonts w:ascii="Times New Roman" w:cs="Times New Roman" w:eastAsia="Times New Roman" w:hAnsi="Times New Roman"/>
          <w:sz w:val="18"/>
          <w:szCs w:val="18"/>
          <w:color w:val="auto"/>
        </w:rPr>
      </w:pPr>
    </w:p>
    <w:p>
      <w:pPr>
        <w:jc w:val="both"/>
        <w:ind w:left="1140" w:hanging="539"/>
        <w:spacing w:after="0" w:line="259" w:lineRule="auto"/>
        <w:tabs>
          <w:tab w:leader="none" w:pos="11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Partner Sales Team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team engages health plans and PBMs to identify new and expand existing partner channels through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can sell directly to their end customers through a channel partner relationship or access and enroll their member lives directly. This team also sells to health systems, such as hospitals and other large practices, with a focus on health systems that assume the cost of care for their patients and may choose risk-bearing systems to cover Omada programs for their patients.</w:t>
      </w:r>
    </w:p>
    <w:p>
      <w:pPr>
        <w:spacing w:after="0" w:line="201" w:lineRule="exact"/>
        <w:rPr>
          <w:rFonts w:ascii="Times New Roman" w:cs="Times New Roman" w:eastAsia="Times New Roman" w:hAnsi="Times New Roman"/>
          <w:sz w:val="18"/>
          <w:szCs w:val="18"/>
          <w:color w:val="auto"/>
        </w:rPr>
      </w:pPr>
    </w:p>
    <w:p>
      <w:pPr>
        <w:jc w:val="both"/>
        <w:ind w:left="1140" w:right="20" w:hanging="539"/>
        <w:spacing w:after="0" w:line="259" w:lineRule="auto"/>
        <w:tabs>
          <w:tab w:leader="none" w:pos="11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Customer Experience and Partner Management Teams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teams support channel partner and customer relationships on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ongoing basis after the initial sale. They are accountable for account health, customer satisfaction and retention, driving awareness and enrollments, deepening relationships with customers and channel partners, and providing strategic guidance on improving health outcomes across member populations.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080"/>
          </w:cols>
          <w:pgMar w:left="320" w:top="451" w:right="4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Our marketing team has two overall functions, each of which plays an important part in our revenue generation strategy. Our B2B marketing team builds our reputation as a preferred solution in the market, and our enrollment outreach team drives member awareness and enrollment for our existing accounts post sale:</w:t>
      </w:r>
    </w:p>
    <w:p>
      <w:pPr>
        <w:spacing w:after="0" w:line="200" w:lineRule="exact"/>
        <w:rPr>
          <w:sz w:val="20"/>
          <w:szCs w:val="20"/>
          <w:color w:val="auto"/>
        </w:rPr>
      </w:pPr>
    </w:p>
    <w:p>
      <w:pPr>
        <w:jc w:val="both"/>
        <w:ind w:left="1140" w:hanging="539"/>
        <w:spacing w:after="0" w:line="265" w:lineRule="auto"/>
        <w:tabs>
          <w:tab w:leader="none" w:pos="1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B2B Marketing Team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team is responsible for brand strategy, thought leadership, PR campaigns, and strategic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positioning. The team develops audience-level messaging, product demos, customer value stories, and content strategy and establishes industry presence at important trade shows, conferences, roundtables, and health fairs.</w:t>
      </w:r>
    </w:p>
    <w:p>
      <w:pPr>
        <w:spacing w:after="0" w:line="196" w:lineRule="exact"/>
        <w:rPr>
          <w:rFonts w:ascii="Times New Roman" w:cs="Times New Roman" w:eastAsia="Times New Roman" w:hAnsi="Times New Roman"/>
          <w:sz w:val="18"/>
          <w:szCs w:val="18"/>
          <w:color w:val="auto"/>
        </w:rPr>
      </w:pPr>
    </w:p>
    <w:p>
      <w:pPr>
        <w:jc w:val="both"/>
        <w:ind w:left="1140" w:hanging="539"/>
        <w:spacing w:after="0" w:line="256" w:lineRule="auto"/>
        <w:tabs>
          <w:tab w:leader="none" w:pos="1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Enrollment Outreach Team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team is responsible for driving member awareness and enrollment outreach. The team designs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implements the multi-channel enrollment approach for both Omada-led and client-led outreach, including through email, traditional direct mail, company communications, and workplace physical collateral. The team explains our product offerings to prospective members and encourages them to proceed with application and eligibility checks, which precede enrollment. The team also runs our enrollment operations and platform to drive seamless campaign execution at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144780</wp:posOffset>
            </wp:positionV>
            <wp:extent cx="6921500" cy="12382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21500" cy="1238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Our R&amp;D teams are responsible for the design, development, functionality, and impact of our programs across our enterprise, member, Care Team, and infrastructure technologies. Our teams evaluate existing tools and build custom solutions and integrations to offer quality member, Care Team, customer, and channel partner experiences.</w:t>
      </w:r>
    </w:p>
    <w:p>
      <w:pPr>
        <w:spacing w:after="0" w:line="177"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Our member and Care Team experiences are developed by a core “quad,” consisting of a product manager, an engineer, a designer, and a clinical product lead, who work together to bring clinical and care delivery subject matter expertise to user-centric design and engineering. Our enterprise, foundational data, platform, and infrastructure teams are led by “duos” of product managers and engineers, who work closely with legal, regulatory, privacy, marketing, security, analytics, and other stakeholders to build innovative integrations with customers, channel partners, and the healthcare ecosystem at large. Our R&amp;D teams are structured to learn quickly through Continuous Discovery and develop incrementally through scrum Agile, delivering innovative programs with proven outcomes. We believe our ability to innovate in program development is a core competency that helps us compete in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147955</wp:posOffset>
            </wp:positionV>
            <wp:extent cx="6921500" cy="12471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21500" cy="1247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While our market is in an early stage of development, it is evolving rapidly and becoming increasingly competitive. We currently face competition from a range of digital health companies, including direct competition from: competitors offering cardiometabolic programs, such as Hello Heart Inc., Lark Technologies,</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080"/>
          </w:cols>
          <w:pgMar w:left="320" w:top="451" w:right="4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1" w:lineRule="auto"/>
        <w:rPr>
          <w:sz w:val="20"/>
          <w:szCs w:val="20"/>
          <w:color w:val="auto"/>
        </w:rPr>
      </w:pPr>
      <w:r>
        <w:rPr>
          <w:rFonts w:ascii="Times New Roman" w:cs="Times New Roman" w:eastAsia="Times New Roman" w:hAnsi="Times New Roman"/>
          <w:sz w:val="18"/>
          <w:szCs w:val="18"/>
          <w:color w:val="auto"/>
        </w:rPr>
        <w:t>Inc., Livongo (via Teladoc Health, Inc.), Onduo LLC, Vida Health, Inc., and Virta Health Corp.; competitors offering only MSK programs, such as Hinge Health, Inc. and SWORD Health, Inc.; and those that offer both cardiometabolic and MSK programs, such as DarioHealth Corp. In some cases, our competitors also include healthcare providers and health plans that have developed their own digital healthcare platforms or tools, large technology companies that are engaged in or may enter the healthcare industry, including initiatives and partnerships launched by these companies, smaller companies that offer point solutions for one or more chronic conditions, and specialized software providers or device manufacturers. In addition, healthcare providers may choose not to implement a digital health solution at all and instead may continue to rely on traditional, in-person approaches to healthcare. Ultimately, we believe that few competitors offer the broad range of multi-condition care that we provide. We also believe that certain of our competitors rely more on technology-led support or reactive human care, as opposed to the proactive, human-led care that we supply, and that our large supporting body of peer-reviewed clinical evidence differentiates us from our competitors. Taken together, we believe these factors allow us to deliver demonstrated results to our customers and channel partners and better health to our members.</w:t>
      </w:r>
    </w:p>
    <w:p>
      <w:pPr>
        <w:spacing w:after="0" w:line="186"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As our market grows and rapidly changes, we expect it will continue to attract new companies and offerings. Some of our competitors may have, or may be acquired by third parties that have, greater name and brand recognition, larger customer bases, more or larger channel partnerships, more widely adopted proprietary technologies, greater marketing expertise, larger sales forces, longer operating histories, and/or significantly greater resources than we do. In addition, our competitors have established, and may in the future establish, cooperative relationships with vendors of complementary products, technologies, or services to increase the availability of their solutions in the marketplace.</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believe the principal competitive factors for our industry include:</w:t>
      </w:r>
    </w:p>
    <w:p>
      <w:pPr>
        <w:spacing w:after="0" w:line="247" w:lineRule="exact"/>
        <w:rPr>
          <w:sz w:val="20"/>
          <w:szCs w:val="20"/>
          <w:color w:val="auto"/>
        </w:rPr>
      </w:pPr>
    </w:p>
    <w:p>
      <w:pPr>
        <w:ind w:left="1140" w:hanging="539"/>
        <w:spacing w:after="0"/>
        <w:tabs>
          <w:tab w:leader="none" w:pos="11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evidence-based care informed by high clinical and quality standards;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employers, health plans, health systems, pharmacy benefit managers, and government entities;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influence members to improve health and financial outcomes;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billing model;</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member enrollments and engagement;</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depth, and reliability of platform functionality and technology, including integrations with third-party devices;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and convenience for customers, channel partners, and members, including customer integrations;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satisfaction among customers, channel partners, and members;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recruit and retain skilled employees and Care Team members;</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rapidly innovate and respond to new or changing opportunities, technologies, standards, legislation and regulatory developments, and the needs and requirements of customers and channel partners;</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and</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sophisticated compliance and security programs.</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080"/>
          </w:cols>
          <w:pgMar w:left="320" w:top="451" w:right="4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While we believe that we compete favorably with respect to these factors, to remain competitive, we will need to continue to focus on, among other things, delivering meaningful and clinically validated outcomes to customers, channel partners, and members through human-led and technology-enabled care; increasing the number of customers and channel partners who offer more than one Omada program; increasing member enrollment rates; enhancing member engagement with our programs; providing a flexible customer experience across contracting, implementation, and account management; and maintaining high levels of data security and member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144780</wp:posOffset>
            </wp:positionV>
            <wp:extent cx="6921500" cy="12471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21500" cy="1247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We rely on a combination of trademark, copyright, patent, and trade secret laws, as well as license agreements, confidentiality procedures, and contractual protections with our employees, contractors, affiliates, customers, including channel partners, and other business partners, to establish and protect our intellectual property and proprietary rights.</w:t>
      </w:r>
    </w:p>
    <w:p>
      <w:pPr>
        <w:spacing w:after="0" w:line="177"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As of March 31, 2025, we had four issued patents and three pending non-provisional patent applications in the U.S. Due to the nature of our technology and the rapid technological changes that characterize the markets we operate in, we believe that trade secrets and other unpatented know-how relied upon in connection with the development of new products and the enhancement of existing products are generally more important than patent protection in establishing and maintaining a competitive advantage. Nevertheless, we continually review our development efforts to assess the existence and patentability of new intellectual property. As of March 31, 2025, we held five registered trademarks and one applied-for trademark in the U.S. and also held 16 registered trademarks in foreign jurisdictions. In addition, we have registered domain names for websites that we use in our business, such as www.omadahealth.com.</w:t>
      </w:r>
    </w:p>
    <w:p>
      <w:pPr>
        <w:spacing w:after="0" w:line="189"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In the aggregate, our intellectual property assets are of material importance to our business; however, we believe that no single patent, technology, trademark, intellectual property asset, or license is material in relation to our business as a whole. Our currently issued patents are projected to expire beginning in 2039 unless extended or otherwise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140970</wp:posOffset>
            </wp:positionV>
            <wp:extent cx="6921500" cy="12382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21500" cy="1238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Our operations are subject to comprehensive laws and regulation at both the federal and state level, including those relating to healthcare, medical or health-related software, and privacy and security of personal health information. Although we and our affiliated professional entities work to comply with applicable laws and regulations, the laws and regulations governing our business and interpretations of those laws and regulations continue to expand and evolve. For example, while we believe that our software applications are not currently regulated by the FDA as medical devices or otherwise subject to the FDA’s current enforcement discretion policies applicable to software, the FDA may modify its enforcement policies with respect to medical software products, and our software applications may become subject to extensive regulatory requirements. As the applicable laws and regulations change, we may make conforming modifications in our business from time to time.</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080"/>
          </w:cols>
          <w:pgMar w:left="320" w:top="451" w:right="4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For additional discussion of our regulatory environment, see the section titled “Risk Factors” included elsewhere in this prospectus.</w:t>
      </w: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Healthcare Fraud and Abuse Laws</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We and our affiliated professional entities are subject to a number of federal and state healthcare regulatory laws that restrict certain business practices in the healthcare industry. These laws include, but are not limited to, federal and state anti-kickback, false claims, self-referral, and other healthcare fraud and abuse laws.</w:t>
      </w:r>
    </w:p>
    <w:p>
      <w:pPr>
        <w:spacing w:after="0" w:line="177" w:lineRule="exact"/>
        <w:rPr>
          <w:sz w:val="20"/>
          <w:szCs w:val="20"/>
          <w:color w:val="auto"/>
        </w:rPr>
      </w:pPr>
    </w:p>
    <w:p>
      <w:pPr>
        <w:jc w:val="both"/>
        <w:ind w:left="180" w:right="20" w:firstLine="436"/>
        <w:spacing w:after="0" w:line="252" w:lineRule="auto"/>
        <w:rPr>
          <w:sz w:val="20"/>
          <w:szCs w:val="20"/>
          <w:color w:val="auto"/>
        </w:rPr>
      </w:pPr>
      <w:r>
        <w:rPr>
          <w:rFonts w:ascii="Times New Roman" w:cs="Times New Roman" w:eastAsia="Times New Roman" w:hAnsi="Times New Roman"/>
          <w:sz w:val="18"/>
          <w:szCs w:val="18"/>
          <w:color w:val="auto"/>
        </w:rPr>
        <w:t>The federal Anti-Kickback Statute (the “AKS”) prohibits, among other things, knowingly and willfully offering, paying, soliciting, or receiving remuneration, directly or indirectly, in cash or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The AKS includes statutory exceptions and regulatory safe harbors that protect certain arrangements. Failure to meet the requirements of a safe harbor, however, does not render an arrangement illegal. Rather, the government may evaluate such arrangements on a case-by-case basis, taking into account all facts and circumstances, including the parties’ intent and the arrangement’s potential for abuse, and arrangements may be subject to greater scrutiny by enforcement agencies.</w:t>
      </w:r>
    </w:p>
    <w:p>
      <w:pPr>
        <w:spacing w:after="0" w:line="185"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Stark Law prohibits a physician who has a financial relationship, or who has an immediate family member who has a financial relationship, with entities providing designated health services (“DHS”) from referring Medicare and Medicaid patients to such entities for the furnishing of DHS, unless an exception applies. The Stark Law also prohibits the entity from billing for any such prohibited referral. Unlike the AKS, the Stark Law is violated if the financial arrangement does not meet an applicable exception, regardless of any intent by the parties to induce or reward referrals or the reasons for the financial relationship and the referral.</w:t>
      </w:r>
    </w:p>
    <w:p>
      <w:pPr>
        <w:spacing w:after="0" w:line="18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The Federal False Claims Act (the “FCA”) prohibits a person from knowingly presenting, or causing to be presented, a false or fraudulent request for payment from the federal government or from making a false statement or using a false record to have a claim approved. The FCA further provides that a lawsuit thereunder may be initiated in the name of the U.S. by an individual (a “whistleblower”) who is an original source of the allegations. Moreover, the government may assert that a claim including items and services resulting from a violation of the AKS or the Stark Law constitutes a false or fraudulent claim for purposes of the civil FCA. Penalties for a violation of the FCA include fines for each false claim, plus up to three times the amount of damages caused by each false claim.</w:t>
      </w:r>
    </w:p>
    <w:p>
      <w:pPr>
        <w:spacing w:after="0" w:line="187"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Further, the Civil Monetary Penalties Statute authorizes the imposition of civil monetary penalties, assessments, and exclusion against an individual or entity based on a variety of prohibited conduct, including, but not limited to, offering remuneration to a federal healthcare program beneficiary that the individual or entity knows or should know is likely to influence the beneficiary to order or receive healthcare items or services from a particular provider.</w:t>
      </w:r>
    </w:p>
    <w:p>
      <w:pPr>
        <w:spacing w:after="0" w:line="182"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The Health Insurance Portability and Accountability Act of 1996, as amended by the Health Information Technology for Economic and Clinical Health Act of 2009, and regulations implemented thereunder (collectively, “HIPAA”), also established federal criminal statutes that prohibit, among other things, knowingly and willfully executing, or attempting to execute, a scheme to defraud any healthcare benefit program, including private third-party payers, and knowingly and willfully falsifying, concealing, or covering up a material fact or making any materially false, fictitious, or fraudulent statement in connection with the delivery of or payment for healthcare benefits, items, or services. Similar to the AKS, a person or entity does not need to have actual knowledge of the statute or specific intent to violate it in order to have committed a violation.</w:t>
      </w:r>
    </w:p>
    <w:p>
      <w:pPr>
        <w:spacing w:after="0" w:line="187"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Several states in which we operate also have adopted similar fraud and abuse laws as described above. The scope of these laws and the interpretations of them vary from state to state and are enforced by state courts and</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080"/>
          </w:cols>
          <w:pgMar w:left="320" w:top="451" w:right="4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77" w:lineRule="auto"/>
        <w:rPr>
          <w:sz w:val="20"/>
          <w:szCs w:val="20"/>
          <w:color w:val="auto"/>
        </w:rPr>
      </w:pPr>
      <w:r>
        <w:rPr>
          <w:rFonts w:ascii="Times New Roman" w:cs="Times New Roman" w:eastAsia="Times New Roman" w:hAnsi="Times New Roman"/>
          <w:sz w:val="18"/>
          <w:szCs w:val="18"/>
          <w:color w:val="auto"/>
        </w:rPr>
        <w:t>regulatory authorities, each with broad discretion. Some state fraud and abuse laws apply to items or services reimbursed by any payer, including patients and commercial insurers, not just those reimbursed by a federally funded healthcare program.</w:t>
      </w:r>
    </w:p>
    <w:p>
      <w:pPr>
        <w:spacing w:after="0" w:line="163"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Violation of any of these laws or any other governmental regulations that apply may result in significant penalties, including, without limitation, administrative civil and criminal penalties, damages, disgorgement, fines, additional reporting requirements and compliance oversight obligations, contractual damages, the curtailment or restructuring of operations, exclusion from participation in government healthcare programs, and/or imprisonment.</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224"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In the U.S., there have been, and we expect there will continue to be, a number of legislative and regulatory changes to the healthcare system, many of which are intended to contain or reduce healthcare costs. By way of example, the Affordable Care Act (the “ACA”) substantially changed the way healthcare is financed by both governmental and private insurers. Since its enactment, there have been judicial, executive, and Congressional challenges to certain aspects of the ACA. On June 17, 2021, the U.S. Supreme Court dismissed the most recent judicial challenge to the ACA without specifically ruling on the constitutionality of the ACA.</w:t>
      </w:r>
    </w:p>
    <w:p>
      <w:pPr>
        <w:spacing w:after="0" w:line="18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In addition, the ACA requires (with limited exceptions) that private health plans cover certain recommended preventive services without imposing member cost-sharing. For these purposes, “preventive services” refer to services selected by certain agencies, including the U.S. Preventive Services Task Force. Qualified health plans for individuals and the small-group market must also cover certain “essential benefits,” including chronic disease management, although those plans may meet that ACA requirement with other services and are not required to cover Omada’s programs specifically. Any changes to these coverage requirements and/or cost-sharing prohibitions could materially and adversely affect our business, financial condition, and results of operations.</w:t>
      </w:r>
    </w:p>
    <w:p>
      <w:pPr>
        <w:spacing w:after="0" w:line="187"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Separately, individuals covered by high-deductible health plans may receive preventive care, including certain preventive services identified by agencies like the U.S. Preventive Services Task Force and certain other items identified by the U.S. Internal Revenue Service (the “IRS”), without cost-sharing, even if the high deductible has not yet been met, while remaining eligible to make health savings account (“HSA”) contributions. High-deductible health plan participants may also receive disease management or wellness programs that do not provide significant benefits in the nature of medical care or treatment, without cost-sharing, even if the high deductible has not yet been met, while remaining eligible to make HSA contributions.</w:t>
      </w:r>
    </w:p>
    <w:p>
      <w:pPr>
        <w:spacing w:after="0" w:line="183"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 xml:space="preserve">Recently, the ACA’s delegation to the U.S. Preventive Services Task Force to recommend preventive services for ACA-compliant plans was challenged in </w:t>
      </w:r>
      <w:r>
        <w:rPr>
          <w:rFonts w:ascii="Times New Roman" w:cs="Times New Roman" w:eastAsia="Times New Roman" w:hAnsi="Times New Roman"/>
          <w:sz w:val="18"/>
          <w:szCs w:val="18"/>
          <w:i w:val="1"/>
          <w:iCs w:val="1"/>
          <w:color w:val="auto"/>
        </w:rPr>
        <w:t>Braidwood Management Inc., et al. v. Xavier Becerra, et al.</w:t>
      </w:r>
      <w:r>
        <w:rPr>
          <w:rFonts w:ascii="Times New Roman" w:cs="Times New Roman" w:eastAsia="Times New Roman" w:hAnsi="Times New Roman"/>
          <w:sz w:val="18"/>
          <w:szCs w:val="18"/>
          <w:color w:val="auto"/>
        </w:rPr>
        <w:t xml:space="preserve"> The U.S. Court of Appeals for the Fifth Circuit agreed with the lower court that the U.S. Preventive Services Task Force’s recommendations were not binding. As a result, ACA-compliant plans would not be required to cover preventive services without cost-sharing. The U.S. Supreme Court is scheduled to review the decision. Regardless of the U.S. Supreme Court’s decision with respect to whether the U.S. Preventive Services Task Force recommendations are mandatory for ACA-compliant plans, the IRS has issued guidance indicating that those same recommended services will continue to be considered preventive care that does not affect HSA eligibility for a high-deductible plan participant. Nevertheless, any future changes to this guidance or to the types of care that high-deductible health plan participants may receive without cost-sharing may require us to collect cost-sharing for those individuals, cause fewer customers and channel partners to make our programs available, cause fewer covered individuals to choose to enroll in our programs, and materially and adversely affect our business, financial condition, results of operations, and prospects.</w:t>
      </w:r>
    </w:p>
    <w:p>
      <w:pPr>
        <w:spacing w:after="0" w:line="186"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and we expect that additional state and federal healthcare reform measures will be adopted in the future, any of which could limit the amounts that federal and state governments and other third-party payers will pay for healthcare products and services.</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080"/>
          </w:cols>
          <w:pgMar w:left="320" w:top="451" w:right="4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Data Privacy and Security Laws</w:t>
      </w:r>
    </w:p>
    <w:p>
      <w:pPr>
        <w:spacing w:after="0" w:line="224"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Numerous state, federal, and foreign laws, regulations, and standards govern the collection, use, access to, confidentiality, and security of health-related and other personal information. In the U.S., federal and state laws and regulations, including data breach notification laws, health information privacy and security laws, such as HIPAA, and federal and state consumer protection laws and regulations, such as Section 5 of the Federal Trade Commission Act, that govern the collection, use, disclosure, and protection of health-related and other personal information could apply to our operations or the operations of our partners. In addition, certain state and foreign laws, such as the California Consumer Privacy Act, as amended by the California Privacy Rights Act (collectively, “CCPA”), govern the privacy and security of personal information,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93"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For example, HIPAA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Entities found to be in violation of HIPAA as the result of a breach of unsecured protected health information (“PHI”), a complaint about privacy practices, or an audit by the U.S. Department of Health and Human Services (“HHS”) may be subject to significant civil, criminal, and administrative fines and penalties and/or additional reporting and oversight obligations if required to enter into a resolution agreement and corrective action plan with HHS to settle allegations of HIPAA non-compliance. While HIPAA does not create a private right of action allowing individuals to sue us in civil court for violations of HIPAA, HIPAA authorizes state Attorneys General to file suit on behalf of their residents, and its standards have been used as the basis for duty of care in state civil suits such as those for negligence or recklessness in the misuse or breach of PHI.</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U.S. Food and Drug Administration</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The FDA regulates medical or health-related software, including machine learning functionality and predictive algorithms, if such software falls within the definition of a “medical device” under the Federal Food, Drug, and Cosmetic Act (the “FDCA”). Historically, the FDA has exercised enforcement discretion for certain low-risk software functions and has issued several guidance documents outlining its approach to the regulation of certain software functionality as a medical device. In addition, the FDCA excludes certain types of software from the definition of a medical device, including certain medical-related software used for administrative support at a healthcare facility, software intended for maintaining or encouraging a healthy lifestyle, certain software designed to store electronic health records, software for transferring, storing, or displaying medical device data or in vitro diagnostic data, and certain clinical decision support software. We believe our current software applications for our Care Teams generally provide clinical decision support functionality that is exempt from the FDCA’s definition of a “medical device.” Our current software applications and AI technologies only deliver recommendations directly to members in a manner intended for maintaining or encouraging a healthy lifestyle, and we believe that this functionality is also exempt from the FDCA’s definition of a “medical device.”</w:t>
      </w:r>
    </w:p>
    <w:p>
      <w:pPr>
        <w:spacing w:after="0" w:line="186"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The FDA also regulates as medical devices certain of the connected devices provided to members in connection with our programs. These connected devices include blood pressure monitors and blood glucose monitors (including continuous glucose monitors). In the U.S., the FDCA, as well as FDA regulations and other federal and state statutes and regulations, govern, among other things, medical device design and development, preclinical and clinical testing, device safety, premarket clearance and approval, establishment registration and</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080"/>
          </w:cols>
          <w:pgMar w:left="320" w:top="451" w:right="4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1" w:lineRule="auto"/>
        <w:rPr>
          <w:sz w:val="20"/>
          <w:szCs w:val="20"/>
          <w:color w:val="auto"/>
        </w:rPr>
      </w:pPr>
      <w:r>
        <w:rPr>
          <w:rFonts w:ascii="Times New Roman" w:cs="Times New Roman" w:eastAsia="Times New Roman" w:hAnsi="Times New Roman"/>
          <w:sz w:val="18"/>
          <w:szCs w:val="18"/>
          <w:color w:val="auto"/>
        </w:rPr>
        <w:t>device listing, manufacturing, labeling, storage, record-keeping, advertising, and promotion, sales, and distribution, export and import, recalls and field safety corrective actions, and post-market surveillance, including complaint handling and medical device reporting of adverse events. Failure to comply with applicable requirements may subject a company to a variety of administrative or judicial sanctions, such as warning or untitled letters, product recalls, product seizures, total or partial suspension of production or distribution, injunctions, fines, civil penalties, and criminal prosecution. The FDA can also refuse to approve or clear pending product applications. We do not manufacture, reprocess, repackage, remanufacture, import, export, or act as a specification developer for the medical devices we provide to members, nor have we sought or obtained 510(k) clearance, PMA approval, or other marketing authorizations for the connected devices provided in connection with our programs. We are wholly reliant on our suppliers and contract manufacturers to obtain the requisite marketing authorizations for their products and to comply with applicable FDA regulations and other legal requirements.</w:t>
      </w:r>
    </w:p>
    <w:p>
      <w:pPr>
        <w:spacing w:after="0" w:line="185"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FDA premarket clearance and approval requirements</w:t>
      </w:r>
      <w:r>
        <w:rPr>
          <w:rFonts w:ascii="Times New Roman" w:cs="Times New Roman" w:eastAsia="Times New Roman" w:hAnsi="Times New Roman"/>
          <w:sz w:val="18"/>
          <w:szCs w:val="18"/>
          <w:color w:val="auto"/>
        </w:rPr>
        <w:t>—Unless an exemption applies, each medical device commercially distributed in the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requires either FDA clearance of a 510(k) premarket notification, or approval of a premarket approval application (“PMA”). Under the FDCA, medical devices are classified into one of three classes—Class I, Class II, or Class III—depending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Quality System Regulation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w:t>
      </w:r>
    </w:p>
    <w:p>
      <w:pPr>
        <w:spacing w:after="0" w:line="185"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the FDA’s premarket notification and clearance process in order to be commercially distributed.</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Postmarket regulation</w:t>
      </w:r>
      <w:r>
        <w:rPr>
          <w:rFonts w:ascii="Times New Roman" w:cs="Times New Roman" w:eastAsia="Times New Roman" w:hAnsi="Times New Roman"/>
          <w:sz w:val="18"/>
          <w:szCs w:val="18"/>
          <w:color w:val="auto"/>
        </w:rPr>
        <w:t>—After a device is cleared or approved for marketing, numerous and pervasive regulatory requirements continue to apply.</w:t>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These include:</w:t>
      </w:r>
    </w:p>
    <w:p>
      <w:pPr>
        <w:spacing w:after="0" w:line="228" w:lineRule="exact"/>
        <w:rPr>
          <w:sz w:val="20"/>
          <w:szCs w:val="20"/>
          <w:color w:val="auto"/>
        </w:rPr>
      </w:pPr>
    </w:p>
    <w:p>
      <w:pPr>
        <w:ind w:left="1140" w:hanging="539"/>
        <w:spacing w:after="0"/>
        <w:tabs>
          <w:tab w:leader="none" w:pos="11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registration and device listing with the FDA;</w:t>
      </w:r>
    </w:p>
    <w:p>
      <w:pPr>
        <w:spacing w:after="0" w:line="247"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190" w:lineRule="exact"/>
        <w:rPr>
          <w:rFonts w:ascii="Times New Roman" w:cs="Times New Roman" w:eastAsia="Times New Roman" w:hAnsi="Times New Roman"/>
          <w:sz w:val="18"/>
          <w:szCs w:val="18"/>
          <w:color w:val="auto"/>
        </w:rPr>
      </w:pPr>
    </w:p>
    <w:p>
      <w:pPr>
        <w:jc w:val="both"/>
        <w:ind w:left="1140" w:hanging="539"/>
        <w:spacing w:after="0" w:line="262" w:lineRule="auto"/>
        <w:tabs>
          <w:tab w:leader="none" w:pos="11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and marketing regulations, which require that promotion is truthful, not misleading, fairly balanced, and provides adequate directions for use and that all claims are substantiated, and also prohibit the promotion of products for unapproved or “off-label” uses and impose other restrictions on labeling;</w:t>
      </w:r>
    </w:p>
    <w:p>
      <w:pPr>
        <w:spacing w:after="0" w:line="203"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to 510(k)-cleared devices that could significantly affect safety or effectiveness or that would constitute a major change in intended use;</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080"/>
          </w:cols>
          <w:pgMar w:left="320" w:top="451" w:right="4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140" w:right="20" w:hanging="539"/>
        <w:spacing w:after="0" w:line="262" w:lineRule="auto"/>
        <w:tabs>
          <w:tab w:leader="none" w:pos="11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203" w:lineRule="exact"/>
        <w:rPr>
          <w:rFonts w:ascii="Times New Roman" w:cs="Times New Roman" w:eastAsia="Times New Roman" w:hAnsi="Times New Roman"/>
          <w:sz w:val="18"/>
          <w:szCs w:val="18"/>
          <w:color w:val="auto"/>
        </w:rPr>
      </w:pPr>
    </w:p>
    <w:p>
      <w:pPr>
        <w:jc w:val="both"/>
        <w:ind w:left="1140" w:hanging="539"/>
        <w:spacing w:after="0" w:line="262" w:lineRule="auto"/>
        <w:tabs>
          <w:tab w:leader="none" w:pos="11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203"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requirements governing Unique Device Identifiers on devices and also requiring the submission of certain information about each device to the FDA’s Global Unique Device Identification Database;</w:t>
      </w:r>
    </w:p>
    <w:p>
      <w:pPr>
        <w:spacing w:after="0" w:line="190"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recall authority, whereby the agency can order device manufacturers to recall from the market a product that is in violation of governing laws and regulations; and</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63"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Manufacturers of medical device products marketed in the U.S.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Device manufacturers are also subject to periodic scheduled or unscheduled inspections by the FDA. The FDA has broad regulatory compliance and enforcement powers.</w:t>
      </w:r>
    </w:p>
    <w:p>
      <w:pPr>
        <w:spacing w:after="0" w:line="18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If the FDA determines that a company has failed to comply with applicable regulatory requirements, including a determination that medical software applications require prior FDA clearance or approval to be legally marketed in the U.S., it can take a variety of compliance or enforcement actions, which may result in any of the following sanctions: warning letters, untitled letters, fines, injunctions, consent decrees, and civil penalties; recalls, withdrawals, or administrative detentions or seizures of products; operating restrictions or partial suspension or total shutdown of production; refusing or delaying requests for 510(k) clearance or PMA approvals of new products or modified products; withdrawing 510(k) clearances or PMA approvals that have already been granted; refusal to grant export or import approvals; or criminal prosecution.</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State Corporate Practice of Physical Therapy and Fee-Splitting Laws</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Our arrangements with Physera Physical Therapy Group, PC (“PPTG”) are subject to various state laws in California and other jurisdictions, commonly referred to as corporate practice of physical therapy and fee-splitting laws, which are intended to prevent unlicensed persons from interfering with or influencing the physical therapists’ professional judgment and prohibit the sharing of professional service fees with non-professional or business interests. These laws vary from state to state and are subject to broad interpretation and enforcement by state regulators. A determination of non-compliance against us and/or PPTG could lead to adverse judicial or administrative action, civil or criminal penalties, receipt of cease and desist orders from state regulators, loss of provider licenses, and/or restructuring of these arrangements.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080"/>
          </w:cols>
          <w:pgMar w:left="320" w:top="451" w:right="4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213360</wp:posOffset>
            </wp:positionV>
            <wp:extent cx="6921500" cy="12471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21500" cy="1247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Omada is headquartered in San Francisco, California, and we are a party to a lease agreement through July 2025 for approximately 13,606 square feet of office space. We believe our facilities are sufficient for our current needs and that, should it be needed, suitable additional or alternative space will be available to accommodate our operations.</w:t>
      </w:r>
    </w:p>
    <w:p>
      <w:pPr>
        <w:spacing w:after="0" w:line="177"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Omada’s workplace philosophy is focused on providing versatility for employees while fostering a diverse and high-performing company culture. Our ability to recruit and retain top talent is bolstered by our flexible work policy, which provides support and opportunities for employees to work remotely or in our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140970</wp:posOffset>
            </wp:positionV>
            <wp:extent cx="6921500" cy="12471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21500" cy="1247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From time to time, we are subject to legal proceedings and claims arising in the ordinary course of our business. We are not currently party to any proceeding the outcome of which we believe, if determined adversely to us, would individually or in the aggregate have a material adverse effect on our business, financial condition, or results of operations.</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080"/>
          </w:cols>
          <w:pgMar w:left="320" w:top="451" w:right="4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and directors, including their ages as of March 31, 2025:</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8"/>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67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195"/>
        </w:trPr>
        <w:tc>
          <w:tcPr>
            <w:tcW w:w="20" w:type="dxa"/>
            <w:vAlign w:val="bottom"/>
          </w:tcPr>
          <w:p>
            <w:pPr>
              <w:spacing w:after="0"/>
              <w:rPr>
                <w:sz w:val="16"/>
                <w:szCs w:val="16"/>
                <w:color w:val="auto"/>
              </w:rPr>
            </w:pPr>
          </w:p>
        </w:tc>
        <w:tc>
          <w:tcPr>
            <w:tcW w:w="376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Executive Officers</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620" w:type="dxa"/>
            <w:vAlign w:val="bottom"/>
            <w:tcBorders>
              <w:top w:val="single" w:sz="8" w:color="auto"/>
            </w:tcBorders>
          </w:tcPr>
          <w:p>
            <w:pPr>
              <w:spacing w:after="0"/>
              <w:rPr>
                <w:sz w:val="16"/>
                <w:szCs w:val="16"/>
                <w:color w:val="auto"/>
              </w:rPr>
            </w:pPr>
          </w:p>
        </w:tc>
      </w:tr>
      <w:tr>
        <w:trPr>
          <w:trHeight w:val="214"/>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Duffy</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Executive Officer, Co-Founder, and Director</w:t>
            </w:r>
          </w:p>
        </w:tc>
      </w:tr>
      <w:tr>
        <w:trPr>
          <w:trHeight w:val="214"/>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 Cook</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0"/>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Wei-Li Shao</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President</w:t>
            </w:r>
          </w:p>
        </w:tc>
      </w:tr>
      <w:tr>
        <w:trPr>
          <w:trHeight w:val="21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20" w:type="dxa"/>
            <w:vAlign w:val="bottom"/>
          </w:tcPr>
          <w:p>
            <w:pPr>
              <w:spacing w:after="0"/>
              <w:rPr>
                <w:sz w:val="18"/>
                <w:szCs w:val="18"/>
                <w:color w:val="auto"/>
              </w:rPr>
            </w:pPr>
          </w:p>
        </w:tc>
      </w:tr>
      <w:tr>
        <w:trPr>
          <w:trHeight w:val="214"/>
        </w:trPr>
        <w:tc>
          <w:tcPr>
            <w:tcW w:w="378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Jeryl Hilleman</w:t>
            </w:r>
            <w:r>
              <w:rPr>
                <w:rFonts w:ascii="Times New Roman" w:cs="Times New Roman" w:eastAsia="Times New Roman" w:hAnsi="Times New Roman"/>
                <w:sz w:val="24"/>
                <w:szCs w:val="24"/>
                <w:color w:val="auto"/>
                <w:vertAlign w:val="superscript"/>
              </w:rPr>
              <w:t>(1)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Chairperson and Lead Director</w:t>
            </w:r>
          </w:p>
        </w:tc>
      </w:tr>
      <w:tr>
        <w:trPr>
          <w:trHeight w:val="214"/>
        </w:trPr>
        <w:tc>
          <w:tcPr>
            <w:tcW w:w="378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Anne Beal, M.D., M.P.H.</w:t>
            </w:r>
            <w:r>
              <w:rPr>
                <w:rFonts w:ascii="Times New Roman" w:cs="Times New Roman" w:eastAsia="Times New Roman" w:hAnsi="Times New Roman"/>
                <w:sz w:val="24"/>
                <w:szCs w:val="24"/>
                <w:color w:val="auto"/>
                <w:vertAlign w:val="superscript"/>
              </w:rPr>
              <w:t>(2)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378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Trevor Fetter</w:t>
            </w:r>
            <w:r>
              <w:rPr>
                <w:rFonts w:ascii="Times New Roman" w:cs="Times New Roman" w:eastAsia="Times New Roman" w:hAnsi="Times New Roman"/>
                <w:sz w:val="24"/>
                <w:szCs w:val="24"/>
                <w:color w:val="auto"/>
                <w:vertAlign w:val="superscript"/>
              </w:rPr>
              <w:t>(1)(2)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378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Sachin Jain, M.D.</w:t>
            </w:r>
            <w:r>
              <w:rPr>
                <w:rFonts w:ascii="Times New Roman" w:cs="Times New Roman" w:eastAsia="Times New Roman" w:hAnsi="Times New Roman"/>
                <w:sz w:val="24"/>
                <w:szCs w:val="24"/>
                <w:color w:val="auto"/>
                <w:vertAlign w:val="superscript"/>
              </w:rPr>
              <w:t>(3)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378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Julie Klapstein</w:t>
            </w:r>
            <w:r>
              <w:rPr>
                <w:rFonts w:ascii="Times New Roman" w:cs="Times New Roman" w:eastAsia="Times New Roman" w:hAnsi="Times New Roman"/>
                <w:sz w:val="24"/>
                <w:szCs w:val="24"/>
                <w:color w:val="auto"/>
                <w:vertAlign w:val="superscript"/>
              </w:rPr>
              <w:t>(2)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378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Jonathan Root, M.D.</w:t>
            </w:r>
            <w:r>
              <w:rPr>
                <w:rFonts w:ascii="Times New Roman" w:cs="Times New Roman" w:eastAsia="Times New Roman" w:hAnsi="Times New Roman"/>
                <w:sz w:val="24"/>
                <w:szCs w:val="24"/>
                <w:color w:val="auto"/>
                <w:vertAlign w:val="superscript"/>
              </w:rPr>
              <w:t>(1)(3)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357"/>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Stavisky</w:t>
            </w:r>
            <w:r>
              <w:rPr>
                <w:rFonts w:ascii="Times New Roman" w:cs="Times New Roman" w:eastAsia="Times New Roman" w:hAnsi="Times New Roman"/>
                <w:sz w:val="26"/>
                <w:szCs w:val="26"/>
                <w:color w:val="auto"/>
                <w:vertAlign w:val="superscript"/>
              </w:rPr>
              <w:t>(3)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5715</wp:posOffset>
            </wp:positionV>
            <wp:extent cx="75501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9" w:lineRule="exact"/>
        <w:rPr>
          <w:sz w:val="20"/>
          <w:szCs w:val="20"/>
          <w:color w:val="auto"/>
        </w:rPr>
      </w:pPr>
    </w:p>
    <w:p>
      <w:pPr>
        <w:ind w:left="600" w:hanging="426"/>
        <w:spacing w:after="0"/>
        <w:tabs>
          <w:tab w:leader="none" w:pos="6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our audit committee.</w:t>
      </w:r>
    </w:p>
    <w:p>
      <w:pPr>
        <w:spacing w:after="0" w:line="1" w:lineRule="exact"/>
        <w:rPr>
          <w:rFonts w:ascii="Times New Roman" w:cs="Times New Roman" w:eastAsia="Times New Roman" w:hAnsi="Times New Roman"/>
          <w:sz w:val="14"/>
          <w:szCs w:val="14"/>
          <w:color w:val="auto"/>
        </w:rPr>
      </w:pPr>
    </w:p>
    <w:p>
      <w:pPr>
        <w:ind w:left="600" w:hanging="426"/>
        <w:spacing w:after="0" w:line="219" w:lineRule="auto"/>
        <w:tabs>
          <w:tab w:leader="none" w:pos="6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our compensation committee.</w:t>
      </w:r>
    </w:p>
    <w:p>
      <w:pPr>
        <w:ind w:left="600" w:hanging="426"/>
        <w:spacing w:after="0"/>
        <w:tabs>
          <w:tab w:leader="none" w:pos="6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our nominating and corporate governance committee.</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0" w:lineRule="exact"/>
        <w:rPr>
          <w:sz w:val="20"/>
          <w:szCs w:val="20"/>
          <w:color w:val="auto"/>
        </w:rPr>
      </w:pPr>
    </w:p>
    <w:p>
      <w:pPr>
        <w:jc w:val="both"/>
        <w:ind w:left="180" w:firstLine="43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Sean Duffy </w:t>
      </w:r>
      <w:r>
        <w:rPr>
          <w:rFonts w:ascii="Times New Roman" w:cs="Times New Roman" w:eastAsia="Times New Roman" w:hAnsi="Times New Roman"/>
          <w:sz w:val="18"/>
          <w:szCs w:val="18"/>
          <w:color w:val="auto"/>
        </w:rPr>
        <w:t>has served as our co-founder, Chief Executive Officer, and as a member of our board of directors since April 2011. From June 2010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2011, Mr. Duffy worked at IDEO LP, a design firm, in IDEO’s health and wellness practice. He also previously worked in the people analytics group at Google LLC, a global technology company, from June 2007 to August 2009. Mr. Duffy holds a B.A. in Neuroscience from Columbia University and was enrolled in the combined M.D. and M.B.A. program at Harvard University from July 2009 to May 2010. We believe that Mr. Duffy is qualified to serve on our board of directors due to the valuable expertise and perspective he brings in his capacity as a co-founder and our Chief Executive Officer and because of his extensive experience and knowledge of our industry.</w:t>
      </w:r>
    </w:p>
    <w:p>
      <w:pPr>
        <w:spacing w:after="0" w:line="182" w:lineRule="exact"/>
        <w:rPr>
          <w:sz w:val="20"/>
          <w:szCs w:val="20"/>
          <w:color w:val="auto"/>
        </w:rPr>
      </w:pPr>
    </w:p>
    <w:p>
      <w:pPr>
        <w:jc w:val="both"/>
        <w:ind w:left="180" w:firstLine="43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Steve Cook </w:t>
      </w:r>
      <w:r>
        <w:rPr>
          <w:rFonts w:ascii="Times New Roman" w:cs="Times New Roman" w:eastAsia="Times New Roman" w:hAnsi="Times New Roman"/>
          <w:sz w:val="18"/>
          <w:szCs w:val="18"/>
          <w:color w:val="auto"/>
        </w:rPr>
        <w:t>has served as our Chief Financial Officer since July 2021. Prior to joining our company, Mr. Cook held various finance roles at 1Life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Healthcare, Inc., d/b/a One Medical, a primary care provider now owned by Amazon, serving as Vice President, Head of Strategic Finance from January 2021 to July 2021, Senior Director, Strategic Finance and Head of FP&amp;A from January 2020 to December 2020, and Director, Strategic Finance from February 2018 to December 2019. Prior to that, he held various finance roles at Salesforce, Inc., a cloud-based software company, from October 2011 to January 2018. Mr. Cook holds a B.A. in Political Science from the University of California, San Diego.</w:t>
      </w:r>
    </w:p>
    <w:p>
      <w:pPr>
        <w:spacing w:after="0" w:line="178" w:lineRule="exact"/>
        <w:rPr>
          <w:sz w:val="20"/>
          <w:szCs w:val="20"/>
          <w:color w:val="auto"/>
        </w:rPr>
      </w:pPr>
    </w:p>
    <w:p>
      <w:pPr>
        <w:jc w:val="both"/>
        <w:ind w:left="180" w:firstLine="43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Wei-Li Shao </w:t>
      </w:r>
      <w:r>
        <w:rPr>
          <w:rFonts w:ascii="Times New Roman" w:cs="Times New Roman" w:eastAsia="Times New Roman" w:hAnsi="Times New Roman"/>
          <w:sz w:val="18"/>
          <w:szCs w:val="18"/>
          <w:color w:val="auto"/>
        </w:rPr>
        <w:t>has served as our President since December 2021, after previously serving as our Chief Commercial Officer from May 2019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2021. Prior to joining our company, Mr. Shao held various roles at Eli Lilly and Company, a global pharmaceutical company, from 2001 to February 2019, including Vice President of Lilly China Diabetes, General Manager of Lilly Taiwan, Lilly New Zealand, and most recently as Vice President of the U.S. Neuroscience Business Unit. Mr. Shao holds a B.S. in Biochemistry from the University of Wisconsin-Madison and an M.B.A. from Indiana University’s Kelley School of Business.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220" w:lineRule="exact"/>
        <w:rPr>
          <w:sz w:val="20"/>
          <w:szCs w:val="20"/>
          <w:color w:val="auto"/>
        </w:rPr>
      </w:pPr>
    </w:p>
    <w:p>
      <w:pPr>
        <w:jc w:val="both"/>
        <w:ind w:left="180" w:firstLine="43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Jeryl Hilleman </w:t>
      </w:r>
      <w:r>
        <w:rPr>
          <w:rFonts w:ascii="Times New Roman" w:cs="Times New Roman" w:eastAsia="Times New Roman" w:hAnsi="Times New Roman"/>
          <w:sz w:val="18"/>
          <w:szCs w:val="18"/>
          <w:color w:val="auto"/>
        </w:rPr>
        <w:t>has served as a member of our board of directors since April 2019, including as Chairperson since July 2020. Ms. Hilleman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served as Chief Financial Officer of several publicly held healthcare companies, including most recently at Intersect ENT, Inc., a medical device company subsequently acquired by</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080"/>
          </w:cols>
          <w:pgMar w:left="320" w:top="451" w:right="4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0" w:lineRule="auto"/>
        <w:rPr>
          <w:sz w:val="20"/>
          <w:szCs w:val="20"/>
          <w:color w:val="auto"/>
        </w:rPr>
      </w:pPr>
      <w:r>
        <w:rPr>
          <w:rFonts w:ascii="Times New Roman" w:cs="Times New Roman" w:eastAsia="Times New Roman" w:hAnsi="Times New Roman"/>
          <w:sz w:val="18"/>
          <w:szCs w:val="18"/>
          <w:color w:val="auto"/>
        </w:rPr>
        <w:t>Medtronic plc, from June 2014 to December 2019. Prior to joining Intersect ENT, Ms. Hilleman was Chief Financial Officer of publicly held Ocera Therapeutics, Inc., a biopharmaceutical company acquired by Mallinckrodt Pharmaceuticals, Inc., Amyris, Inc., a renewable products company, and Symyx Technologies, Inc., a software and instruments company acquired by Accelrys, Inc. She has served on the boards of directors of NovoCure Limited, a publicly held oncology company, since July 2018, SI-Bone, Inc., a publicly held medical device company, since December 2019, and HilleVax, Inc., a publicly held biopharmaceutical company, since April 2021. In addition, she previously served on the boards of directors of Xenoport Inc., a publicly held biotechnology company, from January 2005 to July 2016, Talis Biomedical Corporation, a publicly held diagnostics company, from April 2021 to June 2022, Minerva Neurosciences, Inc., a publicly held biotechnology company, from July 2018 to August 2024, and Cutera, Inc., a publicly held medical device company, from July 2024 to February 2025. Ms. Hilleman holds an A.B. in History from Brown University and an M.B.A. from The Wharton School at the University of Pennsylvania. We believe that Ms. Hilleman is qualified to serve on our board of directors due to her extensive business, accounting and management experience and her service as an executive and board member of several biotechnology and healthcare companies.</w:t>
      </w:r>
    </w:p>
    <w:p>
      <w:pPr>
        <w:spacing w:after="0" w:line="189"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Anne Beal, M.D., M.P.H. </w:t>
      </w:r>
      <w:r>
        <w:rPr>
          <w:rFonts w:ascii="Times New Roman" w:cs="Times New Roman" w:eastAsia="Times New Roman" w:hAnsi="Times New Roman"/>
          <w:sz w:val="18"/>
          <w:szCs w:val="18"/>
          <w:color w:val="auto"/>
        </w:rPr>
        <w:t>has served as a member of our board of directors since September 2024. Dr. Beal has served as the founder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of AbsoluteJOI Skincare, a clean beauty company, since May 2019. Prior to that, she served as Chief Patient Officer and Senior Vice President, Global Head of Patient Solutions at Sanofi S.A., a publicly held pharmaceutical company, from April 2014 to April 2019, and as Deputy Executive Director and Chief Officer for Engagement at the Patient-Centered Outcomes Research Institute, a funder of patient-centered comparative clinical effectiveness research in the U.S., from November 2011 to March 2014. Dr. Beal has served on the boards of directors of GSK plc, a publicly held pharmaceutical company, since April 2021, and Prolacta Bioscience, a privately held life sciences company, since November 2021, and on the board of trustees of Brown University since July 2024. Dr. Beal previously served on the board of directors of AcademyHealth, a non-profit health research and policy organization, for two four-year terms from 2007 to 2011 and 2018 to 2022, including as board chair from 2019 to 2020. Dr. Beal holds an A.B. in Biology from Brown University, an M.P.H. from Columbia University’s Mailman School of Public Health, and an M.D. from Weill Medical College of Cornell University. We believe that Dr. Beal is qualified to serve on our board of directors due to her clinical experience, scientific and health research and policy expertise, and service as a board member of several healthcare companies.</w:t>
      </w:r>
    </w:p>
    <w:p>
      <w:pPr>
        <w:spacing w:after="0" w:line="184" w:lineRule="exact"/>
        <w:rPr>
          <w:sz w:val="20"/>
          <w:szCs w:val="20"/>
          <w:color w:val="auto"/>
        </w:rPr>
      </w:pPr>
    </w:p>
    <w:p>
      <w:pPr>
        <w:jc w:val="both"/>
        <w:ind w:left="180" w:right="20" w:firstLine="436"/>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Trevor Fetter </w:t>
      </w:r>
      <w:r>
        <w:rPr>
          <w:rFonts w:ascii="Times New Roman" w:cs="Times New Roman" w:eastAsia="Times New Roman" w:hAnsi="Times New Roman"/>
          <w:sz w:val="18"/>
          <w:szCs w:val="18"/>
          <w:color w:val="auto"/>
        </w:rPr>
        <w:t>has served as a member of our board of directors since March 2021. Mr. Fetter has served as a Senior Lecturer at Harvard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University since January 2019 and previously served in numerous executive leadership roles at Tenet Healthcare, a publicly held healthcare services company, including as Chief Executive Officer from September 2003 to October 2017, President from November 2002 to October 2017, Chairman from May 2015 to October 2017, and Executive Vice President and Chief Financial Officer from October 1995 to February 2000. Mr. Fetter has served on the board of directors of The Hartford Financial Services Group, Inc., a publicly held investment and insurance company, since January 2007, including as Lead Director since May 2017, and he also currently serves on the board of directors of a privately held healthcare services company. Mr. Fetter holds an A.B. in Economics from Stanford University and an M.B.A. from Harvard Business School. We believe that Mr. Fetter is qualified to serve on our board of directors due to his extensive business and management experience leading a public healthcare company, and his service as a board member of several biotechnology and healthcare companies.</w:t>
      </w:r>
    </w:p>
    <w:p>
      <w:pPr>
        <w:spacing w:after="0" w:line="181" w:lineRule="exact"/>
        <w:rPr>
          <w:sz w:val="20"/>
          <w:szCs w:val="20"/>
          <w:color w:val="auto"/>
        </w:rPr>
      </w:pPr>
    </w:p>
    <w:p>
      <w:pPr>
        <w:jc w:val="both"/>
        <w:ind w:left="180" w:firstLine="436"/>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Sachin Jain, M.D. </w:t>
      </w:r>
      <w:r>
        <w:rPr>
          <w:rFonts w:ascii="Times New Roman" w:cs="Times New Roman" w:eastAsia="Times New Roman" w:hAnsi="Times New Roman"/>
          <w:sz w:val="17"/>
          <w:szCs w:val="17"/>
          <w:color w:val="auto"/>
        </w:rPr>
        <w:t>has served as a member of our board of directors since June 2024. Dr. Jain has served as President, Chief Executive Officer,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a member of the board of directors of SCAN Group and SCAN Health Plan, a not-for-profit Medicare Advantage plan, since July 2020, and as an Academic Hospitalist at the U.S. Department of Veterans Affairs since April 2021. He has also served as an Adjunct Professor of Medicine at Stanford University School of Medicine since August 2015. From December 2014 to May 2020, Dr. Jain served in increasingly senior leadership roles at Carelon Health (f/k/a CareMore Health) and Aspire Health, healthcare delivery systems owned by Elevance Health, Inc. (f/k/a Anthem, Inc.), a publicly held health insurance provider, including most recently serving as President and Chief Executive Officer. Prior to that, Dr. Jain served as Chief</w:t>
      </w:r>
    </w:p>
    <w:p>
      <w:pPr>
        <w:spacing w:after="0" w:line="1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080"/>
          </w:cols>
          <w:pgMar w:left="320" w:top="451" w:right="4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1" w:lineRule="auto"/>
        <w:rPr>
          <w:sz w:val="20"/>
          <w:szCs w:val="20"/>
          <w:color w:val="auto"/>
        </w:rPr>
      </w:pPr>
      <w:r>
        <w:rPr>
          <w:rFonts w:ascii="Times New Roman" w:cs="Times New Roman" w:eastAsia="Times New Roman" w:hAnsi="Times New Roman"/>
          <w:sz w:val="18"/>
          <w:szCs w:val="18"/>
          <w:color w:val="auto"/>
        </w:rPr>
        <w:t>Medical Information and Innovation Officer at Merck &amp; Co., a publicly held pharmaceutical company, from October 2011 to December 2014. Dr. Jain has served as a member of the boards of directors of America’s Health Insurance Plans (AHIP), a political advocacy and trade association of health insurance companies, since November 2020, and Advantage Healthcare Services, a specialty pharmacy company, since February 2024. He previously served on the boards of directors of the national Make-A-Wish Foundation, from July 2018 to February 2023, Adobe Healthcare, a home healthcare company, from July 2020 to April 2021, Cardiovascular Systems Inc., a medical device company acquired by Abbott, from January 2021 to November 2022, Biofourmis Inc., a biotechnology company, from July 2022 to December 2023, and Cue Health Inc., a then publicly held diagnostic testing company, from October 2022 to May 2024. Dr. Jain holds an A.B. in Government from Harvard University, an M.D. from Harvard Medical School, and an M.B.A. from Harvard Business School. We believe that Dr. Jain is qualified to serve on our board of directors due to his clinical and scientific expertise and his extensive executive leadership experience in the healthcare industry.</w:t>
      </w:r>
    </w:p>
    <w:p>
      <w:pPr>
        <w:spacing w:after="0" w:line="185"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Julie Klapstein </w:t>
      </w:r>
      <w:r>
        <w:rPr>
          <w:rFonts w:ascii="Times New Roman" w:cs="Times New Roman" w:eastAsia="Times New Roman" w:hAnsi="Times New Roman"/>
          <w:sz w:val="18"/>
          <w:szCs w:val="18"/>
          <w:color w:val="auto"/>
        </w:rPr>
        <w:t>has served as a member of our board of directors since June 2024. Ms. Klapstein founded and served as the Chief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of Availity, LLC, a healthcare information technology company, from May 2001 to March 2012. She also previously served as interim Chief Executive Officer of Medical Reimbursements of America, Inc., a provider of specialty reimbursement services, from February 2017 to June 2017. Ms. Klapstein has served on the boards of directors of Amedisys, Inc., a publicly held home healthcare provider, since April 2016, Claritev Corporation (f/k/a MultiPlan Corporation), a publicly held provider of business analytics and health cost management solutions, since November 2020, HealthCare Information Management, Inc., a robotic process automation company, since May 2024, Aptarro, Inc. (f/k/a Alpha II, LLC), a provider of revenue cycle management solutions for healthcare providers, since June 2024, and UnisLink Inc., a medical billing system vendor for healthcare providers, since July 2024, and also currently serves as an advisor to venture capital and private equity firms such as Andreessen Horowitz, GrowthCurve Capital, and Riverside Partners. She previously served on the boards of directors of numerous publicly held companies, including NextGen Healthcare, Inc., a healthcare technology company acquired by Thoma Bravo, from August 2017 to November 2023, and Oak Street Health, Inc., a primary care provider acquired by CVS Health, from August 2020 to May 2023. Ms. Klapstein holds a B.S. in Business Administration from Portland State University. We believe that Ms. Klapstein is qualified to serve on our board of directors due to her extensive experience in the healthcare and healthcare technology industries and her service as a board member of several publicly held healthcare companies.</w:t>
      </w:r>
    </w:p>
    <w:p>
      <w:pPr>
        <w:spacing w:after="0" w:line="189" w:lineRule="exact"/>
        <w:rPr>
          <w:sz w:val="20"/>
          <w:szCs w:val="20"/>
          <w:color w:val="auto"/>
        </w:rPr>
      </w:pPr>
    </w:p>
    <w:p>
      <w:pPr>
        <w:jc w:val="both"/>
        <w:ind w:left="180" w:firstLine="436"/>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Jonathan Root, M.D. </w:t>
      </w:r>
      <w:r>
        <w:rPr>
          <w:rFonts w:ascii="Times New Roman" w:cs="Times New Roman" w:eastAsia="Times New Roman" w:hAnsi="Times New Roman"/>
          <w:sz w:val="17"/>
          <w:szCs w:val="17"/>
          <w:color w:val="auto"/>
        </w:rPr>
        <w:t>has served as a member of our board of directors since January 2013. Dr. Root has served as the Managing Member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Presidio Management Group X, LLC and several U.S. Venture Partners’ funds, which are the general partners of various other venture capital funds, since 1998. Dr. Root has served on the board of directors of Edgewise Therapeutics, Inc., a publicly held biopharmaceutical company, since August 2019, and also currently serves on the boards of directors of several privately held companies in the healthcare industry. He previously served on the boards of directors of OncoMed Pharmaceuticals, Inc., a publicly held biopharmaceutical company, from August 2004 until its merger with Mereo BioPharma Group plc in April 2019, Inari Medical, Inc., a publicly held medical device company, from September 2011 to February 2025, eFFECTOR Therapeutics, Inc., a publicly held biopharmaceutical company, from May 2013 to February 2022, and Silverback Therapeutics, Inc., a publicly held biopharmaceutical company, from March 2020 until its merger with ARS Pharmaceuticals, Inc. in November 2022. Dr. Root holds an A.B. in Economics from Dartmouth College, an M.D. from University of Florida, College of Medicine, and an M.B.A. from Columbia Business School. We believe that Dr. Root is qualified to serve on our board of directors due to his medical, management, and director experience in the healthcare industry.</w:t>
      </w:r>
    </w:p>
    <w:p>
      <w:pPr>
        <w:spacing w:after="0" w:line="168" w:lineRule="exact"/>
        <w:rPr>
          <w:sz w:val="20"/>
          <w:szCs w:val="20"/>
          <w:color w:val="auto"/>
        </w:rPr>
      </w:pPr>
    </w:p>
    <w:p>
      <w:pPr>
        <w:jc w:val="both"/>
        <w:ind w:left="180" w:right="20" w:firstLine="43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Adam Stavisky </w:t>
      </w:r>
      <w:r>
        <w:rPr>
          <w:rFonts w:ascii="Times New Roman" w:cs="Times New Roman" w:eastAsia="Times New Roman" w:hAnsi="Times New Roman"/>
          <w:sz w:val="18"/>
          <w:szCs w:val="18"/>
          <w:color w:val="auto"/>
        </w:rPr>
        <w:t>has served as a member of our board of directors since June 2024. Mr. Stavisky served as Senior Vice President, U.S. Benefits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Walmart Inc., a publicly held global retailer, from February 2018 to March 2024. Prior to that, Mr. Stavisky held increasingly senior leadership positions at Fidelity Investments, a financial services company, from November 2004 to February 2018, most recently serving as Senior Vice President, Workplace Consulting. Mr. Stavisky previously served on the boards of directors of the ERISA</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080"/>
          </w:cols>
          <w:pgMar w:left="320" w:top="451" w:right="4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Industry Committee, a national advocacy organization that represents large employers who provide health insurance and other benefits to their employees, from April 2019 to February 2024, and the Business Group on Health, a health policy organization, from October 2019 to February 2024. Mr. Stavisky holds a B.A. in Mathematics from Northwestern University and an M.A. in Mathematics from the University of California, Los Angeles. We believe that Mr. Stavisky is qualified to serve on our board of directors due to his expertise in employer health insurance and his experience developing and deploying employee health insurance benefits.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Our board of directors currently consists of eight members. Our board of directors has determined that all of our directors, other than Mr. Duffy, qualify as “independent” directors in accordance with the listing rules of The Nasdaq Stock Market LLC (the “Listing Rules”). Mr. Duffy is not considered independent by virtue of his position as our Chief Executive Officer. Under the Listing Rules, the definition of independence includes a series of objective tests, such as that the director is not, and has not been for at least three years, one of our employees and that neither the director nor any of his or her family members has engaged in various types of business dealings with us. In addition, as required by the Listing Rules, our board of directors has made a subjective determination as to each independent director that no relationship exists that,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In accordance with our restated certificate of incorporation, which will be effective immediately prior to the completion of this offering,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209" w:lineRule="exact"/>
        <w:rPr>
          <w:sz w:val="20"/>
          <w:szCs w:val="20"/>
          <w:color w:val="auto"/>
        </w:rPr>
      </w:pPr>
    </w:p>
    <w:p>
      <w:pPr>
        <w:ind w:left="1140" w:right="20" w:hanging="539"/>
        <w:spacing w:after="0" w:line="277" w:lineRule="auto"/>
        <w:tabs>
          <w:tab w:leader="none" w:pos="11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 Sean Duffy and Trevor Fetter, and their terms will expire at the annual meeting of stockholders to be held in 2026;</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Jeryl Hilleman, Julie Klapstein, and Adam Stavisky, and their terms will expire at the annual meeting of stockholders to be held in 2027; and</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Anne Beal, M.D., M.P.H., Sachin Jain, M.D., and Jonathan Root, M.D., and their terms will expire at the annual meeting of stockholders to be held in 2028.</w:t>
      </w:r>
    </w:p>
    <w:p>
      <w:pPr>
        <w:spacing w:after="0" w:line="163"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We expect that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Voting Arrangements</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The election of the members of our board of directors is governed by the amended and restated voting agreement that we entered into with certain holders of our common stock and certain holders of our redeemable convertible preferred stock and the related provisions of our current restated certificate of incorporation, as</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080"/>
          </w:cols>
          <w:pgMar w:left="320" w:top="451" w:right="4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amended. Pursuant to our amended and restated voting agreement, the following directors were designated as directors to our board of directors:</w:t>
      </w:r>
    </w:p>
    <w:p>
      <w:pPr>
        <w:spacing w:after="0" w:line="247" w:lineRule="exact"/>
        <w:rPr>
          <w:sz w:val="20"/>
          <w:szCs w:val="20"/>
          <w:color w:val="auto"/>
        </w:rPr>
      </w:pPr>
    </w:p>
    <w:p>
      <w:pPr>
        <w:ind w:left="1140" w:right="20" w:hanging="539"/>
        <w:spacing w:after="0" w:line="277" w:lineRule="auto"/>
        <w:tabs>
          <w:tab w:leader="none" w:pos="11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Jonathan Root, M.D. was designated by U.S. Venture Partners X, L.P. and its affiliates and elected by the holders of a majority of the shares of our Series A redeemable convertible preferred stock;</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Sachin Jain, M.D. was appointed by our board of directors to fill a vacancy following the resignation of a director elected by the holders of a majority of the shares of our Series E redeemable convertible preferred stock;</w:t>
      </w:r>
    </w:p>
    <w:p>
      <w:pPr>
        <w:spacing w:after="0" w:line="190" w:lineRule="exact"/>
        <w:rPr>
          <w:rFonts w:ascii="Times New Roman" w:cs="Times New Roman" w:eastAsia="Times New Roman" w:hAnsi="Times New Roman"/>
          <w:sz w:val="18"/>
          <w:szCs w:val="18"/>
          <w:color w:val="auto"/>
        </w:rPr>
      </w:pPr>
    </w:p>
    <w:p>
      <w:pPr>
        <w:jc w:val="both"/>
        <w:ind w:left="1140" w:right="20" w:hanging="539"/>
        <w:spacing w:after="0" w:line="257" w:lineRule="auto"/>
        <w:tabs>
          <w:tab w:leader="none" w:pos="11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Jeryl Hilleman was designated by the mutual agreement of the Chief Executive Officer and the directors elected and designated by the holders of a majority of the shares of our common stock who are parties to the voting agreement, and approved by the board of directors (including the approval of at least two of the directors designated and elected by the holders of our Series A, Series B, Series C, Series C-1 and Series E redeemable convertible preferred stock) as our independent director;</w:t>
      </w:r>
    </w:p>
    <w:p>
      <w:pPr>
        <w:spacing w:after="0" w:line="208"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Sean Duffy was elected and designated as our then-current Chief Executive Officer;</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Trevor Fetter was designated by the holders of a majority of the shares of our common stock held by the holders of our common stock who are parties to the voting agreement and elected by the holders of a majority of the outstanding shares of our common stock; and</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 Beal, M.D., M.P.H., Julie Klapstein, and Adam Stavisky were designated by the mutual agreement of a majority of our board of directors and appointed by the full board of directors.</w:t>
      </w:r>
    </w:p>
    <w:p>
      <w:pPr>
        <w:spacing w:after="0" w:line="16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holders of our common stock and redeemable convertible preferred stock who are parties to our amended and restated voting agreement are obligated to vote for such designees indicated above. The provisions of this voting agreement will terminate upon the consummation of this offering and our current restated certificate of incorporation, as amended, will be restated, after which there will be no further contractual obligations or charter provisions regarding the election of our directors. Our current directors will hold office until their successors have been elected and qualified or appointed or the earlier of their death, resignation, or removal.</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Leadership Structure of the Board</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Our amended and restated bylaws and corporate governance guidelines to be in place immediately prior to the consummation of this offering will provide our board of directors with flexibility to combine or separate the positions of Chair of the board of directors and Chief Executive Officer and to implement a lead director in accordance with its determination regarding which structure would be in the best interests of our company.</w:t>
      </w:r>
    </w:p>
    <w:p>
      <w:pPr>
        <w:spacing w:after="0" w:line="177"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Role of Board in Risk Oversight Process</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strategic risks facing us. Throughout the year, senior management reviews these strategic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080"/>
          </w:cols>
          <w:pgMar w:left="320" w:top="451" w:right="4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While our board of directors is responsible for monitoring and assessing strategic risk exposure, our audit committee is responsible for overseeing company-wide and information security risk assessment processes, our major financial risk exposures, and the steps our management has taken to monitor and control these risks and exposures. The audit committee then reviews these matters with the full board of directors as part of the audit committee’s reports at regular board meetings. The audit committee also approves or disapproves any related-party transactions. Our nominating and corporate governance committee monitors the effectiveness of our corporate governance guidelines. Our compensation committee assesses and monitors whether any of our compensation policies and programs has the potential to encourage excessive risk-taking.</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Our board of directors may establish other committees to facilitate the management of our business. The composition and functions of each committee are described below. Members serve on these committees until their resignation or until otherwise determined by our board of directors. Each committee has adopted a written charter that satisfies the applicable rules and regulations of the SEC and Listing Rules, which we will post on our website at www.omadahealth.com upon the completion of this offering.</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Among other matters, the audit committee:</w:t>
      </w:r>
    </w:p>
    <w:p>
      <w:pPr>
        <w:spacing w:after="0" w:line="247" w:lineRule="exact"/>
        <w:rPr>
          <w:sz w:val="20"/>
          <w:szCs w:val="20"/>
          <w:color w:val="auto"/>
        </w:rPr>
      </w:pPr>
    </w:p>
    <w:p>
      <w:pPr>
        <w:ind w:left="1140" w:hanging="539"/>
        <w:spacing w:after="0"/>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our independent registered public accounting firm;</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independent registered public accounting firm’s qualifications, independence, and performance;</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engagement of the independent registered public accounting firm;</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the scope of the annual audit and pre-approves the audit and non-audit fees and services;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all related-party transactions on an ongoing basis;</w:t>
      </w:r>
    </w:p>
    <w:p>
      <w:pPr>
        <w:spacing w:after="0" w:line="247"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procedures for the receipt, retention, and treatment of any complaints received by us regarding accounting, internal accounting controls, or auditing matters;</w:t>
      </w:r>
    </w:p>
    <w:p>
      <w:pPr>
        <w:spacing w:after="0" w:line="190"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with management and our independent registered public accounting firm the results of the annual audit and the review of our quarterly financial statements;</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the retention of the independent registered public accounting firm to perform any proposed permissible non-audit services;</w:t>
      </w:r>
    </w:p>
    <w:p>
      <w:pPr>
        <w:spacing w:after="0" w:line="247"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on a periodic basis, or as appropriate, with management our policies and procedures with respect to information security and financial risk assessment and risk management;</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080"/>
          </w:cols>
          <w:pgMar w:left="320" w:top="451" w:right="4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140" w:hanging="539"/>
        <w:spacing w:after="0" w:line="277" w:lineRule="auto"/>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responsible for reviewing our financial statements and our management’s discussion and analysis of financial condition and results of operations to be included in our annual and quarterly reports to be filed with the SEC;</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investigates any reports received through the ethics helpline and reports to the Board periodically with respect to any information received through the ethics helpline and any related investigations; and</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audit committee charter and the audit committee’s performance on an annual basis.</w:t>
      </w:r>
    </w:p>
    <w:p>
      <w:pPr>
        <w:spacing w:after="0" w:line="220"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Our audit committee consists of Trevor Fetter, Jeryl Hilleman, and Jonathan Root, M.D. Our board of directors has determined that all members are independent under the Listing Rules and Rule 10A-3(b)(1) of the Exchange Act. The chair of our audit committee is Ms. Hilleman. Our board of directors has determined that Mr. Fetter, Ms. Hilleman, and Dr. Root are each an “audit committee financial expert” as such term is currently defined in Item 407(d)(5) of Regulation S-K. Our board of directors has also determined that each member of our audit committee can read and understand fundamental consolidated financial statements, in accordance with applicable requirements.</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Our compensation committee oversees policies relating to compensation and benefits of our officers and employees. Among other matters, the compensation committee:</w:t>
      </w:r>
    </w:p>
    <w:p>
      <w:pPr>
        <w:spacing w:after="0" w:line="190" w:lineRule="exact"/>
        <w:rPr>
          <w:sz w:val="20"/>
          <w:szCs w:val="20"/>
          <w:color w:val="auto"/>
        </w:rPr>
      </w:pPr>
    </w:p>
    <w:p>
      <w:pPr>
        <w:ind w:left="1140" w:hanging="539"/>
        <w:spacing w:after="0" w:line="277" w:lineRule="auto"/>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or recommends corporate goals and objectives relevant to compensation of our executive officers (other than our Chief Executive Officer);</w:t>
      </w:r>
    </w:p>
    <w:p>
      <w:pPr>
        <w:spacing w:after="0" w:line="190"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performance of these officers in light of those goals and objectives and approves the compensation of these officers based on such evaluations;</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or makes recommendations to our board of directors regarding the issuance of stock options and other awards under our stock plans to our executive officers (other than our Chief Executive Officer);</w:t>
      </w:r>
    </w:p>
    <w:p>
      <w:pPr>
        <w:spacing w:after="0" w:line="190" w:lineRule="exact"/>
        <w:rPr>
          <w:rFonts w:ascii="Times New Roman" w:cs="Times New Roman" w:eastAsia="Times New Roman" w:hAnsi="Times New Roman"/>
          <w:sz w:val="18"/>
          <w:szCs w:val="18"/>
          <w:color w:val="auto"/>
        </w:rPr>
      </w:pPr>
    </w:p>
    <w:p>
      <w:pPr>
        <w:jc w:val="both"/>
        <w:ind w:left="1140" w:hanging="539"/>
        <w:spacing w:after="0" w:line="308" w:lineRule="auto"/>
        <w:tabs>
          <w:tab w:leader="none" w:pos="11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the performance of our Chief Executive Officer and makes recommendations to our board of directors with respect to his compensation, and our board of directors retains the authority to make compensation decisions relative to our Chief Executive Officer; and</w:t>
      </w:r>
    </w:p>
    <w:p>
      <w:pPr>
        <w:spacing w:after="0" w:line="166" w:lineRule="exact"/>
        <w:rPr>
          <w:rFonts w:ascii="Times New Roman" w:cs="Times New Roman" w:eastAsia="Times New Roman" w:hAnsi="Times New Roman"/>
          <w:sz w:val="17"/>
          <w:szCs w:val="17"/>
          <w:color w:val="auto"/>
        </w:rPr>
      </w:pPr>
    </w:p>
    <w:p>
      <w:pPr>
        <w:ind w:left="1140" w:hanging="539"/>
        <w:spacing w:after="0"/>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compensation committee charter and the compensation committee’s performance on annual basis.</w:t>
      </w:r>
    </w:p>
    <w:p>
      <w:pPr>
        <w:spacing w:after="0" w:line="220"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Our compensation committee consists of Anne Beal, M.D., M.P.H., Trevor Fetter, and Julie Klapstein. Our board of directors has determined that all members are independent under the Listing Rules and are non-employee directors, as defined by Rule 16b-3 promulgated under the Exchange Act. The chair of our compensation committee is Mr. Fetter.</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Our nominating and corporate governance committee oversees policies relating to our corporate governance. Among other matters, the nominating and corporate governance committee:</w:t>
      </w:r>
    </w:p>
    <w:p>
      <w:pPr>
        <w:spacing w:after="0" w:line="190" w:lineRule="exact"/>
        <w:rPr>
          <w:sz w:val="20"/>
          <w:szCs w:val="20"/>
          <w:color w:val="auto"/>
        </w:rPr>
      </w:pPr>
    </w:p>
    <w:p>
      <w:pPr>
        <w:ind w:left="1140" w:right="20" w:hanging="539"/>
        <w:spacing w:after="0" w:line="277" w:lineRule="auto"/>
        <w:tabs>
          <w:tab w:leader="none" w:pos="1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and recommends candidates for membership on our board of directors, including the consideration of nominees submitted by stockholders, and on each of the board’s committees;</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recommends our corporate governance guidelines and policies;</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080"/>
          </w:cols>
          <w:pgMar w:left="320" w:top="451" w:right="4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140" w:hanging="539"/>
        <w:spacing w:after="0" w:line="277" w:lineRule="auto"/>
        <w:tabs>
          <w:tab w:leader="none" w:pos="11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on a periodic basis, or as appropriate, with management our policies and processes with respect to major healthcare regulatory and data privacy risks;</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process of evaluating the performance of our board of directors; and</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assists our board of directors on corporate governance matters.</w:t>
      </w:r>
    </w:p>
    <w:p>
      <w:pPr>
        <w:spacing w:after="0" w:line="220"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Sachin Jain, M.D., Jonathan Root, M.D., and Adam Stavisky. Our board of directors has determined that all members are independent under the Listing Rules. The chair of our nominating and corporate governance committee is Dr. Root.</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None of the members of our compensation committee is currently, or has been at any time, one of our executive officers or employees. None of our executive officers currently serves, or has served during the last year, as a member of the board of directors or compensation committee of any entity that has one or more executive officers serving as a member of our board of directors or on our compensation committee.</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In connection with this offering, our board of directors has adopted a written code of business conduct and ethics that applies to all of our directors, officers, and employees, including our principal executive officer, principal financial officer, and principal accounting officer or controller, or persons performing similar functions, and agents and representatives. The full text of our code of business conduct and ethics will be posted on our website at www.omadahealth.com upon the completion of this offering. The nominating and corporate governance committee of our board of directors will be responsible for overseeing our code of business conduct and ethics and any waivers applicable to any director, executive officer, or employee. We intend to disclose any future amendments to certain provisions of our code of business conduct and ethics, or waivers of such provisions applicable to our directors, officers, and employees, including our principal executive officer, principal financial officer, principal accounting officer or controller, or persons performing similar functions, and agents and representatives, on our website identified above or in public filings.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Matters</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both of which will become effective immediately prior to the completion of this offering, will limit our directors’ and officers’ liability and provide that we may indemnify our directors and officers to the fullest extent permitted under the General Corporation Law of the State of Delaware (the “Delaware General Corporation Law”). The Delaware General Corporation Law provides that directors and officers of a corporation will not be personally liable for monetary damages for breach of their fiduciary duties as directors or officers, except for liability for any:</w:t>
      </w:r>
    </w:p>
    <w:p>
      <w:pPr>
        <w:spacing w:after="0" w:line="210" w:lineRule="exact"/>
        <w:rPr>
          <w:sz w:val="20"/>
          <w:szCs w:val="20"/>
          <w:color w:val="auto"/>
        </w:rPr>
      </w:pPr>
    </w:p>
    <w:p>
      <w:pPr>
        <w:ind w:left="1140" w:hanging="539"/>
        <w:spacing w:after="0"/>
        <w:tabs>
          <w:tab w:leader="none" w:pos="11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from which the director or officer derives an improper personal benefit;</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or omission not in good faith or that involves intentional misconduct or a knowing violation of law;</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 of dividends or redemption of shares;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a director’s or officer’s duty of loyalty to the corporation or its stockholders; or</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brought against an officer by or in the right of the corporation.</w:t>
      </w:r>
    </w:p>
    <w:p>
      <w:pPr>
        <w:spacing w:after="0" w:line="220"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These limitations of liability do not apply to liabilities arising under federal securities laws and do not affect the availability of equitable remedies such as injunctive relief or recession.</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080"/>
          </w:cols>
          <w:pgMar w:left="320" w:top="451" w:right="49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The Delaware General Corporation Law and our amended and restated bylaws provide that we will, in certain situations, indemnify our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82"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In addition, we have entered, and intend to continue to enter, into separate indemnification agreements with our directors and officers. These indemnification agreements, among other things, require us to indemnify our directors and officers for certain expenses, including attorneys’ fees, judgments, fines, and settlement amounts incurred by a director or officer in any action or proceeding arising out of their services as a director or officer, or any other company or enterprise to which the person provides services at our request.</w:t>
      </w:r>
    </w:p>
    <w:p>
      <w:pPr>
        <w:spacing w:after="0" w:line="182"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that these provisions in our restated certificate of incorporation and amended and restated bylaws and these indemnification agreements are necessary to attract and retain qualified persons as directors and officers.</w:t>
      </w:r>
    </w:p>
    <w:p>
      <w:pPr>
        <w:spacing w:after="0" w:line="177"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080"/>
          </w:cols>
          <w:pgMar w:left="320" w:top="451" w:right="4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executive officers who are named in the “2024</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Summary Compensation Table” below. In 2024, our “named executive officers” and their positions with us were as follows:</w:t>
      </w:r>
    </w:p>
    <w:p>
      <w:pPr>
        <w:spacing w:after="0" w:line="228" w:lineRule="exact"/>
        <w:rPr>
          <w:sz w:val="20"/>
          <w:szCs w:val="20"/>
          <w:color w:val="auto"/>
        </w:rPr>
      </w:pPr>
    </w:p>
    <w:p>
      <w:pPr>
        <w:ind w:left="1140" w:hanging="539"/>
        <w:spacing w:after="0"/>
        <w:tabs>
          <w:tab w:leader="none" w:pos="11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Sean Duffy, Chief Executive Officer;</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 Cook, Chief Financial Officer; and</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Wei-Li Shao, President.</w:t>
      </w:r>
    </w:p>
    <w:p>
      <w:pPr>
        <w:spacing w:after="0" w:line="220"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2024 Summary Compensation Table</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named executive officers for the year ended December 31, 2024:</w:t>
      </w:r>
    </w:p>
    <w:p>
      <w:pPr>
        <w:spacing w:after="0" w:line="22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60" w:type="dxa"/>
            <w:vAlign w:val="bottom"/>
          </w:tcPr>
          <w:p>
            <w:pPr>
              <w:spacing w:after="0"/>
              <w:rPr>
                <w:sz w:val="13"/>
                <w:szCs w:val="13"/>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40" w:type="dxa"/>
            <w:vAlign w:val="bottom"/>
            <w:vMerge w:val="restart"/>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Salary</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4"/>
                <w:szCs w:val="14"/>
                <w:b w:val="1"/>
                <w:bCs w:val="1"/>
                <w:color w:val="auto"/>
              </w:rPr>
              <w:t>Awards</w:t>
            </w:r>
          </w:p>
        </w:tc>
        <w:tc>
          <w:tcPr>
            <w:tcW w:w="340" w:type="dxa"/>
            <w:vAlign w:val="bottom"/>
          </w:tcPr>
          <w:p>
            <w:pPr>
              <w:spacing w:after="0"/>
              <w:rPr>
                <w:sz w:val="13"/>
                <w:szCs w:val="13"/>
                <w:color w:val="auto"/>
              </w:rPr>
            </w:pPr>
          </w:p>
        </w:tc>
        <w:tc>
          <w:tcPr>
            <w:tcW w:w="102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420" w:type="dxa"/>
            <w:vAlign w:val="bottom"/>
          </w:tcPr>
          <w:p>
            <w:pPr>
              <w:spacing w:after="0"/>
              <w:rPr>
                <w:sz w:val="13"/>
                <w:szCs w:val="13"/>
                <w:color w:val="auto"/>
              </w:rPr>
            </w:pPr>
          </w:p>
        </w:tc>
        <w:tc>
          <w:tcPr>
            <w:tcW w:w="1040" w:type="dxa"/>
            <w:vAlign w:val="bottom"/>
            <w:gridSpan w:val="2"/>
          </w:tcPr>
          <w:p>
            <w:pPr>
              <w:jc w:val="center"/>
              <w:ind w:left="34"/>
              <w:spacing w:after="0" w:line="158"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560" w:type="dxa"/>
            <w:vAlign w:val="bottom"/>
          </w:tcPr>
          <w:p>
            <w:pPr>
              <w:spacing w:after="0"/>
              <w:rPr>
                <w:sz w:val="13"/>
                <w:szCs w:val="13"/>
                <w:color w:val="auto"/>
              </w:rPr>
            </w:pPr>
          </w:p>
        </w:tc>
        <w:tc>
          <w:tcPr>
            <w:tcW w:w="820" w:type="dxa"/>
            <w:vAlign w:val="bottom"/>
            <w:gridSpan w:val="2"/>
          </w:tcPr>
          <w:p>
            <w:pPr>
              <w:ind w:left="220"/>
              <w:spacing w:after="0" w:line="158"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(1)</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(3)</w:t>
            </w:r>
          </w:p>
        </w:tc>
        <w:tc>
          <w:tcPr>
            <w:tcW w:w="560" w:type="dxa"/>
            <w:vAlign w:val="bottom"/>
          </w:tcPr>
          <w:p>
            <w:pPr>
              <w:spacing w:after="0"/>
              <w:rPr>
                <w:sz w:val="15"/>
                <w:szCs w:val="15"/>
                <w:color w:val="auto"/>
              </w:rPr>
            </w:pPr>
          </w:p>
        </w:tc>
        <w:tc>
          <w:tcPr>
            <w:tcW w:w="7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8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Sean Duffy</w:t>
            </w:r>
          </w:p>
        </w:tc>
        <w:tc>
          <w:tcPr>
            <w:tcW w:w="600" w:type="dxa"/>
            <w:vAlign w:val="bottom"/>
            <w:tcBorders>
              <w:top w:val="single" w:sz="8" w:color="CCEEFF"/>
            </w:tcBorders>
            <w:gridSpan w:val="3"/>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top w:val="single" w:sz="8" w:color="CCEEFF"/>
            </w:tcBorders>
            <w:shd w:val="clear" w:color="auto" w:fill="CCEEFF"/>
          </w:tcPr>
          <w:p>
            <w:pPr>
              <w:ind w:left="80"/>
              <w:spacing w:after="0" w:line="201" w:lineRule="exact"/>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top w:val="single" w:sz="8" w:color="CCEEFF"/>
            </w:tcBorders>
            <w:gridSpan w:val="3"/>
            <w:shd w:val="clear" w:color="auto" w:fill="CCEEFF"/>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412,000</w:t>
            </w:r>
          </w:p>
        </w:tc>
        <w:tc>
          <w:tcPr>
            <w:tcW w:w="360" w:type="dxa"/>
            <w:vAlign w:val="bottom"/>
            <w:tcBorders>
              <w:top w:val="single" w:sz="8" w:color="CCEEFF"/>
            </w:tcBorders>
            <w:shd w:val="clear" w:color="auto" w:fill="CCEEFF"/>
          </w:tcPr>
          <w:p>
            <w:pPr>
              <w:ind w:left="80"/>
              <w:spacing w:after="0" w:line="201" w:lineRule="exact"/>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top w:val="single" w:sz="8" w:color="CCEEFF"/>
            </w:tcBorders>
            <w:gridSpan w:val="3"/>
            <w:shd w:val="clear" w:color="auto" w:fill="CCEEFF"/>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453,806</w:t>
            </w:r>
          </w:p>
        </w:tc>
        <w:tc>
          <w:tcPr>
            <w:tcW w:w="340" w:type="dxa"/>
            <w:vAlign w:val="bottom"/>
            <w:tcBorders>
              <w:top w:val="single" w:sz="8" w:color="CCEEFF"/>
            </w:tcBorders>
            <w:shd w:val="clear" w:color="auto" w:fill="CCEEFF"/>
          </w:tcPr>
          <w:p>
            <w:pPr>
              <w:ind w:left="80"/>
              <w:spacing w:after="0" w:line="201" w:lineRule="exact"/>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top w:val="single" w:sz="8" w:color="CCEEFF"/>
            </w:tcBorders>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322,669</w:t>
            </w:r>
          </w:p>
        </w:tc>
        <w:tc>
          <w:tcPr>
            <w:tcW w:w="420" w:type="dxa"/>
            <w:vAlign w:val="bottom"/>
            <w:tcBorders>
              <w:top w:val="single" w:sz="8" w:color="CCEEFF"/>
            </w:tcBorders>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top w:val="single" w:sz="8" w:color="CCEEFF"/>
            </w:tcBorders>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720</w:t>
            </w:r>
          </w:p>
        </w:tc>
        <w:tc>
          <w:tcPr>
            <w:tcW w:w="560" w:type="dxa"/>
            <w:vAlign w:val="bottom"/>
            <w:tcBorders>
              <w:top w:val="single" w:sz="8" w:color="CCEEFF"/>
            </w:tcBorders>
            <w:shd w:val="clear" w:color="auto" w:fill="CCEEFF"/>
          </w:tcPr>
          <w:p>
            <w:pPr>
              <w:ind w:left="140"/>
              <w:spacing w:after="0" w:line="201" w:lineRule="exact"/>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1,189,195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6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400,000</w:t>
            </w:r>
          </w:p>
        </w:tc>
        <w:tc>
          <w:tcPr>
            <w:tcW w:w="36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553,500</w:t>
            </w:r>
          </w:p>
        </w:tc>
        <w:tc>
          <w:tcPr>
            <w:tcW w:w="3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267,918</w:t>
            </w:r>
          </w:p>
        </w:tc>
        <w:tc>
          <w:tcPr>
            <w:tcW w:w="4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5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1,222,172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3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Cook</w:t>
            </w:r>
          </w:p>
        </w:tc>
        <w:tc>
          <w:tcPr>
            <w:tcW w:w="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389,000</w:t>
            </w:r>
          </w:p>
        </w:tc>
        <w:tc>
          <w:tcPr>
            <w:tcW w:w="3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272,284</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176,312</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6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380,000</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161,968</w:t>
            </w:r>
          </w:p>
        </w:tc>
        <w:tc>
          <w:tcPr>
            <w:tcW w:w="4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5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3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Wei-Li Shao</w:t>
            </w:r>
          </w:p>
        </w:tc>
        <w:tc>
          <w:tcPr>
            <w:tcW w:w="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400,000</w:t>
            </w:r>
          </w:p>
        </w:tc>
        <w:tc>
          <w:tcPr>
            <w:tcW w:w="3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453,806</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299,549</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1,154,075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6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President</w:t>
            </w:r>
          </w:p>
        </w:tc>
        <w:tc>
          <w:tcPr>
            <w:tcW w:w="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380,000</w:t>
            </w:r>
          </w:p>
        </w:tc>
        <w:tc>
          <w:tcPr>
            <w:tcW w:w="36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605,000</w:t>
            </w:r>
          </w:p>
        </w:tc>
        <w:tc>
          <w:tcPr>
            <w:tcW w:w="3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254,522</w:t>
            </w:r>
          </w:p>
        </w:tc>
        <w:tc>
          <w:tcPr>
            <w:tcW w:w="4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5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1,241,453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71755</wp:posOffset>
            </wp:positionV>
            <wp:extent cx="75501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23" w:lineRule="exact"/>
        <w:rPr>
          <w:sz w:val="20"/>
          <w:szCs w:val="20"/>
          <w:color w:val="auto"/>
        </w:rPr>
      </w:pPr>
    </w:p>
    <w:p>
      <w:pPr>
        <w:ind w:left="600" w:right="20" w:hanging="426"/>
        <w:spacing w:after="0" w:line="230" w:lineRule="auto"/>
        <w:tabs>
          <w:tab w:leader="none" w:pos="6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grant date fair value of stock options granted during 2024 computed in accordance with ASC Topic 718, rather than the amounts paid to or realized by the named individual. See Note 12 to our consolidated financial statements included elsewhere in this prospectus for the assumptions used in calculating these amounts.</w:t>
      </w:r>
    </w:p>
    <w:p>
      <w:pPr>
        <w:spacing w:after="0" w:line="1" w:lineRule="exact"/>
        <w:rPr>
          <w:rFonts w:ascii="Times New Roman" w:cs="Times New Roman" w:eastAsia="Times New Roman" w:hAnsi="Times New Roman"/>
          <w:sz w:val="14"/>
          <w:szCs w:val="14"/>
          <w:color w:val="auto"/>
        </w:rPr>
      </w:pPr>
    </w:p>
    <w:p>
      <w:pPr>
        <w:ind w:left="600" w:hanging="426"/>
        <w:spacing w:after="0" w:line="219" w:lineRule="auto"/>
        <w:tabs>
          <w:tab w:leader="none" w:pos="6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annual bonuses earned by each named executive officer in 2024 and paid in cash as to 25% of the target bonus amount in 2024 and as to the remainder of the annual bonus earned in 2025. See “</w:t>
      </w:r>
      <w:r>
        <w:rPr>
          <w:rFonts w:ascii="Times New Roman" w:cs="Times New Roman" w:eastAsia="Times New Roman" w:hAnsi="Times New Roman"/>
          <w:sz w:val="14"/>
          <w:szCs w:val="14"/>
          <w:i w:val="1"/>
          <w:iCs w:val="1"/>
          <w:color w:val="auto"/>
        </w:rPr>
        <w:t>—2024 Bonuses</w:t>
      </w:r>
      <w:r>
        <w:rPr>
          <w:rFonts w:ascii="Times New Roman" w:cs="Times New Roman" w:eastAsia="Times New Roman" w:hAnsi="Times New Roman"/>
          <w:sz w:val="14"/>
          <w:szCs w:val="14"/>
          <w:color w:val="auto"/>
        </w:rPr>
        <w:t>” below.</w:t>
      </w:r>
    </w:p>
    <w:p>
      <w:pPr>
        <w:ind w:left="600" w:hanging="426"/>
        <w:spacing w:after="0"/>
        <w:tabs>
          <w:tab w:leader="none" w:pos="6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the “All Other Compensation” column include imputed income from group term life insurance.</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2024 Salaries</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In 2024, our named executive officers received an annual base salary to compensate them for services rendered to us. The base salary payable to each named executive officer is intended to provide a fixed component of compensation reflecting the executive’s skill set, experience, role, and responsibilities.</w:t>
      </w:r>
    </w:p>
    <w:p>
      <w:pPr>
        <w:spacing w:after="0" w:line="177"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For 2024, Mr. Duffy’s annual base salary was $412,000, Mr. Cook’s base salary was $389,000, and Mr. Shao’s base salary was $400,000. In January 2025, the compensation committee of our board of directors approved a base salary of $400,000 for Mr. Cook and $425,000 for Mr. Shao, each effective February 1, 2025. In February 2025, our board of directors approved a base salary of $432,000 for Mr. Duffy, effective February 1,</w:t>
      </w:r>
    </w:p>
    <w:p>
      <w:pPr>
        <w:spacing w:after="0" w:line="1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080"/>
          </w:cols>
          <w:pgMar w:left="320" w:top="451" w:right="4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77" w:lineRule="auto"/>
        <w:rPr>
          <w:sz w:val="20"/>
          <w:szCs w:val="20"/>
          <w:color w:val="auto"/>
        </w:rPr>
      </w:pPr>
      <w:r>
        <w:rPr>
          <w:rFonts w:ascii="Times New Roman" w:cs="Times New Roman" w:eastAsia="Times New Roman" w:hAnsi="Times New Roman"/>
          <w:sz w:val="18"/>
          <w:szCs w:val="18"/>
          <w:color w:val="auto"/>
        </w:rPr>
        <w:t>2025. In connection with this offering, we have approved a base salary of $525,000 for Mr. Duffy and $450,000 for Mr. Shao, in each case, effective as of the date on which this registration statement becomes effective. Mr. Cook’s base salary will remain $400,000.</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2024 Bonuses</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In 2024, Messrs. Duffy, Cook, and Shao were each eligible to earn an annual cash bonus pursuant to our 2024 Corporate Bonus Plan targeted at 55%, 35%, and 55%, respectively, of their respective annual base salaries. In connection with this offering, we have approved an increase in the target bonus opportunities for Messrs. Duffy, Cook, and Shao such that following this offering they will be eligible to earn cash bonuses targeted at 60%, 40%, and 60%, respectively, of their respective annual base salaries. Pursuant to the 2024 Corporate Bonus Plan, each named executive officer was eligible to earn his annual cash bonus based on the attainment of pre-established annual company and individual performance objectives, which were composed of our performance against the financial plan (weighted 80% of the executive’s bonus opportunity), including revenue and adjusted EBITDA margin metrics, and individual goals (weighted 20% of the executive’s bonus opportunity). Earned cash bonus amounts were paid in 2025 based on achievement of company and individual performance objectives for the full 2024 performance year.</w:t>
      </w:r>
    </w:p>
    <w:p>
      <w:pPr>
        <w:spacing w:after="0" w:line="185"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The actual annual cash bonuses awarded to each named executive officer for 2024 performance are set forth above in the Summary Compensation Table in the column entitled “</w:t>
      </w:r>
      <w:r>
        <w:rPr>
          <w:rFonts w:ascii="Times New Roman" w:cs="Times New Roman" w:eastAsia="Times New Roman" w:hAnsi="Times New Roman"/>
          <w:sz w:val="18"/>
          <w:szCs w:val="18"/>
          <w:i w:val="1"/>
          <w:iCs w:val="1"/>
          <w:color w:val="auto"/>
        </w:rPr>
        <w:t>Non-Equity Incentive Plan Compensation</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In December 2024, our board of directors approved a 2025 Corporate Bonus Plan on substantially the same terms as the 2024 Corporate Bonus Plan except with updated revenue and adjusted EBITDA margin metrics. Individual goals for Mr. Duffy were approved by our board of directors in February 2025, and individual goals for Messrs. Cook and Shao were approved by the compensation committee of our board of directors in January 2025.</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24" w:lineRule="exact"/>
        <w:rPr>
          <w:sz w:val="20"/>
          <w:szCs w:val="20"/>
          <w:color w:val="auto"/>
        </w:rPr>
      </w:pPr>
    </w:p>
    <w:p>
      <w:pPr>
        <w:jc w:val="both"/>
        <w:ind w:left="180" w:firstLine="436"/>
        <w:spacing w:after="0" w:line="234" w:lineRule="auto"/>
        <w:rPr>
          <w:sz w:val="20"/>
          <w:szCs w:val="20"/>
          <w:color w:val="auto"/>
        </w:rPr>
      </w:pPr>
      <w:r>
        <w:rPr>
          <w:rFonts w:ascii="Times New Roman" w:cs="Times New Roman" w:eastAsia="Times New Roman" w:hAnsi="Times New Roman"/>
          <w:sz w:val="18"/>
          <w:szCs w:val="18"/>
          <w:color w:val="auto"/>
        </w:rPr>
        <w:t>Each of our named executive officers currently holds outstanding stock option awards granted pursuant to the Omada Health, Inc. 2011 Stock Plan (as amended, the “2011 Plan”). In 2024, Mr. Duffy was granted a stock option award covering 83,333 shares of our common stock, Mr. Cook was granted a stock option award covering 50,000 shares of our common stock, and Mr. Shao was granted a stock option covering 83,333 shares of our common stock. The stock options generally vest as to 1/48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shares subject thereto on each monthly anniversary of the applicable vesting commencement date, subject to continued service. The options granted to our named executive officers are also subject to acceleration upon certain terminations of employment pursuant to their change in control and severance agreements, each as described below.</w:t>
      </w:r>
    </w:p>
    <w:p>
      <w:pPr>
        <w:spacing w:after="0" w:line="196"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we have adopted, and our stockholders have approved, a 2025 Incentive Award Plan (the “2025 Plan”) in order to facilitate the grant of cash and equity incentives to our directors and to our and certain of our affiliates’ employees (including our named executive officers) and consultants and to enable us to obtain and retain the services of these individuals, which is essential to our long-term success. The 2025 Plan will be effective on the day immediately prior to the effectiveness of the registration statement of which this prospectus is a part. For additional information about the 2025 Plan, please see “—Equity Incentive Plans” below.</w:t>
      </w:r>
    </w:p>
    <w:p>
      <w:pPr>
        <w:spacing w:after="0" w:line="183" w:lineRule="exact"/>
        <w:rPr>
          <w:sz w:val="20"/>
          <w:szCs w:val="20"/>
          <w:color w:val="auto"/>
        </w:rPr>
      </w:pPr>
    </w:p>
    <w:p>
      <w:pPr>
        <w:jc w:val="both"/>
        <w:ind w:left="180" w:firstLine="436"/>
        <w:spacing w:after="0" w:line="227" w:lineRule="auto"/>
        <w:rPr>
          <w:sz w:val="20"/>
          <w:szCs w:val="20"/>
          <w:color w:val="auto"/>
        </w:rPr>
      </w:pPr>
      <w:r>
        <w:rPr>
          <w:rFonts w:ascii="Times New Roman" w:cs="Times New Roman" w:eastAsia="Times New Roman" w:hAnsi="Times New Roman"/>
          <w:sz w:val="18"/>
          <w:szCs w:val="18"/>
          <w:color w:val="auto"/>
        </w:rPr>
        <w:t>In addition, we expect to grant each of the named executive officers awards of restricted stock units (“RSUs”) in connection with this offering. The RSUs are expected to cover a number of shares having a grant date fair value equal to approximately $2,750,000 (Mr. Duffy), $1,250,000 (Mr. Cook), and $1,500,000 (Mr. Shao) and will vest as to 1/16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underlying shares on each quarterly anniversary of the effectiveness of this registration statement, subject to the applicable named executive officer’s continued employment through the applicable vesting date.</w:t>
      </w:r>
    </w:p>
    <w:p>
      <w:pPr>
        <w:spacing w:after="0" w:line="1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080"/>
          </w:cols>
          <w:pgMar w:left="320" w:top="451" w:right="49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Other Elements of Compensation</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Retirement Plans</w:t>
      </w:r>
    </w:p>
    <w:p>
      <w:pPr>
        <w:spacing w:after="0" w:line="222"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maintain a 401(k) retirement savings plan for our employees, including our named executive officers, who satisfy certain eligibility requirements. Our named executive officers are eligible to participate in the 401(k) plan on the same terms as other full-time employees. We did not make any matching contributions on behalf of our executives in 2024. We anticipate that, following the consummation of this offering, our named executive officers will continue to participate in this 401(k) plan on the same terms as other full-time employees.</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Employee Benefits and Perquisites</w:t>
      </w:r>
    </w:p>
    <w:p>
      <w:pPr>
        <w:spacing w:after="0" w:line="220" w:lineRule="exact"/>
        <w:rPr>
          <w:sz w:val="20"/>
          <w:szCs w:val="20"/>
          <w:color w:val="auto"/>
        </w:rPr>
      </w:pPr>
    </w:p>
    <w:p>
      <w:pPr>
        <w:jc w:val="both"/>
        <w:ind w:left="180" w:right="20" w:firstLine="436"/>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Health/Welfare Plans. </w:t>
      </w:r>
      <w:r>
        <w:rPr>
          <w:rFonts w:ascii="Times New Roman" w:cs="Times New Roman" w:eastAsia="Times New Roman" w:hAnsi="Times New Roman"/>
          <w:sz w:val="18"/>
          <w:szCs w:val="18"/>
          <w:color w:val="auto"/>
        </w:rPr>
        <w:t>All of our full-time employees, including our named executive officers, are eligible to participate in our health and welfare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including:</w:t>
      </w:r>
    </w:p>
    <w:p>
      <w:pPr>
        <w:spacing w:after="0" w:line="189" w:lineRule="exact"/>
        <w:rPr>
          <w:sz w:val="20"/>
          <w:szCs w:val="20"/>
          <w:color w:val="auto"/>
        </w:rPr>
      </w:pPr>
    </w:p>
    <w:p>
      <w:pPr>
        <w:ind w:left="1140" w:hanging="539"/>
        <w:spacing w:after="0"/>
        <w:tabs>
          <w:tab w:leader="none" w:pos="11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and vision benefits;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and dependent care flexible spending accounts;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long-term disability insurance;</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benefits;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services benefits; and</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and AD&amp;D insurance.</w:t>
      </w:r>
    </w:p>
    <w:p>
      <w:pPr>
        <w:spacing w:after="0" w:line="220" w:lineRule="exact"/>
        <w:rPr>
          <w:sz w:val="20"/>
          <w:szCs w:val="20"/>
          <w:color w:val="auto"/>
        </w:rPr>
      </w:pPr>
    </w:p>
    <w:p>
      <w:pPr>
        <w:ind w:left="180" w:firstLine="436"/>
        <w:spacing w:after="0" w:line="277" w:lineRule="auto"/>
        <w:rPr>
          <w:sz w:val="20"/>
          <w:szCs w:val="20"/>
          <w:color w:val="auto"/>
        </w:rPr>
      </w:pPr>
      <w:r>
        <w:rPr>
          <w:rFonts w:ascii="Times New Roman" w:cs="Times New Roman" w:eastAsia="Times New Roman" w:hAnsi="Times New Roman"/>
          <w:sz w:val="18"/>
          <w:szCs w:val="18"/>
          <w:color w:val="auto"/>
        </w:rPr>
        <w:t>We believe that the employee benefits described above are necessary and appropriate to provide a competitive compensation package to our named executive officers.</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No Tax Gross-Ups</w:t>
      </w:r>
    </w:p>
    <w:p>
      <w:pPr>
        <w:spacing w:after="0" w:line="222" w:lineRule="exact"/>
        <w:rPr>
          <w:sz w:val="20"/>
          <w:szCs w:val="20"/>
          <w:color w:val="auto"/>
        </w:rPr>
      </w:pPr>
    </w:p>
    <w:p>
      <w:pPr>
        <w:ind w:left="180" w:firstLine="436"/>
        <w:spacing w:after="0" w:line="277" w:lineRule="auto"/>
        <w:rPr>
          <w:sz w:val="20"/>
          <w:szCs w:val="20"/>
          <w:color w:val="auto"/>
        </w:rPr>
      </w:pPr>
      <w:r>
        <w:rPr>
          <w:rFonts w:ascii="Times New Roman" w:cs="Times New Roman" w:eastAsia="Times New Roman" w:hAnsi="Times New Roman"/>
          <w:sz w:val="18"/>
          <w:szCs w:val="18"/>
          <w:color w:val="auto"/>
        </w:rPr>
        <w:t>We do not make gross-up payments to cover our named executive officers’ personal income taxes that may pertain to any of the compensation or perquisites paid or provided by our company.</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080"/>
          </w:cols>
          <w:pgMar w:left="320" w:top="451" w:right="4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The following table summarizes the number of shares of common stock underlying outstanding equity incentive plan awards for each named executive officer as of December 31, 2024. Some of the equity awards are subject to accelerated vesting as described below in the Section titled “Executive Compensation Arrangements.”</w:t>
      </w:r>
    </w:p>
    <w:p>
      <w:pPr>
        <w:spacing w:after="0" w:line="205" w:lineRule="exact"/>
        <w:rPr>
          <w:sz w:val="20"/>
          <w:szCs w:val="20"/>
          <w:color w:val="auto"/>
        </w:rPr>
      </w:pPr>
    </w:p>
    <w:tbl>
      <w:tblPr>
        <w:tblLayout w:type="fixed"/>
        <w:tblInd w:w="180" w:type="dxa"/>
        <w:tblCellMar>
          <w:top w:w="0" w:type="dxa"/>
          <w:left w:w="0" w:type="dxa"/>
          <w:bottom w:w="0" w:type="dxa"/>
          <w:right w:w="0" w:type="dxa"/>
        </w:tblCellMar>
      </w:tblPr>
      <w:tr>
        <w:trPr>
          <w:trHeight w:val="164"/>
        </w:trPr>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10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11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11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ind w:left="200"/>
              <w:spacing w:after="0" w:line="147" w:lineRule="exact"/>
              <w:rPr>
                <w:sz w:val="20"/>
                <w:szCs w:val="20"/>
                <w:color w:val="auto"/>
              </w:rPr>
            </w:pPr>
            <w:r>
              <w:rPr>
                <w:rFonts w:ascii="Times New Roman" w:cs="Times New Roman" w:eastAsia="Times New Roman" w:hAnsi="Times New Roman"/>
                <w:sz w:val="13"/>
                <w:szCs w:val="13"/>
                <w:b w:val="1"/>
                <w:bCs w:val="1"/>
                <w:color w:val="auto"/>
              </w:rPr>
              <w:t>Type of</w:t>
            </w:r>
          </w:p>
        </w:tc>
        <w:tc>
          <w:tcPr>
            <w:tcW w:w="146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3"/>
                <w:szCs w:val="13"/>
                <w:b w:val="1"/>
                <w:bCs w:val="1"/>
                <w:color w:val="auto"/>
              </w:rPr>
              <w:t>Vesting</w:t>
            </w: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11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78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3"/>
                <w:szCs w:val="13"/>
                <w:b w:val="1"/>
                <w:bCs w:val="1"/>
                <w:color w:val="auto"/>
              </w:rPr>
              <w:t>Option</w:t>
            </w: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3"/>
                <w:szCs w:val="13"/>
                <w:b w:val="1"/>
                <w:bCs w:val="1"/>
                <w:color w:val="auto"/>
              </w:rPr>
              <w:t>Equity</w:t>
            </w:r>
          </w:p>
        </w:tc>
        <w:tc>
          <w:tcPr>
            <w:tcW w:w="146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3"/>
                <w:szCs w:val="13"/>
                <w:b w:val="1"/>
                <w:bCs w:val="1"/>
                <w:color w:val="auto"/>
              </w:rPr>
              <w:t>Commencement</w:t>
            </w:r>
          </w:p>
        </w:tc>
        <w:tc>
          <w:tcPr>
            <w:tcW w:w="1400" w:type="dxa"/>
            <w:vAlign w:val="bottom"/>
            <w:gridSpan w:val="2"/>
          </w:tcPr>
          <w:p>
            <w:pPr>
              <w:ind w:left="400"/>
              <w:spacing w:after="0" w:line="147" w:lineRule="exact"/>
              <w:rPr>
                <w:sz w:val="20"/>
                <w:szCs w:val="20"/>
                <w:color w:val="auto"/>
              </w:rPr>
            </w:pPr>
            <w:r>
              <w:rPr>
                <w:rFonts w:ascii="Times New Roman" w:cs="Times New Roman" w:eastAsia="Times New Roman" w:hAnsi="Times New Roman"/>
                <w:sz w:val="13"/>
                <w:szCs w:val="13"/>
                <w:b w:val="1"/>
                <w:bCs w:val="1"/>
                <w:color w:val="auto"/>
              </w:rPr>
              <w:t>Grant</w:t>
            </w:r>
          </w:p>
        </w:tc>
        <w:tc>
          <w:tcPr>
            <w:tcW w:w="10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11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78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1240" w:type="dxa"/>
            <w:vAlign w:val="bottom"/>
            <w:gridSpan w:val="2"/>
          </w:tcPr>
          <w:p>
            <w:pPr>
              <w:jc w:val="right"/>
              <w:ind w:right="460"/>
              <w:spacing w:after="0" w:line="147" w:lineRule="exact"/>
              <w:rPr>
                <w:sz w:val="20"/>
                <w:szCs w:val="20"/>
                <w:color w:val="auto"/>
              </w:rPr>
            </w:pPr>
            <w:r>
              <w:rPr>
                <w:rFonts w:ascii="Times New Roman" w:cs="Times New Roman" w:eastAsia="Times New Roman" w:hAnsi="Times New Roman"/>
                <w:sz w:val="13"/>
                <w:szCs w:val="13"/>
                <w:b w:val="1"/>
                <w:bCs w:val="1"/>
                <w:color w:val="auto"/>
              </w:rPr>
              <w:t>Option</w:t>
            </w:r>
          </w:p>
        </w:tc>
        <w:tc>
          <w:tcPr>
            <w:tcW w:w="0" w:type="dxa"/>
            <w:vAlign w:val="bottom"/>
          </w:tcPr>
          <w:p>
            <w:pPr>
              <w:spacing w:after="0"/>
              <w:rPr>
                <w:sz w:val="1"/>
                <w:szCs w:val="1"/>
                <w:color w:val="auto"/>
              </w:rPr>
            </w:pPr>
          </w:p>
        </w:tc>
      </w:tr>
      <w:tr>
        <w:trPr>
          <w:trHeight w:val="164"/>
        </w:trPr>
        <w:tc>
          <w:tcPr>
            <w:tcW w:w="2720" w:type="dxa"/>
            <w:vAlign w:val="bottom"/>
            <w:gridSpan w:val="2"/>
            <w:vMerge w:val="continue"/>
          </w:tcPr>
          <w:p>
            <w:pPr>
              <w:spacing w:after="0"/>
              <w:rPr>
                <w:sz w:val="14"/>
                <w:szCs w:val="14"/>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Award</w:t>
            </w:r>
          </w:p>
        </w:tc>
        <w:tc>
          <w:tcPr>
            <w:tcW w:w="1460" w:type="dxa"/>
            <w:vAlign w:val="bottom"/>
            <w:gridSpan w:val="2"/>
          </w:tcPr>
          <w:p>
            <w:pPr>
              <w:jc w:val="center"/>
              <w:ind w:right="280"/>
              <w:spacing w:after="0" w:line="164" w:lineRule="exact"/>
              <w:rPr>
                <w:sz w:val="20"/>
                <w:szCs w:val="20"/>
                <w:color w:val="auto"/>
              </w:rPr>
            </w:pPr>
            <w:r>
              <w:rPr>
                <w:rFonts w:ascii="Times New Roman" w:cs="Times New Roman" w:eastAsia="Times New Roman" w:hAnsi="Times New Roman"/>
                <w:sz w:val="12"/>
                <w:szCs w:val="12"/>
                <w:b w:val="1"/>
                <w:bCs w:val="1"/>
                <w:color w:val="auto"/>
                <w:w w:val="99"/>
              </w:rPr>
              <w:t>Date</w:t>
            </w:r>
            <w:r>
              <w:rPr>
                <w:rFonts w:ascii="Times New Roman" w:cs="Times New Roman" w:eastAsia="Times New Roman" w:hAnsi="Times New Roman"/>
                <w:sz w:val="18"/>
                <w:szCs w:val="18"/>
                <w:b w:val="1"/>
                <w:bCs w:val="1"/>
                <w:color w:val="auto"/>
                <w:w w:val="99"/>
                <w:vertAlign w:val="superscript"/>
              </w:rPr>
              <w:t>(1)</w:t>
            </w:r>
          </w:p>
        </w:tc>
        <w:tc>
          <w:tcPr>
            <w:tcW w:w="1400" w:type="dxa"/>
            <w:vAlign w:val="bottom"/>
            <w:gridSpan w:val="2"/>
          </w:tcPr>
          <w:p>
            <w:pPr>
              <w:ind w:left="380"/>
              <w:spacing w:after="0" w:line="164" w:lineRule="exact"/>
              <w:rPr>
                <w:sz w:val="20"/>
                <w:szCs w:val="20"/>
                <w:color w:val="auto"/>
              </w:rPr>
            </w:pPr>
            <w:r>
              <w:rPr>
                <w:rFonts w:ascii="Times New Roman" w:cs="Times New Roman" w:eastAsia="Times New Roman" w:hAnsi="Times New Roman"/>
                <w:sz w:val="12"/>
                <w:szCs w:val="12"/>
                <w:b w:val="1"/>
                <w:bCs w:val="1"/>
                <w:color w:val="auto"/>
              </w:rPr>
              <w:t>Date</w:t>
            </w:r>
            <w:r>
              <w:rPr>
                <w:rFonts w:ascii="Times New Roman" w:cs="Times New Roman" w:eastAsia="Times New Roman" w:hAnsi="Times New Roman"/>
                <w:sz w:val="18"/>
                <w:szCs w:val="18"/>
                <w:b w:val="1"/>
                <w:bCs w:val="1"/>
                <w:color w:val="auto"/>
                <w:vertAlign w:val="superscript"/>
              </w:rPr>
              <w:t>(1)</w:t>
            </w: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 xml:space="preserve">Price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Expiration Date</w:t>
            </w:r>
          </w:p>
        </w:tc>
        <w:tc>
          <w:tcPr>
            <w:tcW w:w="0" w:type="dxa"/>
            <w:vAlign w:val="bottom"/>
          </w:tcPr>
          <w:p>
            <w:pPr>
              <w:spacing w:after="0"/>
              <w:rPr>
                <w:sz w:val="1"/>
                <w:szCs w:val="1"/>
                <w:color w:val="auto"/>
              </w:rPr>
            </w:pPr>
          </w:p>
        </w:tc>
      </w:tr>
      <w:tr>
        <w:trPr>
          <w:trHeight w:val="140"/>
        </w:trPr>
        <w:tc>
          <w:tcPr>
            <w:tcW w:w="250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Sean Duffy</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ind w:left="80"/>
              <w:spacing w:after="0" w:line="141" w:lineRule="exact"/>
              <w:rPr>
                <w:sz w:val="20"/>
                <w:szCs w:val="20"/>
                <w:color w:val="auto"/>
              </w:rPr>
            </w:pPr>
            <w:r>
              <w:rPr>
                <w:rFonts w:ascii="Times New Roman" w:cs="Times New Roman" w:eastAsia="Times New Roman" w:hAnsi="Times New Roman"/>
                <w:sz w:val="14"/>
                <w:szCs w:val="14"/>
                <w:color w:val="auto"/>
                <w:w w:val="99"/>
              </w:rPr>
              <w:t>Stock Option</w:t>
            </w:r>
          </w:p>
        </w:tc>
        <w:tc>
          <w:tcPr>
            <w:tcW w:w="36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February 1, 2024</w:t>
            </w:r>
          </w:p>
        </w:tc>
        <w:tc>
          <w:tcPr>
            <w:tcW w:w="26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February 9, 2024</w:t>
            </w:r>
          </w:p>
        </w:tc>
        <w:tc>
          <w:tcPr>
            <w:tcW w:w="2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17,361</w:t>
            </w:r>
          </w:p>
        </w:tc>
        <w:tc>
          <w:tcPr>
            <w:tcW w:w="2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65,972</w:t>
            </w:r>
          </w:p>
        </w:tc>
        <w:tc>
          <w:tcPr>
            <w:tcW w:w="2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8.01</w:t>
            </w:r>
          </w:p>
        </w:tc>
        <w:tc>
          <w:tcPr>
            <w:tcW w:w="26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February 8, 2034</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p>
        </w:tc>
        <w:tc>
          <w:tcPr>
            <w:tcW w:w="146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1, 2023</w:t>
            </w:r>
          </w:p>
        </w:tc>
        <w:tc>
          <w:tcPr>
            <w:tcW w:w="14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June 1, 2023</w:t>
            </w: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68,750</w:t>
            </w:r>
          </w:p>
        </w:tc>
        <w:tc>
          <w:tcPr>
            <w:tcW w:w="24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81,250</w:t>
            </w:r>
          </w:p>
        </w:tc>
        <w:tc>
          <w:tcPr>
            <w:tcW w:w="26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4.74</w:t>
            </w:r>
          </w:p>
        </w:tc>
        <w:tc>
          <w:tcPr>
            <w:tcW w:w="260" w:type="dxa"/>
            <w:vAlign w:val="bottom"/>
          </w:tcPr>
          <w:p>
            <w:pPr>
              <w:spacing w:after="0"/>
              <w:rPr>
                <w:sz w:val="12"/>
                <w:szCs w:val="12"/>
                <w:color w:val="auto"/>
              </w:rPr>
            </w:pPr>
          </w:p>
        </w:tc>
        <w:tc>
          <w:tcPr>
            <w:tcW w:w="12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May 31, 2033</w:t>
            </w:r>
          </w:p>
        </w:tc>
        <w:tc>
          <w:tcPr>
            <w:tcW w:w="0" w:type="dxa"/>
            <w:vAlign w:val="bottom"/>
          </w:tcPr>
          <w:p>
            <w:pPr>
              <w:spacing w:after="0"/>
              <w:rPr>
                <w:sz w:val="1"/>
                <w:szCs w:val="1"/>
                <w:color w:val="auto"/>
              </w:rPr>
            </w:pPr>
          </w:p>
        </w:tc>
      </w:tr>
      <w:tr>
        <w:trPr>
          <w:trHeight w:val="147"/>
        </w:trPr>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p>
        </w:tc>
        <w:tc>
          <w:tcPr>
            <w:tcW w:w="146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1, 2022</w:t>
            </w:r>
          </w:p>
        </w:tc>
        <w:tc>
          <w:tcPr>
            <w:tcW w:w="14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11, 2022</w:t>
            </w: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377,777</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155,555</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9.18</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February 10, 2032</w:t>
            </w: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r>
              <w:rPr>
                <w:rFonts w:ascii="Times New Roman" w:cs="Times New Roman" w:eastAsia="Times New Roman" w:hAnsi="Times New Roman"/>
                <w:sz w:val="10"/>
                <w:szCs w:val="10"/>
                <w:color w:val="auto"/>
              </w:rPr>
              <w:t>(2)</w:t>
            </w:r>
          </w:p>
        </w:tc>
        <w:tc>
          <w:tcPr>
            <w:tcW w:w="146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1, 2022</w:t>
            </w:r>
          </w:p>
        </w:tc>
        <w:tc>
          <w:tcPr>
            <w:tcW w:w="14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January 31, 2022</w:t>
            </w: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7,333</w:t>
            </w:r>
          </w:p>
        </w:tc>
        <w:tc>
          <w:tcPr>
            <w:tcW w:w="240" w:type="dxa"/>
            <w:vAlign w:val="bottom"/>
          </w:tcPr>
          <w:p>
            <w:pPr>
              <w:spacing w:after="0"/>
              <w:rPr>
                <w:sz w:val="12"/>
                <w:szCs w:val="12"/>
                <w:color w:val="auto"/>
              </w:rPr>
            </w:pPr>
          </w:p>
        </w:tc>
        <w:tc>
          <w:tcPr>
            <w:tcW w:w="11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9.18</w:t>
            </w:r>
          </w:p>
        </w:tc>
        <w:tc>
          <w:tcPr>
            <w:tcW w:w="260" w:type="dxa"/>
            <w:vAlign w:val="bottom"/>
          </w:tcPr>
          <w:p>
            <w:pPr>
              <w:spacing w:after="0"/>
              <w:rPr>
                <w:sz w:val="12"/>
                <w:szCs w:val="12"/>
                <w:color w:val="auto"/>
              </w:rPr>
            </w:pPr>
          </w:p>
        </w:tc>
        <w:tc>
          <w:tcPr>
            <w:tcW w:w="12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January 30, 2032</w:t>
            </w:r>
          </w:p>
        </w:tc>
        <w:tc>
          <w:tcPr>
            <w:tcW w:w="0" w:type="dxa"/>
            <w:vAlign w:val="bottom"/>
          </w:tcPr>
          <w:p>
            <w:pPr>
              <w:spacing w:after="0"/>
              <w:rPr>
                <w:sz w:val="1"/>
                <w:szCs w:val="1"/>
                <w:color w:val="auto"/>
              </w:rPr>
            </w:pPr>
          </w:p>
        </w:tc>
      </w:tr>
      <w:tr>
        <w:trPr>
          <w:trHeight w:val="147"/>
        </w:trPr>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p>
        </w:tc>
        <w:tc>
          <w:tcPr>
            <w:tcW w:w="146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1, 2021</w:t>
            </w:r>
          </w:p>
        </w:tc>
        <w:tc>
          <w:tcPr>
            <w:tcW w:w="14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May 6, 2021</w:t>
            </w: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127,777</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5,555</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8.28</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May 5, 2031</w:t>
            </w: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p>
        </w:tc>
        <w:tc>
          <w:tcPr>
            <w:tcW w:w="146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September 1, 2019</w:t>
            </w:r>
          </w:p>
        </w:tc>
        <w:tc>
          <w:tcPr>
            <w:tcW w:w="14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August 22, 2019</w:t>
            </w: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181,315</w:t>
            </w:r>
          </w:p>
        </w:tc>
        <w:tc>
          <w:tcPr>
            <w:tcW w:w="240" w:type="dxa"/>
            <w:vAlign w:val="bottom"/>
          </w:tcPr>
          <w:p>
            <w:pPr>
              <w:spacing w:after="0"/>
              <w:rPr>
                <w:sz w:val="12"/>
                <w:szCs w:val="12"/>
                <w:color w:val="auto"/>
              </w:rPr>
            </w:pPr>
          </w:p>
        </w:tc>
        <w:tc>
          <w:tcPr>
            <w:tcW w:w="11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5.82</w:t>
            </w:r>
          </w:p>
        </w:tc>
        <w:tc>
          <w:tcPr>
            <w:tcW w:w="260" w:type="dxa"/>
            <w:vAlign w:val="bottom"/>
          </w:tcPr>
          <w:p>
            <w:pPr>
              <w:spacing w:after="0"/>
              <w:rPr>
                <w:sz w:val="12"/>
                <w:szCs w:val="12"/>
                <w:color w:val="auto"/>
              </w:rPr>
            </w:pPr>
          </w:p>
        </w:tc>
        <w:tc>
          <w:tcPr>
            <w:tcW w:w="12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August 21,2029</w:t>
            </w:r>
          </w:p>
        </w:tc>
        <w:tc>
          <w:tcPr>
            <w:tcW w:w="0" w:type="dxa"/>
            <w:vAlign w:val="bottom"/>
          </w:tcPr>
          <w:p>
            <w:pPr>
              <w:spacing w:after="0"/>
              <w:rPr>
                <w:sz w:val="1"/>
                <w:szCs w:val="1"/>
                <w:color w:val="auto"/>
              </w:rPr>
            </w:pPr>
          </w:p>
        </w:tc>
      </w:tr>
      <w:tr>
        <w:trPr>
          <w:trHeight w:val="147"/>
        </w:trPr>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r>
              <w:rPr>
                <w:rFonts w:ascii="Times New Roman" w:cs="Times New Roman" w:eastAsia="Times New Roman" w:hAnsi="Times New Roman"/>
                <w:sz w:val="10"/>
                <w:szCs w:val="10"/>
                <w:color w:val="auto"/>
              </w:rPr>
              <w:t>(2)</w:t>
            </w:r>
          </w:p>
        </w:tc>
        <w:tc>
          <w:tcPr>
            <w:tcW w:w="146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21, 2019</w:t>
            </w:r>
          </w:p>
        </w:tc>
        <w:tc>
          <w:tcPr>
            <w:tcW w:w="14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21, 2019</w:t>
            </w: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7,333</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3.48</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February 20, 2029</w:t>
            </w: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p>
        </w:tc>
        <w:tc>
          <w:tcPr>
            <w:tcW w:w="146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November 1, 2015</w:t>
            </w:r>
          </w:p>
        </w:tc>
        <w:tc>
          <w:tcPr>
            <w:tcW w:w="14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January 28, 2016</w:t>
            </w: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271,275</w:t>
            </w:r>
          </w:p>
        </w:tc>
        <w:tc>
          <w:tcPr>
            <w:tcW w:w="240" w:type="dxa"/>
            <w:vAlign w:val="bottom"/>
          </w:tcPr>
          <w:p>
            <w:pPr>
              <w:spacing w:after="0"/>
              <w:rPr>
                <w:sz w:val="12"/>
                <w:szCs w:val="12"/>
                <w:color w:val="auto"/>
              </w:rPr>
            </w:pPr>
          </w:p>
        </w:tc>
        <w:tc>
          <w:tcPr>
            <w:tcW w:w="11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2.55</w:t>
            </w:r>
          </w:p>
        </w:tc>
        <w:tc>
          <w:tcPr>
            <w:tcW w:w="260" w:type="dxa"/>
            <w:vAlign w:val="bottom"/>
          </w:tcPr>
          <w:p>
            <w:pPr>
              <w:spacing w:after="0"/>
              <w:rPr>
                <w:sz w:val="12"/>
                <w:szCs w:val="12"/>
                <w:color w:val="auto"/>
              </w:rPr>
            </w:pPr>
          </w:p>
        </w:tc>
        <w:tc>
          <w:tcPr>
            <w:tcW w:w="12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January 27, 2026</w:t>
            </w:r>
          </w:p>
        </w:tc>
        <w:tc>
          <w:tcPr>
            <w:tcW w:w="0" w:type="dxa"/>
            <w:vAlign w:val="bottom"/>
          </w:tcPr>
          <w:p>
            <w:pPr>
              <w:spacing w:after="0"/>
              <w:rPr>
                <w:sz w:val="1"/>
                <w:szCs w:val="1"/>
                <w:color w:val="auto"/>
              </w:rPr>
            </w:pPr>
          </w:p>
        </w:tc>
      </w:tr>
      <w:tr>
        <w:trPr>
          <w:trHeight w:val="147"/>
        </w:trPr>
        <w:tc>
          <w:tcPr>
            <w:tcW w:w="272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Steve Cook</w:t>
            </w:r>
          </w:p>
        </w:tc>
        <w:tc>
          <w:tcPr>
            <w:tcW w:w="12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p>
        </w:tc>
        <w:tc>
          <w:tcPr>
            <w:tcW w:w="146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1, 2024</w:t>
            </w:r>
          </w:p>
        </w:tc>
        <w:tc>
          <w:tcPr>
            <w:tcW w:w="14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9, 2024</w:t>
            </w: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10,416</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39,583</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8.01</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February 8, 2034</w:t>
            </w: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r>
              <w:rPr>
                <w:rFonts w:ascii="Times New Roman" w:cs="Times New Roman" w:eastAsia="Times New Roman" w:hAnsi="Times New Roman"/>
                <w:sz w:val="10"/>
                <w:szCs w:val="10"/>
                <w:color w:val="auto"/>
              </w:rPr>
              <w:t>(2)</w:t>
            </w:r>
          </w:p>
        </w:tc>
        <w:tc>
          <w:tcPr>
            <w:tcW w:w="146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1, 2022</w:t>
            </w:r>
          </w:p>
        </w:tc>
        <w:tc>
          <w:tcPr>
            <w:tcW w:w="14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January 31, 2022</w:t>
            </w: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7,333</w:t>
            </w:r>
          </w:p>
        </w:tc>
        <w:tc>
          <w:tcPr>
            <w:tcW w:w="240" w:type="dxa"/>
            <w:vAlign w:val="bottom"/>
          </w:tcPr>
          <w:p>
            <w:pPr>
              <w:spacing w:after="0"/>
              <w:rPr>
                <w:sz w:val="12"/>
                <w:szCs w:val="12"/>
                <w:color w:val="auto"/>
              </w:rPr>
            </w:pPr>
          </w:p>
        </w:tc>
        <w:tc>
          <w:tcPr>
            <w:tcW w:w="11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9.18</w:t>
            </w:r>
          </w:p>
        </w:tc>
        <w:tc>
          <w:tcPr>
            <w:tcW w:w="260" w:type="dxa"/>
            <w:vAlign w:val="bottom"/>
          </w:tcPr>
          <w:p>
            <w:pPr>
              <w:spacing w:after="0"/>
              <w:rPr>
                <w:sz w:val="12"/>
                <w:szCs w:val="12"/>
                <w:color w:val="auto"/>
              </w:rPr>
            </w:pPr>
          </w:p>
        </w:tc>
        <w:tc>
          <w:tcPr>
            <w:tcW w:w="12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January 30, 2032</w:t>
            </w:r>
          </w:p>
        </w:tc>
        <w:tc>
          <w:tcPr>
            <w:tcW w:w="0" w:type="dxa"/>
            <w:vAlign w:val="bottom"/>
          </w:tcPr>
          <w:p>
            <w:pPr>
              <w:spacing w:after="0"/>
              <w:rPr>
                <w:sz w:val="1"/>
                <w:szCs w:val="1"/>
                <w:color w:val="auto"/>
              </w:rPr>
            </w:pPr>
          </w:p>
        </w:tc>
      </w:tr>
      <w:tr>
        <w:trPr>
          <w:trHeight w:val="147"/>
        </w:trPr>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r>
              <w:rPr>
                <w:rFonts w:ascii="Times New Roman" w:cs="Times New Roman" w:eastAsia="Times New Roman" w:hAnsi="Times New Roman"/>
                <w:sz w:val="10"/>
                <w:szCs w:val="10"/>
                <w:color w:val="auto"/>
              </w:rPr>
              <w:t>(3)</w:t>
            </w:r>
          </w:p>
        </w:tc>
        <w:tc>
          <w:tcPr>
            <w:tcW w:w="146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July 12, 2021</w:t>
            </w:r>
          </w:p>
        </w:tc>
        <w:tc>
          <w:tcPr>
            <w:tcW w:w="14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July 20, 2021</w:t>
            </w: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284,721</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48,611</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8.28</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July 19, 2031</w:t>
            </w:r>
          </w:p>
        </w:tc>
        <w:tc>
          <w:tcPr>
            <w:tcW w:w="0" w:type="dxa"/>
            <w:vAlign w:val="bottom"/>
          </w:tcPr>
          <w:p>
            <w:pPr>
              <w:spacing w:after="0"/>
              <w:rPr>
                <w:sz w:val="1"/>
                <w:szCs w:val="1"/>
                <w:color w:val="auto"/>
              </w:rPr>
            </w:pPr>
          </w:p>
        </w:tc>
      </w:tr>
      <w:tr>
        <w:trPr>
          <w:trHeight w:val="147"/>
        </w:trPr>
        <w:tc>
          <w:tcPr>
            <w:tcW w:w="272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Wei-Li Shao</w:t>
            </w:r>
          </w:p>
        </w:tc>
        <w:tc>
          <w:tcPr>
            <w:tcW w:w="12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p>
        </w:tc>
        <w:tc>
          <w:tcPr>
            <w:tcW w:w="146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1, 2024</w:t>
            </w:r>
          </w:p>
        </w:tc>
        <w:tc>
          <w:tcPr>
            <w:tcW w:w="14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9, 2024</w:t>
            </w: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17,361</w:t>
            </w:r>
          </w:p>
        </w:tc>
        <w:tc>
          <w:tcPr>
            <w:tcW w:w="24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65,972</w:t>
            </w:r>
          </w:p>
        </w:tc>
        <w:tc>
          <w:tcPr>
            <w:tcW w:w="26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8.01</w:t>
            </w:r>
          </w:p>
        </w:tc>
        <w:tc>
          <w:tcPr>
            <w:tcW w:w="260" w:type="dxa"/>
            <w:vAlign w:val="bottom"/>
          </w:tcPr>
          <w:p>
            <w:pPr>
              <w:spacing w:after="0"/>
              <w:rPr>
                <w:sz w:val="12"/>
                <w:szCs w:val="12"/>
                <w:color w:val="auto"/>
              </w:rPr>
            </w:pPr>
          </w:p>
        </w:tc>
        <w:tc>
          <w:tcPr>
            <w:tcW w:w="12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February 8, 2034</w:t>
            </w:r>
          </w:p>
        </w:tc>
        <w:tc>
          <w:tcPr>
            <w:tcW w:w="0" w:type="dxa"/>
            <w:vAlign w:val="bottom"/>
          </w:tcPr>
          <w:p>
            <w:pPr>
              <w:spacing w:after="0"/>
              <w:rPr>
                <w:sz w:val="1"/>
                <w:szCs w:val="1"/>
                <w:color w:val="auto"/>
              </w:rPr>
            </w:pPr>
          </w:p>
        </w:tc>
      </w:tr>
      <w:tr>
        <w:trPr>
          <w:trHeight w:val="147"/>
        </w:trPr>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p>
        </w:tc>
        <w:tc>
          <w:tcPr>
            <w:tcW w:w="146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1, 2023</w:t>
            </w:r>
          </w:p>
        </w:tc>
        <w:tc>
          <w:tcPr>
            <w:tcW w:w="14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May 16, 2023</w:t>
            </w: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76,388</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90,278</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4.74</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May 15, 2033</w:t>
            </w: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r>
              <w:rPr>
                <w:rFonts w:ascii="Times New Roman" w:cs="Times New Roman" w:eastAsia="Times New Roman" w:hAnsi="Times New Roman"/>
                <w:sz w:val="10"/>
                <w:szCs w:val="10"/>
                <w:color w:val="auto"/>
              </w:rPr>
              <w:t>(2)</w:t>
            </w:r>
          </w:p>
        </w:tc>
        <w:tc>
          <w:tcPr>
            <w:tcW w:w="146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1, 2022</w:t>
            </w:r>
          </w:p>
        </w:tc>
        <w:tc>
          <w:tcPr>
            <w:tcW w:w="14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January 31, 2022</w:t>
            </w: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7,333</w:t>
            </w:r>
          </w:p>
        </w:tc>
        <w:tc>
          <w:tcPr>
            <w:tcW w:w="240" w:type="dxa"/>
            <w:vAlign w:val="bottom"/>
          </w:tcPr>
          <w:p>
            <w:pPr>
              <w:spacing w:after="0"/>
              <w:rPr>
                <w:sz w:val="12"/>
                <w:szCs w:val="12"/>
                <w:color w:val="auto"/>
              </w:rPr>
            </w:pPr>
          </w:p>
        </w:tc>
        <w:tc>
          <w:tcPr>
            <w:tcW w:w="11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9.18</w:t>
            </w:r>
          </w:p>
        </w:tc>
        <w:tc>
          <w:tcPr>
            <w:tcW w:w="260" w:type="dxa"/>
            <w:vAlign w:val="bottom"/>
          </w:tcPr>
          <w:p>
            <w:pPr>
              <w:spacing w:after="0"/>
              <w:rPr>
                <w:sz w:val="12"/>
                <w:szCs w:val="12"/>
                <w:color w:val="auto"/>
              </w:rPr>
            </w:pPr>
          </w:p>
        </w:tc>
        <w:tc>
          <w:tcPr>
            <w:tcW w:w="12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January 30, 2032</w:t>
            </w:r>
          </w:p>
        </w:tc>
        <w:tc>
          <w:tcPr>
            <w:tcW w:w="0" w:type="dxa"/>
            <w:vAlign w:val="bottom"/>
          </w:tcPr>
          <w:p>
            <w:pPr>
              <w:spacing w:after="0"/>
              <w:rPr>
                <w:sz w:val="1"/>
                <w:szCs w:val="1"/>
                <w:color w:val="auto"/>
              </w:rPr>
            </w:pPr>
          </w:p>
        </w:tc>
      </w:tr>
      <w:tr>
        <w:trPr>
          <w:trHeight w:val="147"/>
        </w:trPr>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p>
        </w:tc>
        <w:tc>
          <w:tcPr>
            <w:tcW w:w="146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September 1, 2021</w:t>
            </w:r>
          </w:p>
        </w:tc>
        <w:tc>
          <w:tcPr>
            <w:tcW w:w="14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January 31, 2022</w:t>
            </w: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81,250</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18,750</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9.18</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January 30, 2032</w:t>
            </w: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r>
              <w:rPr>
                <w:rFonts w:ascii="Times New Roman" w:cs="Times New Roman" w:eastAsia="Times New Roman" w:hAnsi="Times New Roman"/>
                <w:sz w:val="10"/>
                <w:szCs w:val="10"/>
                <w:color w:val="auto"/>
              </w:rPr>
              <w:t>(4)</w:t>
            </w:r>
          </w:p>
        </w:tc>
        <w:tc>
          <w:tcPr>
            <w:tcW w:w="146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1, 2022</w:t>
            </w:r>
          </w:p>
        </w:tc>
        <w:tc>
          <w:tcPr>
            <w:tcW w:w="14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July 6, 2020</w:t>
            </w: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40,000</w:t>
            </w:r>
          </w:p>
        </w:tc>
        <w:tc>
          <w:tcPr>
            <w:tcW w:w="240" w:type="dxa"/>
            <w:vAlign w:val="bottom"/>
          </w:tcPr>
          <w:p>
            <w:pPr>
              <w:spacing w:after="0"/>
              <w:rPr>
                <w:sz w:val="12"/>
                <w:szCs w:val="12"/>
                <w:color w:val="auto"/>
              </w:rPr>
            </w:pPr>
          </w:p>
        </w:tc>
        <w:tc>
          <w:tcPr>
            <w:tcW w:w="11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6.81</w:t>
            </w:r>
          </w:p>
        </w:tc>
        <w:tc>
          <w:tcPr>
            <w:tcW w:w="260" w:type="dxa"/>
            <w:vAlign w:val="bottom"/>
          </w:tcPr>
          <w:p>
            <w:pPr>
              <w:spacing w:after="0"/>
              <w:rPr>
                <w:sz w:val="12"/>
                <w:szCs w:val="12"/>
                <w:color w:val="auto"/>
              </w:rPr>
            </w:pPr>
          </w:p>
        </w:tc>
        <w:tc>
          <w:tcPr>
            <w:tcW w:w="12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July 5, 2030</w:t>
            </w:r>
          </w:p>
        </w:tc>
        <w:tc>
          <w:tcPr>
            <w:tcW w:w="0" w:type="dxa"/>
            <w:vAlign w:val="bottom"/>
          </w:tcPr>
          <w:p>
            <w:pPr>
              <w:spacing w:after="0"/>
              <w:rPr>
                <w:sz w:val="1"/>
                <w:szCs w:val="1"/>
                <w:color w:val="auto"/>
              </w:rPr>
            </w:pPr>
          </w:p>
        </w:tc>
      </w:tr>
      <w:tr>
        <w:trPr>
          <w:trHeight w:val="147"/>
        </w:trPr>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r>
              <w:rPr>
                <w:rFonts w:ascii="Times New Roman" w:cs="Times New Roman" w:eastAsia="Times New Roman" w:hAnsi="Times New Roman"/>
                <w:sz w:val="10"/>
                <w:szCs w:val="10"/>
                <w:color w:val="auto"/>
              </w:rPr>
              <w:t>(5)</w:t>
            </w:r>
          </w:p>
        </w:tc>
        <w:tc>
          <w:tcPr>
            <w:tcW w:w="146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1, 2021</w:t>
            </w:r>
          </w:p>
        </w:tc>
        <w:tc>
          <w:tcPr>
            <w:tcW w:w="14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July 6,2020</w:t>
            </w: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21,869</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6.81</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July 5, 2030</w:t>
            </w: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r>
              <w:rPr>
                <w:rFonts w:ascii="Times New Roman" w:cs="Times New Roman" w:eastAsia="Times New Roman" w:hAnsi="Times New Roman"/>
                <w:sz w:val="10"/>
                <w:szCs w:val="10"/>
                <w:color w:val="auto"/>
              </w:rPr>
              <w:t>(6)</w:t>
            </w:r>
          </w:p>
        </w:tc>
        <w:tc>
          <w:tcPr>
            <w:tcW w:w="146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1, 2020</w:t>
            </w:r>
          </w:p>
        </w:tc>
        <w:tc>
          <w:tcPr>
            <w:tcW w:w="14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March 26,2020</w:t>
            </w: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33,333</w:t>
            </w:r>
          </w:p>
        </w:tc>
        <w:tc>
          <w:tcPr>
            <w:tcW w:w="240" w:type="dxa"/>
            <w:vAlign w:val="bottom"/>
          </w:tcPr>
          <w:p>
            <w:pPr>
              <w:spacing w:after="0"/>
              <w:rPr>
                <w:sz w:val="12"/>
                <w:szCs w:val="12"/>
                <w:color w:val="auto"/>
              </w:rPr>
            </w:pPr>
          </w:p>
        </w:tc>
        <w:tc>
          <w:tcPr>
            <w:tcW w:w="11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6.30</w:t>
            </w:r>
          </w:p>
        </w:tc>
        <w:tc>
          <w:tcPr>
            <w:tcW w:w="260" w:type="dxa"/>
            <w:vAlign w:val="bottom"/>
          </w:tcPr>
          <w:p>
            <w:pPr>
              <w:spacing w:after="0"/>
              <w:rPr>
                <w:sz w:val="12"/>
                <w:szCs w:val="12"/>
                <w:color w:val="auto"/>
              </w:rPr>
            </w:pPr>
          </w:p>
        </w:tc>
        <w:tc>
          <w:tcPr>
            <w:tcW w:w="12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March 25, 2030</w:t>
            </w:r>
          </w:p>
        </w:tc>
        <w:tc>
          <w:tcPr>
            <w:tcW w:w="0" w:type="dxa"/>
            <w:vAlign w:val="bottom"/>
          </w:tcPr>
          <w:p>
            <w:pPr>
              <w:spacing w:after="0"/>
              <w:rPr>
                <w:sz w:val="1"/>
                <w:szCs w:val="1"/>
                <w:color w:val="auto"/>
              </w:rPr>
            </w:pPr>
          </w:p>
        </w:tc>
      </w:tr>
      <w:tr>
        <w:trPr>
          <w:trHeight w:val="147"/>
        </w:trPr>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r>
              <w:rPr>
                <w:rFonts w:ascii="Times New Roman" w:cs="Times New Roman" w:eastAsia="Times New Roman" w:hAnsi="Times New Roman"/>
                <w:sz w:val="10"/>
                <w:szCs w:val="10"/>
                <w:color w:val="auto"/>
              </w:rPr>
              <w:t>(6)</w:t>
            </w:r>
          </w:p>
        </w:tc>
        <w:tc>
          <w:tcPr>
            <w:tcW w:w="146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May 13, 2019</w:t>
            </w:r>
          </w:p>
        </w:tc>
        <w:tc>
          <w:tcPr>
            <w:tcW w:w="14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July 18, 2019</w:t>
            </w: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258,333</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5.82</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July 17, 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85090</wp:posOffset>
            </wp:positionV>
            <wp:extent cx="75501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44" w:lineRule="exact"/>
        <w:rPr>
          <w:sz w:val="20"/>
          <w:szCs w:val="20"/>
          <w:color w:val="auto"/>
        </w:rPr>
      </w:pPr>
    </w:p>
    <w:p>
      <w:pPr>
        <w:ind w:left="600" w:hanging="426"/>
        <w:spacing w:after="0" w:line="230" w:lineRule="auto"/>
        <w:tabs>
          <w:tab w:leader="none" w:pos="60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noted, each stock option vests and becomes exercisable as to 1/48th of the total number of shares underlying the stock option on each of the first 48 monthly anniversaries of the vesting commencement date, subject to continued service through the applicable vesting date.</w:t>
      </w:r>
    </w:p>
    <w:p>
      <w:pPr>
        <w:spacing w:after="0" w:line="1" w:lineRule="exact"/>
        <w:rPr>
          <w:rFonts w:ascii="Times New Roman" w:cs="Times New Roman" w:eastAsia="Times New Roman" w:hAnsi="Times New Roman"/>
          <w:sz w:val="14"/>
          <w:szCs w:val="14"/>
          <w:color w:val="auto"/>
        </w:rPr>
      </w:pPr>
    </w:p>
    <w:p>
      <w:pPr>
        <w:ind w:left="600" w:hanging="426"/>
        <w:spacing w:after="0" w:line="219" w:lineRule="auto"/>
        <w:tabs>
          <w:tab w:leader="none" w:pos="60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stock option that was fully vested on the vesting commencement date.</w:t>
      </w:r>
    </w:p>
    <w:p>
      <w:pPr>
        <w:jc w:val="both"/>
        <w:ind w:left="600" w:hanging="426"/>
        <w:spacing w:after="0" w:line="219" w:lineRule="auto"/>
        <w:tabs>
          <w:tab w:leader="none" w:pos="60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stock option that vested as to 25% of the total number of shares underlying the stock option on the first anniversary of the vesting commencement date and thereafter vested or vests as to 1/48th of the total number of shares underlying the stock option on each of the first 48 monthly anniversaries of the vesting commencement date, subject to continued service through the applicable vesting date.</w:t>
      </w:r>
    </w:p>
    <w:p>
      <w:pPr>
        <w:ind w:left="600" w:right="20" w:hanging="426"/>
        <w:spacing w:after="0" w:line="219" w:lineRule="auto"/>
        <w:tabs>
          <w:tab w:leader="none" w:pos="60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stock option that vested as to 1/16th of the total number of shares underlying the stock option on each of the first 16 monthly anniversaries of the vesting commencement date. The number of shares subject to the option was determined based on achievement of applicable revenue goals during calendar year 2021.</w:t>
      </w:r>
    </w:p>
    <w:p>
      <w:pPr>
        <w:jc w:val="both"/>
        <w:ind w:left="600" w:hanging="426"/>
        <w:spacing w:after="0" w:line="219" w:lineRule="auto"/>
        <w:tabs>
          <w:tab w:leader="none" w:pos="60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stock option that vested as to 1/28th of the total number of shares underlying the stock option on each of the first 28 monthly anniversaries of the vesting commencement date, subject to continued service through the applicable vesting date. The number of shares subject to the option was determined based on achievement of applicable revenue goals during calendar year 2020.</w:t>
      </w:r>
    </w:p>
    <w:p>
      <w:pPr>
        <w:jc w:val="both"/>
        <w:ind w:left="600" w:hanging="426"/>
        <w:spacing w:after="0" w:line="229" w:lineRule="auto"/>
        <w:tabs>
          <w:tab w:leader="none" w:pos="60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stock option that vested as to 25% of the total number of shares underlying the stock option on the first anniversary of the vesting commencement date and thereafter vested as to 1/48th of the total number of shares underlying the stock option on each of the first 48 monthly anniversaries of the vesting commencement date, subject to continued service through the applicable vesting date.</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Executive Offer Letters</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Steve Cook Offer Letter</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Mr. Cook is party to an employment offer letter, dated June 10, 2021, pursuant to which Mr. Cook serves as our Chief Financial Officer.</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Mr. Cook’s employment pursuant to the offer letter is “at-will” and is terminable by either party with or without notice or cause.</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080"/>
          </w:cols>
          <w:pgMar w:left="320" w:top="451" w:right="49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Pursuant to his offer letter, Mr. Cook was entitled to receive a base salary and participation in our annual bonus plan. Mr. Cook was also paid a signing bonus in the amount of $80,000, subject to clawback in the event that Mr. Cook’s employment with us terminated within one year. In addition, pursuant to his offer letter, Mr. Cook is eligible to receive an annual award of stock options, with the number of shares subject to the award determined based on achievement of applicable performance goals, determined by us in our sole discretion, with such award subject to the terms and conditions set forth in the 2011 Plan and a separate award agreement. The offer letter also provides that Mr. Cook will be eligible to participate in employee benefit plans maintained by us for our employees from time to time. In connection with the commencement of Mr. Cook’s employment, he was granted two stock option grants, where one vests based on continued service over four years and one vests based on both a continued service schedule over four years plus the achievement of a qualified financing.</w:t>
      </w:r>
    </w:p>
    <w:p>
      <w:pPr>
        <w:spacing w:after="0" w:line="185"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Mr. Cook’s offer letter also contains customary confidentiality restrictions and provides that disputes arising under the offer letter or related to Mr. Cook’s employment with us will be resolved through arbitration.</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Wei-Li Shao Offer Letter</w:t>
      </w:r>
    </w:p>
    <w:p>
      <w:pPr>
        <w:spacing w:after="0" w:line="222"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Mr. Shao is party to an employment offer letter, dated April 30, 2019, pursuant to which Mr. Shao initially served as our Chief Commercial Officer (Mr. Shao’s title was changed to President effective as of December 16, 2021). Mr. Shao’s employment pursuant to the offer letter is “at-will” and is terminable by either party with or without notice or cause.</w:t>
      </w:r>
    </w:p>
    <w:p>
      <w:pPr>
        <w:spacing w:after="0" w:line="177" w:lineRule="exact"/>
        <w:rPr>
          <w:sz w:val="20"/>
          <w:szCs w:val="20"/>
          <w:color w:val="auto"/>
        </w:rPr>
      </w:pPr>
    </w:p>
    <w:p>
      <w:pPr>
        <w:jc w:val="both"/>
        <w:ind w:left="180" w:right="20" w:firstLine="436"/>
        <w:spacing w:after="0" w:line="253" w:lineRule="auto"/>
        <w:rPr>
          <w:sz w:val="20"/>
          <w:szCs w:val="20"/>
          <w:color w:val="auto"/>
        </w:rPr>
      </w:pPr>
      <w:r>
        <w:rPr>
          <w:rFonts w:ascii="Times New Roman" w:cs="Times New Roman" w:eastAsia="Times New Roman" w:hAnsi="Times New Roman"/>
          <w:sz w:val="18"/>
          <w:szCs w:val="18"/>
          <w:color w:val="auto"/>
        </w:rPr>
        <w:t>Pursuant to his offer letter, Mr. Shao was entitled to receive a base salary and participation in our annual incentive compensation plans. The offer letter also provides that Mr. Shao will be eligible to participate in employee benefit plans maintained by us for our employees from time to time and will be reimbursed for reasonable business expenses in accordance with our policies. Pursuant to his offer letter, we agreed to reimburse Mr. Shao for reasonable expenses incurred in connection with his relocation to San Francisco, California, capped at $50,000 and subject to clawback in the event of a termination within one year of commencing employment. Pursuant to his offer letter, Mr. Shao was granted four stock option grants which vested based on continued service, achievement of certain performance goals, or a combination of the foregoing.</w:t>
      </w:r>
    </w:p>
    <w:p>
      <w:pPr>
        <w:spacing w:after="0" w:line="187"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Mr. Shao’s offer letter also contains customary confidentiality restrictions and provides that disputes arising under the offer letter or related to Mr. Shao’s employment with us will be resolved through arbitration.</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Change in Control and Severance Agreements</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7"/>
          <w:szCs w:val="17"/>
          <w:color w:val="auto"/>
        </w:rPr>
        <w:t>In connection with this offering, we have entered into an amended and restated change in control and severance agreement with each of our named executive officers, which will be effective as of the date on which the registration statement of which this prospectus is a part becomes effective and will supersede and replace the severance payments and benefits that such executives would otherwise be entitled to receive. The amended and restated change in control and severance agreements provide for an initial three-year term, followed by automatic one-year renewal terms.</w:t>
      </w:r>
    </w:p>
    <w:p>
      <w:pPr>
        <w:spacing w:after="0" w:line="166"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Pursuant to the amended and restated change in control and severance agreements, if the applicable named executive officer’s employment is terminated by us without “cause” or due to his resignation for “good reason” (each a “qualifying termination”) at any time other than during the period commencing three months preceding and ending 12 months following the consummation of a “change in control” (each such term, as defined in the amended and restated change in control and severance agreement, and such period the “change in control period”), then, subject to such named executive officer’s timely execution and non-revocation of a general release of claims and continued compliance with restrictive covenants, the named executive officer will be eligible to receive (i) a lump sum cash payment in an amount equal to a number of months of base salary (12 for Mr. Duffy and nine for Messrs. Cook and Shao) and (ii) provided that such named executive officer has timely elected COBRA, an amount equal to his COBRA premiums until the earlier to occur of (a) with respect to Mr.</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080"/>
          </w:cols>
          <w:pgMar w:left="320" w:top="451" w:right="49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62" w:lineRule="auto"/>
        <w:rPr>
          <w:sz w:val="20"/>
          <w:szCs w:val="20"/>
          <w:color w:val="auto"/>
        </w:rPr>
      </w:pPr>
      <w:r>
        <w:rPr>
          <w:rFonts w:ascii="Times New Roman" w:cs="Times New Roman" w:eastAsia="Times New Roman" w:hAnsi="Times New Roman"/>
          <w:sz w:val="18"/>
          <w:szCs w:val="18"/>
          <w:color w:val="auto"/>
        </w:rPr>
        <w:t>Duffy, the 12-month anniversary and, with respect to Messrs. Cook and Shao, the nine-month anniversary of such named executive officer’s termination date or (b) the date on which such named executive officer receives health benefits from another employer or is otherwise no longer eligible to receive COBRA.</w:t>
      </w:r>
    </w:p>
    <w:p>
      <w:pPr>
        <w:spacing w:after="0" w:line="177"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In lieu of the foregoing payments and benefits, in the event of a qualifying termination during the change in control period, then, subject to the named executive officer’s timely execution and non-revocation of a general release of claims and continued compliance with restrictive covenants, such named executive officer will be eligible to receive (i) a lump sum cash payment in an amount equal to the sum of (x) the named executive officer’s base salary for a period of months (18 for Mr. Duffy and 12 for each of Messrs. Cook and Shao) plus (y) a multiple of such named executive officer’s target annual bonus (1.5 for Mr. Duffy and one for Messrs. Cook and Shao), (ii) provided that such named executive officer has timely elected COBRA, an amount equal to his COBRA premiums until the earlier to occur of (a) with respect to Mr. Duffy the 18-month anniversary and, with respect to Messrs. Cook and Shao, the 12-month anniversary of such named executive officer’s termination date or (b) the date on which such named executive officer receives health benefits from another employer or is otherwise no longer eligible to receive COBRA, and (iii) full accelerated vesting of the named executive officer’s outstanding and unvested time-vesting equity awards (performance-vesting equity awards are governed by the applicable award agreement).</w:t>
      </w:r>
    </w:p>
    <w:p>
      <w:pPr>
        <w:spacing w:after="0" w:line="186"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Pursuant to the amended and restated change in control and severance agreement, in the event that any amounts payable to the named executive officers are subject to an excise tax pursuant to Section 280G or Section 4999 of the U.S. Internal Revenue Code of 1986, as amended (the “Code”), such named executive officer will receive either (i) the full amount of such payments or (ii) such payments reduced to the least extent necessary to prevent the application of such excise tax, whichever will result in the greatest after tax benefit to the named executive officer.</w:t>
      </w:r>
    </w:p>
    <w:p>
      <w:pPr>
        <w:spacing w:after="0" w:line="182"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The amended and restated change in control and severance agreements contain customary non-disparagement provisions and affirm existing obligations under the named executive officers’ employee invention assignment and confidentiality agreement (or analogous agreement) with us.</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The following summarizes the material terms of the 2025 Plan, in which our named executive officers will be eligible to participate following the consummation of this offering, as well as the material terms of the 2011 Plan, under which we have previously made periodic grants of equity and equity-based awards to our named executive officers and other key employees.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2025 Plan</w:t>
      </w:r>
    </w:p>
    <w:p>
      <w:pPr>
        <w:spacing w:after="0" w:line="224"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We have adopted, and our stockholders have approved, the 2025 Plan, which will be effective on the day immediately prior to the effectiveness of the registration statement of which this prospectus is a part. The principal purpose of the 2025 Plan is to attract, retain, and motivate selected employees, consultants, and directors through the granting of stock-based compensation awards and cash-based performance bonus awards. The material terms of the 2025 Plan, as it is currently contemplated, are summarized below.</w:t>
      </w:r>
    </w:p>
    <w:p>
      <w:pPr>
        <w:spacing w:after="0" w:line="180" w:lineRule="exact"/>
        <w:rPr>
          <w:sz w:val="20"/>
          <w:szCs w:val="20"/>
          <w:color w:val="auto"/>
        </w:rPr>
      </w:pPr>
    </w:p>
    <w:p>
      <w:pPr>
        <w:jc w:val="both"/>
        <w:ind w:left="180" w:firstLine="43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Share Reserve. </w:t>
      </w:r>
      <w:r>
        <w:rPr>
          <w:rFonts w:ascii="Times New Roman" w:cs="Times New Roman" w:eastAsia="Times New Roman" w:hAnsi="Times New Roman"/>
          <w:sz w:val="18"/>
          <w:szCs w:val="18"/>
          <w:color w:val="auto"/>
        </w:rPr>
        <w:t>Under the 2025 Plan, 5,045,541 shares of our common stock will be initially reserved for issuance pursuant to a variety of stock-based compensation awards, including stock options, stock appreciation rights (“SARs”), restricted stock awards, RSU awards, and other stock-based awards. The number of shares initially reserved for issuance pursuant to awards under the 2025 Plan will be increased by (i) the number of shares represented by awards outstanding under our 2011 Plan (“Prior Plan Awards”) that become available for issuance under the counting provisions described below following the effective date of the 2025 Plan and (ii) an annual increase on the first day of each calendar year beginning in calendar year 2026 and ending in calendar year 2035, equal to the lesser of (A) 5% of the shares of our common stock outstanding (on an as-converted</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080"/>
          </w:cols>
          <w:pgMar w:left="320" w:top="451" w:right="4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80" w:right="20"/>
        <w:spacing w:after="0" w:line="277" w:lineRule="auto"/>
        <w:rPr>
          <w:sz w:val="20"/>
          <w:szCs w:val="20"/>
          <w:color w:val="auto"/>
        </w:rPr>
      </w:pPr>
      <w:r>
        <w:rPr>
          <w:rFonts w:ascii="Times New Roman" w:cs="Times New Roman" w:eastAsia="Times New Roman" w:hAnsi="Times New Roman"/>
          <w:sz w:val="18"/>
          <w:szCs w:val="18"/>
          <w:color w:val="auto"/>
        </w:rPr>
        <w:t>basis) on the last day of the immediately preceding fiscal year and (B) such smaller number of shares of stock as determined by our board of directors; provided, however, that no more than 15,136,624 shares of stock may be issued upon the exercise of incentive stock options (“ISOs”).</w:t>
      </w:r>
    </w:p>
    <w:p>
      <w:pPr>
        <w:spacing w:after="0" w:line="16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counting provisions will be in effect for the share reserve under the 2025 Plan:</w:t>
      </w:r>
    </w:p>
    <w:p>
      <w:pPr>
        <w:spacing w:after="0" w:line="247" w:lineRule="exact"/>
        <w:rPr>
          <w:sz w:val="20"/>
          <w:szCs w:val="20"/>
          <w:color w:val="auto"/>
        </w:rPr>
      </w:pPr>
    </w:p>
    <w:p>
      <w:pPr>
        <w:ind w:left="1140" w:right="20" w:hanging="539"/>
        <w:spacing w:after="0" w:line="308" w:lineRule="auto"/>
        <w:tabs>
          <w:tab w:leader="none" w:pos="11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an award (including a Prior Plan Award) terminates, is forfeited, expires, or lapses for any reason or an award is settled in cash without the delivery of shares, any shares subject to the award at such time will be available for future grants under the 2025 Plan;</w:t>
      </w:r>
    </w:p>
    <w:p>
      <w:pPr>
        <w:spacing w:after="0" w:line="166" w:lineRule="exact"/>
        <w:rPr>
          <w:rFonts w:ascii="Times New Roman" w:cs="Times New Roman" w:eastAsia="Times New Roman" w:hAnsi="Times New Roman"/>
          <w:sz w:val="17"/>
          <w:szCs w:val="17"/>
          <w:color w:val="auto"/>
        </w:rPr>
      </w:pPr>
    </w:p>
    <w:p>
      <w:pPr>
        <w:ind w:left="1140" w:hanging="539"/>
        <w:spacing w:after="0" w:line="277" w:lineRule="auto"/>
        <w:tabs>
          <w:tab w:leader="none" w:pos="11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shares are tendered or withheld to satisfy the grant, exercise price, or tax withholding obligation with respect to any award under the 2025 Plan or a Prior Plan Award, such tendered or withheld shares will be available for future grants under the 2025 Plan;</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shares subject to SARs are not issued in connection with the stock settlement of SARs on exercise thereof, such shares will be available for future grants under the 2025 Plan;</w:t>
      </w:r>
    </w:p>
    <w:p>
      <w:pPr>
        <w:spacing w:after="0" w:line="190"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shares of our common stock are repurchased by us prior to vesting so that shares are returned to us, such shares will be available for future grants under the 2025 Plan;</w:t>
      </w:r>
    </w:p>
    <w:p>
      <w:pPr>
        <w:spacing w:after="0" w:line="190"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 equivalents in cash in conjunction with any outstanding awards or Prior Plan Awards will not be counted against the shares available for issuance under the 2025 Plan; and</w:t>
      </w:r>
    </w:p>
    <w:p>
      <w:pPr>
        <w:spacing w:after="0" w:line="190" w:lineRule="exact"/>
        <w:rPr>
          <w:rFonts w:ascii="Times New Roman" w:cs="Times New Roman" w:eastAsia="Times New Roman" w:hAnsi="Times New Roman"/>
          <w:sz w:val="18"/>
          <w:szCs w:val="18"/>
          <w:color w:val="auto"/>
        </w:rPr>
      </w:pPr>
    </w:p>
    <w:p>
      <w:pPr>
        <w:jc w:val="both"/>
        <w:ind w:left="1140" w:hanging="539"/>
        <w:spacing w:after="0" w:line="262" w:lineRule="auto"/>
        <w:tabs>
          <w:tab w:leader="none" w:pos="11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or any exchange rule, shares issued in assumption of, or in substitution for, any outstanding awards of any entity acquired in any form of combination by us or any of our subsidiaries will not be counted against the shares available for issuance under the 2025 Plan.</w:t>
      </w:r>
    </w:p>
    <w:p>
      <w:pPr>
        <w:spacing w:after="0" w:line="177"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In addition, the sum of the grant date fair value of all equity-based awards and the maximum that may become payable pursuant to all cash-based awards to any individual for services as a non-employee director during any calendar year may not exceed $750,000 (or $1,000,000 for such individual’s first year of service).</w:t>
      </w:r>
    </w:p>
    <w:p>
      <w:pPr>
        <w:spacing w:after="0" w:line="175" w:lineRule="exact"/>
        <w:rPr>
          <w:sz w:val="20"/>
          <w:szCs w:val="20"/>
          <w:color w:val="auto"/>
        </w:rPr>
      </w:pPr>
    </w:p>
    <w:p>
      <w:pPr>
        <w:jc w:val="both"/>
        <w:ind w:left="180" w:right="20" w:firstLine="436"/>
        <w:spacing w:after="0" w:line="253"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compensation committee of our board of directors will administer the 2025 Plan unless our board of directors assumes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for administration. The compensation committee must consist of at least three members of our board of directors, each of whom is intended to qualify as a “non-employee director” for purposes of Rule 16b-3 under the Exchange Act and an “independent director” within the meaning of the rules of the Nasdaq Stock Market LLC, or other principal securities market on which shares of our common stock are traded. The 2025 Plan provides that the board of directors or compensation committee may delegate its authority to grant awards to employees other than executive officers and certain senior executives of the company to a committee consisting of one or more members of our board of directors or one or more of our officers, other than awards made to our non-employee directors, which must be approved by our full board of directors.</w:t>
      </w:r>
    </w:p>
    <w:p>
      <w:pPr>
        <w:spacing w:after="0" w:line="18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Subject to the terms and conditions of the 2025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2025 Plan. The administrator is also authorized to adopt, amend, or rescind rules relating to administration of the 2025 Plan. Our board of directors may at any time remove the compensation committee as the administrator and revest in itself the authority to administer the 2025 Plan. The full board of directors will administer the 2025 Plan with respect to awards to non-employee directors.</w:t>
      </w:r>
    </w:p>
    <w:p>
      <w:pPr>
        <w:spacing w:after="0" w:line="185" w:lineRule="exact"/>
        <w:rPr>
          <w:sz w:val="20"/>
          <w:szCs w:val="20"/>
          <w:color w:val="auto"/>
        </w:rPr>
      </w:pPr>
    </w:p>
    <w:p>
      <w:pPr>
        <w:jc w:val="both"/>
        <w:ind w:left="180" w:right="20" w:firstLine="436"/>
        <w:spacing w:after="0" w:line="263"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Options, SARs, restricted stock, RSUs, and all other stock-based and cash-based awards under the 2025 Plan may be granted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individuals who are then our officers, employees, or consultants or are the officers, employees, or consultants of our subsidiaries. Such awards also may be granted to our directors. Only employees of our company or of our subsidiaries may be granted ISOs.</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080"/>
          </w:cols>
          <w:pgMar w:left="320" w:top="451" w:right="4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6" w:lineRule="exact"/>
        <w:rPr>
          <w:sz w:val="20"/>
          <w:szCs w:val="20"/>
          <w:color w:val="auto"/>
        </w:rPr>
      </w:pPr>
    </w:p>
    <w:p>
      <w:pPr>
        <w:jc w:val="both"/>
        <w:ind w:left="180" w:firstLine="436"/>
        <w:spacing w:after="0" w:line="263" w:lineRule="auto"/>
        <w:rPr>
          <w:sz w:val="20"/>
          <w:szCs w:val="20"/>
          <w:color w:val="auto"/>
        </w:rPr>
      </w:pP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The 2025 Plan provides that the administrator may grant or issue stock options, SARs, restricted stock, RSUs, other stock-based or cash-based awards and dividend equivalents, or any combination thereof. Each award will be set forth in a separate agreement with the person receiving the award and will indicate the type, terms, and conditions of the award.</w:t>
      </w:r>
    </w:p>
    <w:p>
      <w:pPr>
        <w:spacing w:after="0" w:line="201" w:lineRule="exact"/>
        <w:rPr>
          <w:sz w:val="20"/>
          <w:szCs w:val="20"/>
          <w:color w:val="auto"/>
        </w:rPr>
      </w:pPr>
    </w:p>
    <w:p>
      <w:pPr>
        <w:jc w:val="both"/>
        <w:ind w:left="1140" w:hanging="539"/>
        <w:spacing w:after="0" w:line="253" w:lineRule="auto"/>
        <w:tabs>
          <w:tab w:leader="none" w:pos="11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Nonstatutory Stock Options </w:t>
      </w:r>
      <w:r>
        <w:rPr>
          <w:rFonts w:ascii="Times New Roman" w:cs="Times New Roman" w:eastAsia="Times New Roman" w:hAnsi="Times New Roman"/>
          <w:sz w:val="18"/>
          <w:szCs w:val="18"/>
          <w:color w:val="auto"/>
        </w:rPr>
        <w:t>(“NSOs”) will provide for the right to purchase shares of our common stock at a specified price which may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less than fair market value on the date of grant (except in the case of certain substitute awards or awards granted to participants not subject to Section 409A of the Code), and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ten years. NSOs may not be sold, or otherwise transferred or hypothecated, until the option is exercised and the holder receives the underlying shares.</w:t>
      </w:r>
    </w:p>
    <w:p>
      <w:pPr>
        <w:spacing w:after="0" w:line="209" w:lineRule="exact"/>
        <w:rPr>
          <w:rFonts w:ascii="Times New Roman" w:cs="Times New Roman" w:eastAsia="Times New Roman" w:hAnsi="Times New Roman"/>
          <w:sz w:val="18"/>
          <w:szCs w:val="18"/>
          <w:color w:val="auto"/>
        </w:rPr>
      </w:pPr>
    </w:p>
    <w:p>
      <w:pPr>
        <w:jc w:val="both"/>
        <w:ind w:left="1140" w:hanging="539"/>
        <w:spacing w:after="0" w:line="252" w:lineRule="auto"/>
        <w:tabs>
          <w:tab w:leader="none" w:pos="11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ISOs </w:t>
      </w:r>
      <w:r>
        <w:rPr>
          <w:rFonts w:ascii="Times New Roman" w:cs="Times New Roman" w:eastAsia="Times New Roman" w:hAnsi="Times New Roman"/>
          <w:sz w:val="18"/>
          <w:szCs w:val="18"/>
          <w:color w:val="auto"/>
        </w:rPr>
        <w:t>will be designed in a manner intended to comply with the provisions of Section 422 of the Code, and will be subject to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contained in the Code. Among such restrictions, ISOs must have an exercise price of not less than the fair market value of a share of common stock on the date of grant, may only be granted to employees and must not be exercisable after a period of ten years measured from the date of grant. In the case of an ISO granted to an individual who owns (or is deemed to own) at least 10% of the total combined voting power of all classes of our capital stock, the 2025 Plan provides that the exercise price must be at least 110% of the fair market value of a share of common stock on the date of grant and the ISO must not be exercisable after a period of five years measured from the date of grant. ISOs may not be sold, or otherwise transferred or hypothecated, until the option is exercised and the holder receives the underlying shares.</w:t>
      </w:r>
    </w:p>
    <w:p>
      <w:pPr>
        <w:spacing w:after="0" w:line="211" w:lineRule="exact"/>
        <w:rPr>
          <w:rFonts w:ascii="Times New Roman" w:cs="Times New Roman" w:eastAsia="Times New Roman" w:hAnsi="Times New Roman"/>
          <w:sz w:val="18"/>
          <w:szCs w:val="18"/>
          <w:color w:val="auto"/>
        </w:rPr>
      </w:pPr>
    </w:p>
    <w:p>
      <w:pPr>
        <w:jc w:val="both"/>
        <w:ind w:left="1140" w:hanging="539"/>
        <w:spacing w:after="0" w:line="254" w:lineRule="auto"/>
        <w:tabs>
          <w:tab w:leader="none" w:pos="11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may be granted to any eligible individual and made subject to such restrictions as may be determined by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typically, may be forfeited for no consideration or repurchased by us at the original purchase price if the conditions or restrictions on vesting are not met. In general, restricted stock may not be sold, or otherwise transferred or hypothecated until restrictions are removed or expire. Purchasers of restricted stock, unlike recipients of options, will have voting rights and will have the right to receive dividends, if any, prior to the time when the restrictions lapse; however, extraordinary dividends will generally be placed in escrow and will not be released until restrictions are removed or expire.</w:t>
      </w:r>
    </w:p>
    <w:p>
      <w:pPr>
        <w:spacing w:after="0" w:line="208" w:lineRule="exact"/>
        <w:rPr>
          <w:rFonts w:ascii="Times New Roman" w:cs="Times New Roman" w:eastAsia="Times New Roman" w:hAnsi="Times New Roman"/>
          <w:sz w:val="18"/>
          <w:szCs w:val="18"/>
          <w:color w:val="auto"/>
        </w:rPr>
      </w:pPr>
    </w:p>
    <w:p>
      <w:pPr>
        <w:jc w:val="both"/>
        <w:ind w:left="1140" w:hanging="539"/>
        <w:spacing w:after="0" w:line="255" w:lineRule="auto"/>
        <w:tabs>
          <w:tab w:leader="none" w:pos="11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RSUs </w:t>
      </w:r>
      <w:r>
        <w:rPr>
          <w:rFonts w:ascii="Times New Roman" w:cs="Times New Roman" w:eastAsia="Times New Roman" w:hAnsi="Times New Roman"/>
          <w:sz w:val="18"/>
          <w:szCs w:val="18"/>
          <w:color w:val="auto"/>
        </w:rPr>
        <w:t>may be awarded to any eligible individual, typically without payment of consideration, but subject to vesting conditions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continued employment or service or on performance criteria established by the administrator. Like restricted stock, RSUs may not be sold or otherwise transferred or hypothecated, until vesting conditions are removed or expire. Unlike restricted stock, stock underlying restricted stock units will not be issued until the restricted stock units have vested, and recipients of restricted stock units generally will have no voting or dividend rights prior to the time when vesting conditions are satisfied.</w:t>
      </w:r>
    </w:p>
    <w:p>
      <w:pPr>
        <w:spacing w:after="0" w:line="209" w:lineRule="exact"/>
        <w:rPr>
          <w:rFonts w:ascii="Times New Roman" w:cs="Times New Roman" w:eastAsia="Times New Roman" w:hAnsi="Times New Roman"/>
          <w:sz w:val="18"/>
          <w:szCs w:val="18"/>
          <w:color w:val="auto"/>
        </w:rPr>
      </w:pPr>
    </w:p>
    <w:p>
      <w:pPr>
        <w:jc w:val="both"/>
        <w:ind w:left="1140" w:hanging="539"/>
        <w:spacing w:after="0" w:line="255" w:lineRule="auto"/>
        <w:tabs>
          <w:tab w:leader="none" w:pos="11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SARs </w:t>
      </w:r>
      <w:r>
        <w:rPr>
          <w:rFonts w:ascii="Times New Roman" w:cs="Times New Roman" w:eastAsia="Times New Roman" w:hAnsi="Times New Roman"/>
          <w:sz w:val="18"/>
          <w:szCs w:val="18"/>
          <w:color w:val="auto"/>
        </w:rPr>
        <w:t>may be granted in connection with stock options or other awards, or separately. SARs granted in connection with stock options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awards typically will provide for payments to the holder based upon increases in the price of our common stock over a set exercise price. The exercise price of any SAR granted under the 2025 Plan must be at least 100% of the fair market value of a share of our common stock on the date of grant. SARs under the 2025 Plan will be settled in cash or shares of our common stock, or in a combination of both, at the election of the administrator.</w:t>
      </w:r>
    </w:p>
    <w:p>
      <w:pPr>
        <w:spacing w:after="0" w:line="209" w:lineRule="exact"/>
        <w:rPr>
          <w:rFonts w:ascii="Times New Roman" w:cs="Times New Roman" w:eastAsia="Times New Roman" w:hAnsi="Times New Roman"/>
          <w:sz w:val="18"/>
          <w:szCs w:val="18"/>
          <w:color w:val="auto"/>
        </w:rPr>
      </w:pPr>
    </w:p>
    <w:p>
      <w:pPr>
        <w:ind w:left="1140" w:right="20" w:hanging="539"/>
        <w:spacing w:after="0" w:line="279" w:lineRule="auto"/>
        <w:tabs>
          <w:tab w:leader="none" w:pos="11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Stock or Cash Based Awards </w:t>
      </w:r>
      <w:r>
        <w:rPr>
          <w:rFonts w:ascii="Times New Roman" w:cs="Times New Roman" w:eastAsia="Times New Roman" w:hAnsi="Times New Roman"/>
          <w:sz w:val="18"/>
          <w:szCs w:val="18"/>
          <w:color w:val="auto"/>
        </w:rPr>
        <w:t>are awards of cash, fully vested shares of our common stock, and other awards valued wholly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partially by referring to, or otherwise based on, shares of our common</w:t>
      </w:r>
    </w:p>
    <w:p>
      <w:pPr>
        <w:spacing w:after="0" w:line="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080"/>
          </w:cols>
          <w:pgMar w:left="320" w:top="451" w:right="4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140"/>
        <w:spacing w:after="0" w:line="255" w:lineRule="auto"/>
        <w:rPr>
          <w:sz w:val="20"/>
          <w:szCs w:val="20"/>
          <w:color w:val="auto"/>
        </w:rPr>
      </w:pPr>
      <w:r>
        <w:rPr>
          <w:rFonts w:ascii="Times New Roman" w:cs="Times New Roman" w:eastAsia="Times New Roman" w:hAnsi="Times New Roman"/>
          <w:sz w:val="18"/>
          <w:szCs w:val="18"/>
          <w:color w:val="auto"/>
        </w:rPr>
        <w:t>stock. Other stock-based or cash-based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stock-based or cash-based awards, which may include vesting conditions based on continued service, performance, and/or other conditions.</w:t>
      </w:r>
    </w:p>
    <w:p>
      <w:pPr>
        <w:spacing w:after="0" w:line="208" w:lineRule="exact"/>
        <w:rPr>
          <w:sz w:val="20"/>
          <w:szCs w:val="20"/>
          <w:color w:val="auto"/>
        </w:rPr>
      </w:pPr>
    </w:p>
    <w:p>
      <w:pPr>
        <w:jc w:val="both"/>
        <w:ind w:left="1140" w:hanging="539"/>
        <w:spacing w:after="0" w:line="254" w:lineRule="auto"/>
        <w:tabs>
          <w:tab w:leader="none" w:pos="11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Equivalents </w:t>
      </w:r>
      <w:r>
        <w:rPr>
          <w:rFonts w:ascii="Times New Roman" w:cs="Times New Roman" w:eastAsia="Times New Roman" w:hAnsi="Times New Roman"/>
          <w:sz w:val="18"/>
          <w:szCs w:val="18"/>
          <w:color w:val="auto"/>
        </w:rPr>
        <w:t>represent the right to receive the equivalent value of dividends paid on shares of our common stock and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alone or in tandem with awards other than stock options or SARs. Dividend equivalents are credited as of dividend payment dates during the period between a specified date and the date such award terminates or expires, as determined by the plan administrator. In addition, dividend equivalents with respect to shares covered by a performance award will only be paid to the participant at the same time or times and to the same extent that the vesting conditions, if any, are subsequently satisfied and the performance award vests with respect to such shares.</w:t>
      </w:r>
    </w:p>
    <w:p>
      <w:pPr>
        <w:spacing w:after="0" w:line="184"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Any award may be granted as a performance award, meaning that the award will be subject to vesting and/or payment based on the attainment of specified performance goals.</w:t>
      </w:r>
    </w:p>
    <w:p>
      <w:pPr>
        <w:spacing w:after="0" w:line="161" w:lineRule="exact"/>
        <w:rPr>
          <w:sz w:val="20"/>
          <w:szCs w:val="20"/>
          <w:color w:val="auto"/>
        </w:rPr>
      </w:pPr>
    </w:p>
    <w:p>
      <w:pPr>
        <w:jc w:val="both"/>
        <w:ind w:left="180" w:firstLine="436"/>
        <w:spacing w:after="0" w:line="254"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In the event of a change in control, unless the plan administrator elects to terminate an award in exchange for cash, rights,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The administrator may also make appropriate adjustments to awards under the 2025 Plan and is authorized to provide for the acceleration, cash-out, termination, assumption, substitution, or conversion of such awards in the event of a change in control or certain other unusual or nonrecurring events or transactions.</w:t>
      </w:r>
    </w:p>
    <w:p>
      <w:pPr>
        <w:spacing w:after="0" w:line="182"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i w:val="1"/>
          <w:iCs w:val="1"/>
          <w:color w:val="auto"/>
        </w:rPr>
        <w:t>Effect of Non-Assumption in a Change in Control</w:t>
      </w:r>
      <w:r>
        <w:rPr>
          <w:rFonts w:ascii="Times New Roman" w:cs="Times New Roman" w:eastAsia="Times New Roman" w:hAnsi="Times New Roman"/>
          <w:sz w:val="18"/>
          <w:szCs w:val="18"/>
          <w:color w:val="auto"/>
        </w:rPr>
        <w:t>. In the event that the acquirer in such change in control refuses to assume or substitute an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2025 Plan, such award will become fully vested and exercisable (other than performance-vesting awards which will be subject to the terms and conditions of the applicable award agreement), as applicable, and all forfeiture, repurchase, and other restrictions on such award will lapse, and, to the extent unexercised as of the consummation of such change in control, will terminate upon the consummation of the change in control in exchange for cash, rights, or other property.</w:t>
      </w:r>
    </w:p>
    <w:p>
      <w:pPr>
        <w:spacing w:after="0" w:line="183" w:lineRule="exact"/>
        <w:rPr>
          <w:sz w:val="20"/>
          <w:szCs w:val="20"/>
          <w:color w:val="auto"/>
        </w:rPr>
      </w:pPr>
    </w:p>
    <w:p>
      <w:pPr>
        <w:jc w:val="both"/>
        <w:ind w:left="180" w:right="20" w:firstLine="436"/>
        <w:spacing w:after="0" w:line="253" w:lineRule="auto"/>
        <w:rPr>
          <w:sz w:val="20"/>
          <w:szCs w:val="20"/>
          <w:color w:val="auto"/>
        </w:rPr>
      </w:pPr>
      <w:r>
        <w:rPr>
          <w:rFonts w:ascii="Times New Roman" w:cs="Times New Roman" w:eastAsia="Times New Roman" w:hAnsi="Times New Roman"/>
          <w:sz w:val="18"/>
          <w:szCs w:val="18"/>
          <w:i w:val="1"/>
          <w:iCs w:val="1"/>
          <w:color w:val="auto"/>
        </w:rPr>
        <w:t>Adjustments of Awards</w:t>
      </w:r>
      <w:r>
        <w:rPr>
          <w:rFonts w:ascii="Times New Roman" w:cs="Times New Roman" w:eastAsia="Times New Roman" w:hAnsi="Times New Roman"/>
          <w:sz w:val="18"/>
          <w:szCs w:val="18"/>
          <w:color w:val="auto"/>
        </w:rPr>
        <w:t>. In the event of any stock dividend or other distribution, stock split, reverse stock split, reorganization, combination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of shares, merger, consolidation, split-up, spin-off, recapitalization, repurchase, or any other corporate event affecting the number of outstanding shares of our common stock or the share price of our common stock that would require adjustments to the 2025 Plan or any awards under the 2025 Plan in order to prevent the dilution or enlargement of the potential benefits intended to be made available thereunder, the administrator will make appropriate, proportionate adjustments to: (i) the aggregate number and type of shares subject to the 2025 Plan; (ii) the number and kind of shares subject to outstanding awards and terms and conditions of outstanding awards (including, without limitation, any applicable performance targets or criteria with respect to such awards); and (iii) the grant or exercise price per share of any outstanding awards under the 2025 Plan.</w:t>
      </w:r>
    </w:p>
    <w:p>
      <w:pPr>
        <w:spacing w:after="0" w:line="182"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The administrator may terminate, amend, or modify the 2025 Plan at any time and from time to time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approval only to the extent required by applicable law, rule, or regulation (including any applicable stock exchange rule). Notwithstanding the foregoing, an option may be amended to reduce the per share exercise price below the per share exercise price of such option on the grant date and options may be granted in exchange for, or in connection with, the cancellation or surrender of options having a higher per share exercise price without receiving additional stockholder approval.</w:t>
      </w:r>
    </w:p>
    <w:p>
      <w:pPr>
        <w:spacing w:after="0" w:line="185"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No ISOs may be granted pursuant to the 2025 Plan after the tenth anniversary of the effective date of the 2025 Plan, and no additional annual share increases to the 2025 Plan’s aggregate share limit will occur from and</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080"/>
          </w:cols>
          <w:pgMar w:left="320" w:top="451" w:right="49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77" w:lineRule="auto"/>
        <w:rPr>
          <w:sz w:val="20"/>
          <w:szCs w:val="20"/>
          <w:color w:val="auto"/>
        </w:rPr>
      </w:pPr>
      <w:r>
        <w:rPr>
          <w:rFonts w:ascii="Times New Roman" w:cs="Times New Roman" w:eastAsia="Times New Roman" w:hAnsi="Times New Roman"/>
          <w:sz w:val="18"/>
          <w:szCs w:val="18"/>
          <w:color w:val="auto"/>
        </w:rPr>
        <w:t>after such anniversary. Any award that is outstanding on the termination date of the 2025 Plan will remain in force according to the terms of the 2025 Plan and the applicable award agreement.</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2011 Plan</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The 2011 Plan was adopted by our board of directors, effective as of May 20, 2011 and was amended effective as of each of January 16, 2013, April 4, 2014, July 9, 2015, September 3, 2015, January 28, 2016, May 9, 2017, June 6, 2019, July 1, 2020, March 9, 2021, December 16, 2021, March 8, 2022, June 1, 2023, December 5, 2023, and December 12, 2024. As of March 31, 2025, options to purchase 12,249,492 shares of our common stock at a weighted-average exercise price per share of $7.31 remained outstanding under the 2011 Plan.</w:t>
      </w:r>
    </w:p>
    <w:p>
      <w:pPr>
        <w:spacing w:after="0" w:line="180" w:lineRule="exact"/>
        <w:rPr>
          <w:sz w:val="20"/>
          <w:szCs w:val="20"/>
          <w:color w:val="auto"/>
        </w:rPr>
      </w:pPr>
    </w:p>
    <w:p>
      <w:pPr>
        <w:jc w:val="both"/>
        <w:ind w:left="18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2011 Plan is administered by our board of directors, or a committee thereof appointed by the board of directors and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least one member of the board of directors. The plan administrator has the authority and discretion to take any actions it deems necessary or advisable for the administration of the 2011 Plan. All decisions, interpretations, and other actions of the board of directors shall be final and binding on all participants and permitted transferees under the 2011 Plan.</w:t>
      </w:r>
    </w:p>
    <w:p>
      <w:pPr>
        <w:spacing w:after="0" w:line="179" w:lineRule="exact"/>
        <w:rPr>
          <w:sz w:val="20"/>
          <w:szCs w:val="20"/>
          <w:color w:val="auto"/>
        </w:rPr>
      </w:pPr>
    </w:p>
    <w:p>
      <w:pPr>
        <w:jc w:val="both"/>
        <w:ind w:left="180" w:firstLine="436"/>
        <w:spacing w:after="0" w:line="263"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Our employees and consultants, employees and consultants of our parents or subsidiaries, and non-employee members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are eligible to receive awards under the 2011 Plan, provided that only our employees or employees of our parents or subsidiaries may be granted awards intended as incentive stock options (“ISOs”).</w:t>
      </w:r>
    </w:p>
    <w:p>
      <w:pPr>
        <w:spacing w:after="0" w:line="174" w:lineRule="exact"/>
        <w:rPr>
          <w:sz w:val="20"/>
          <w:szCs w:val="20"/>
          <w:color w:val="auto"/>
        </w:rPr>
      </w:pPr>
    </w:p>
    <w:p>
      <w:pPr>
        <w:jc w:val="both"/>
        <w:ind w:left="180" w:firstLine="436"/>
        <w:spacing w:after="0" w:line="263" w:lineRule="auto"/>
        <w:rPr>
          <w:sz w:val="20"/>
          <w:szCs w:val="20"/>
          <w:color w:val="auto"/>
        </w:rPr>
      </w:pPr>
      <w:r>
        <w:rPr>
          <w:rFonts w:ascii="Times New Roman" w:cs="Times New Roman" w:eastAsia="Times New Roman" w:hAnsi="Times New Roman"/>
          <w:sz w:val="18"/>
          <w:szCs w:val="18"/>
          <w:i w:val="1"/>
          <w:iCs w:val="1"/>
          <w:color w:val="auto"/>
        </w:rPr>
        <w:t>Share Reserve</w:t>
      </w:r>
      <w:r>
        <w:rPr>
          <w:rFonts w:ascii="Times New Roman" w:cs="Times New Roman" w:eastAsia="Times New Roman" w:hAnsi="Times New Roman"/>
          <w:sz w:val="18"/>
          <w:szCs w:val="18"/>
          <w:color w:val="auto"/>
        </w:rPr>
        <w:t>. An aggregate of 18,376,158 shares of our common stock may be issued under the 2011 Plan. Shares previously issued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2011 Plan that are re-acquired by us, shares withheld in payment of purchase or exercise price or in respect of withholding taxes, and shares subject to awards that expire or are canceled, will, in each case, again be available for issuance under the 2011 Plan.</w:t>
      </w:r>
    </w:p>
    <w:p>
      <w:pPr>
        <w:spacing w:after="0" w:line="174" w:lineRule="exact"/>
        <w:rPr>
          <w:sz w:val="20"/>
          <w:szCs w:val="20"/>
          <w:color w:val="auto"/>
        </w:rPr>
      </w:pPr>
    </w:p>
    <w:p>
      <w:pPr>
        <w:jc w:val="both"/>
        <w:ind w:left="180" w:right="20" w:firstLine="436"/>
        <w:spacing w:after="0" w:line="263" w:lineRule="auto"/>
        <w:rPr>
          <w:sz w:val="20"/>
          <w:szCs w:val="20"/>
          <w:color w:val="auto"/>
        </w:rPr>
      </w:pP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The 2011 Plan provides that the plan administrator may grant or issue stock options, stock awards, or rights to purchase stock to eligible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consultants, and directors. In general, awards granted under the 2011 Plan may not be sold or otherwise transferred except, in the case of stock options, pursuant to a beneficiary designation, by will, or in accordance with the laws of descent and distribution.</w:t>
      </w:r>
    </w:p>
    <w:p>
      <w:pPr>
        <w:spacing w:after="0" w:line="201" w:lineRule="exact"/>
        <w:rPr>
          <w:sz w:val="20"/>
          <w:szCs w:val="20"/>
          <w:color w:val="auto"/>
        </w:rPr>
      </w:pPr>
    </w:p>
    <w:p>
      <w:pPr>
        <w:jc w:val="both"/>
        <w:ind w:left="1140" w:hanging="539"/>
        <w:spacing w:after="0" w:line="263" w:lineRule="auto"/>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Grants; Stock Purchase Rights</w:t>
      </w:r>
      <w:r>
        <w:rPr>
          <w:rFonts w:ascii="Times New Roman" w:cs="Times New Roman" w:eastAsia="Times New Roman" w:hAnsi="Times New Roman"/>
          <w:sz w:val="18"/>
          <w:szCs w:val="18"/>
          <w:color w:val="auto"/>
        </w:rPr>
        <w:t>. Stock grants or rights to purchase shares of our common stock may be granted to any eligible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2011 Plan and such restrictions as may be determined by the plan administrator and set forth in an applicable award agreement.</w:t>
      </w:r>
    </w:p>
    <w:p>
      <w:pPr>
        <w:spacing w:after="0" w:line="201" w:lineRule="exact"/>
        <w:rPr>
          <w:rFonts w:ascii="Times New Roman" w:cs="Times New Roman" w:eastAsia="Times New Roman" w:hAnsi="Times New Roman"/>
          <w:sz w:val="18"/>
          <w:szCs w:val="18"/>
          <w:color w:val="auto"/>
        </w:rPr>
      </w:pPr>
    </w:p>
    <w:p>
      <w:pPr>
        <w:jc w:val="both"/>
        <w:ind w:left="1140" w:hanging="539"/>
        <w:spacing w:after="0" w:line="253" w:lineRule="auto"/>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Stock options may be granted to any eligible person, provided that ISOs may only be granted to our employees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of our parents or subsidiaries, subject to the 2011 Plan and such restrictions as may be determined by the plan administrator and set forth in an applicable award agreement. The exercise price of stock options granted to employees, directors, or consultants will be determined by the plan administrator and set forth in an applicable award agreement; provided that such exercise price may not be less than fair market value of a share on grant date (or 110% of fair market value with respect to ISOs granted to employees holding 10% or more of the total combined voting power of the Company). No stock option award may have a term of more than ten years following the date of grant.</w:t>
      </w:r>
    </w:p>
    <w:p>
      <w:pPr>
        <w:spacing w:after="0" w:line="182"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Adjustments of Awards. </w:t>
      </w:r>
      <w:r>
        <w:rPr>
          <w:rFonts w:ascii="Times New Roman" w:cs="Times New Roman" w:eastAsia="Times New Roman" w:hAnsi="Times New Roman"/>
          <w:sz w:val="18"/>
          <w:szCs w:val="18"/>
          <w:color w:val="auto"/>
        </w:rPr>
        <w:t>In the event of a subdivision of the outstanding shares of our common stock, a declaration of a dividend payable in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combination or consolidation of our outstanding common stock into a lesser number of shares, a reclassification, or any other increase or decrease in the number of issued shares of common stock effected without receipt of consideration by us, proportionate adjustments will automatically be made to the number and kind of shares available for issuance of future awards under the 2011 Plan and subject to outstanding awards and the exercise or purchase price applicable to outstanding awards. In the event of a</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080"/>
          </w:cols>
          <w:pgMar w:left="320" w:top="451" w:right="4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57" w:lineRule="auto"/>
        <w:rPr>
          <w:sz w:val="20"/>
          <w:szCs w:val="20"/>
          <w:color w:val="auto"/>
        </w:rPr>
      </w:pPr>
      <w:r>
        <w:rPr>
          <w:rFonts w:ascii="Times New Roman" w:cs="Times New Roman" w:eastAsia="Times New Roman" w:hAnsi="Times New Roman"/>
          <w:sz w:val="18"/>
          <w:szCs w:val="18"/>
          <w:color w:val="auto"/>
        </w:rPr>
        <w:t>declaration of an extraordinary dividend payable in a form other than shares that has a material effect on the fair market value of our common stock, a recapitalization, a spin-off, or a similar occurrence, the board of directors at its sole discretion may make appropriate adjustments to the number and kind of shares available for issuance of future awards under the 2011 Plan and subject to outstanding awards and the exercise or purchase price applicable to outstanding awards.</w:t>
      </w:r>
    </w:p>
    <w:p>
      <w:pPr>
        <w:spacing w:after="0" w:line="180"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In the event of a merger or consolidation or sale of all or substantially all of our stock or assets, outstanding awards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treated in accordance with the definitive transaction agreement, which may provide, among other things, that the awards will accelerate in part or in full immediately prior to such transaction, that awards will be continued, assumed, or replaced by the surviving entity, or that awards will terminate in exchange for cash or other property or without consideration. The plan administrator will also have the right to suspend option exercise for a given period prior to such transaction and/or provide that following such transaction a stock option may no longer be exercised prior to vesting.</w:t>
      </w:r>
    </w:p>
    <w:p>
      <w:pPr>
        <w:spacing w:after="0" w:line="183" w:lineRule="exact"/>
        <w:rPr>
          <w:sz w:val="20"/>
          <w:szCs w:val="20"/>
          <w:color w:val="auto"/>
        </w:rPr>
      </w:pPr>
    </w:p>
    <w:p>
      <w:pPr>
        <w:jc w:val="both"/>
        <w:ind w:left="18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The plan administrator may amend, suspend, or terminate the 2011 Plan at any time (subject to stockholder approval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required in accordance with the 2011 Plan) provided that no such amendment or termination will affect any awards previously granted under the 2011 Plan. Following this offering and in connection with the effectiveness of our 2025 Plan, the 2011 Plan will terminate and no further awards will be granted under the 2011 Plan. However, all outstanding awards will continue to be governed by their existing terms.</w:t>
      </w:r>
    </w:p>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2025 Employee Stock Purchase Plan</w:t>
      </w:r>
    </w:p>
    <w:p>
      <w:pPr>
        <w:spacing w:after="0" w:line="224"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We have adopted, and our stockholders have approved, the 2025 Employee Stock Purchase Plan (the “ESPP”), which will be effective on the day immediately prior to the effectiveness of the registration statement of which this prospectus is a part. The ESPP is designed to allow our eligible employees to purchase shares of our common stock, at semi-annual intervals, with their accumulated payroll deductions. The ESPP is intended to qualify as an “employee stock purchase plan” under Section 423 of the Code. The material terms of the ESPP, as it is currently contemplated, are summarized below.</w:t>
      </w:r>
    </w:p>
    <w:p>
      <w:pPr>
        <w:spacing w:after="0" w:line="181" w:lineRule="exact"/>
        <w:rPr>
          <w:sz w:val="20"/>
          <w:szCs w:val="20"/>
          <w:color w:val="auto"/>
        </w:rPr>
      </w:pPr>
    </w:p>
    <w:p>
      <w:pPr>
        <w:jc w:val="both"/>
        <w:ind w:left="180" w:right="20" w:firstLine="436"/>
        <w:spacing w:after="0" w:line="253" w:lineRule="auto"/>
        <w:rPr>
          <w:sz w:val="20"/>
          <w:szCs w:val="20"/>
          <w:color w:val="auto"/>
        </w:rPr>
      </w:pPr>
      <w:r>
        <w:rPr>
          <w:rFonts w:ascii="Times New Roman" w:cs="Times New Roman" w:eastAsia="Times New Roman" w:hAnsi="Times New Roman"/>
          <w:sz w:val="18"/>
          <w:szCs w:val="18"/>
          <w:i w:val="1"/>
          <w:iCs w:val="1"/>
          <w:color w:val="auto"/>
        </w:rPr>
        <w:t>Components</w:t>
      </w:r>
      <w:r>
        <w:rPr>
          <w:rFonts w:ascii="Times New Roman" w:cs="Times New Roman" w:eastAsia="Times New Roman" w:hAnsi="Times New Roman"/>
          <w:sz w:val="18"/>
          <w:szCs w:val="18"/>
          <w:color w:val="auto"/>
        </w:rPr>
        <w:t>. The ESPP is comprised of two distinct components in order to provide increased flexibility to grant options to purchase shares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ESPP to U.S. and to non-U.S. employees. Specifically, the ESPP authorizes (i) the grant of options to U.S. employees that are intended to qualify for favorable U.S. federal tax treatment under Section 423 of the Code, (the “Section 423 Component”), and (ii) the grant of options that are not intended to be tax-qualified under Section 423 of the Code to facilitate participation for employees who do not benefit from favorable U.S. tax treatment and to provide flexibility to comply with non-U.S. law and other considerations (the “Non-Section 423 Component”). Where possible under local law and custom, we expect that the Non-Section 423 Component generally will be operated and administered on terms and conditions similar to the Section 423 Component.</w:t>
      </w:r>
    </w:p>
    <w:p>
      <w:pPr>
        <w:spacing w:after="0" w:line="182"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Subject to the terms and conditions of the ESPP, our compensation committee will administer the ESPP. Our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can delegate administrative tasks under the ESPP to the services of an agent and/or employees to assist in the administration of the ESPP. The administrator will have the discretionary authority to administer and interpret the ESPP. Interpretations and constructions of the administrator of any provision of the ESPP or of any rights thereunder will be conclusive and binding on all persons. We will bear all expenses and liabilities incurred by the ESPP administrator.</w:t>
      </w:r>
    </w:p>
    <w:p>
      <w:pPr>
        <w:spacing w:after="0" w:line="18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i w:val="1"/>
          <w:iCs w:val="1"/>
          <w:color w:val="auto"/>
        </w:rPr>
        <w:t>Share Reserve</w:t>
      </w:r>
      <w:r>
        <w:rPr>
          <w:rFonts w:ascii="Times New Roman" w:cs="Times New Roman" w:eastAsia="Times New Roman" w:hAnsi="Times New Roman"/>
          <w:sz w:val="18"/>
          <w:szCs w:val="18"/>
          <w:color w:val="auto"/>
        </w:rPr>
        <w:t>. The maximum number of shares of our common stock which will be authorized for sale under the ESPP is equal to the sum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1,121,231 shares of common stock and (b) an annual increase on the first day of each calendar year beginning in 2026 and ending in 2035, equal to the lesser of (i) 1% of the shares of our common stock outstanding (on an as-converted basis) on the last day of the immediately preceding fiscal year and</w:t>
      </w:r>
    </w:p>
    <w:p>
      <w:pPr>
        <w:spacing w:after="0" w:line="2" w:lineRule="exact"/>
        <w:rPr>
          <w:sz w:val="20"/>
          <w:szCs w:val="20"/>
          <w:color w:val="auto"/>
        </w:rPr>
      </w:pPr>
    </w:p>
    <w:p>
      <w:pPr>
        <w:ind w:left="5500" w:right="4140" w:hanging="5326"/>
        <w:spacing w:after="0" w:line="426" w:lineRule="auto"/>
        <w:tabs>
          <w:tab w:leader="none" w:pos="44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number of shares of common stock as determined by our board of directors; provided, 210</w:t>
      </w:r>
    </w:p>
    <w:p>
      <w:pPr>
        <w:sectPr>
          <w:pgSz w:w="11900" w:h="16838" w:orient="portrait"/>
          <w:cols w:equalWidth="0" w:num="1">
            <w:col w:w="11080"/>
          </w:cols>
          <w:pgMar w:left="320" w:top="451" w:right="4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77" w:lineRule="auto"/>
        <w:rPr>
          <w:sz w:val="20"/>
          <w:szCs w:val="20"/>
          <w:color w:val="auto"/>
        </w:rPr>
      </w:pPr>
      <w:r>
        <w:rPr>
          <w:rFonts w:ascii="Times New Roman" w:cs="Times New Roman" w:eastAsia="Times New Roman" w:hAnsi="Times New Roman"/>
          <w:sz w:val="18"/>
          <w:szCs w:val="18"/>
          <w:color w:val="auto"/>
        </w:rPr>
        <w:t>however, no more than 6,727,388 shares of our common stock may be issued under the ESPP. The shares reserved for issuance under the ESPP may be authorized but unissued shares or reacquired shares.</w:t>
      </w:r>
    </w:p>
    <w:p>
      <w:pPr>
        <w:spacing w:after="0" w:line="161"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Employees eligible to participate in the ESPP for a given offering period generally include employees who are employed by us or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subsidiaries on the first day of the offering period, or the enrollment date. Our administrator has the discretion to exclude from participation our employees (and, if applicable, any employees of our subsidiaries) who customarily work less than five months in a calendar year or are customarily scheduled to work less than 20 hours per week. Finally, an employee who owns (or is deemed to own through attribution) 5% or more of the combined voting power or value of all our classes of stock or of one of our subsidiaries will not be allowed to participate in the ESPP.</w:t>
      </w:r>
    </w:p>
    <w:p>
      <w:pPr>
        <w:spacing w:after="0" w:line="183" w:lineRule="exact"/>
        <w:rPr>
          <w:sz w:val="20"/>
          <w:szCs w:val="20"/>
          <w:color w:val="auto"/>
        </w:rPr>
      </w:pPr>
    </w:p>
    <w:p>
      <w:pPr>
        <w:jc w:val="both"/>
        <w:ind w:left="180" w:firstLine="436"/>
        <w:spacing w:after="0" w:line="254" w:lineRule="auto"/>
        <w:rPr>
          <w:sz w:val="20"/>
          <w:szCs w:val="20"/>
          <w:color w:val="auto"/>
        </w:rPr>
      </w:pPr>
      <w:r>
        <w:rPr>
          <w:rFonts w:ascii="Times New Roman" w:cs="Times New Roman" w:eastAsia="Times New Roman" w:hAnsi="Times New Roman"/>
          <w:sz w:val="18"/>
          <w:szCs w:val="18"/>
          <w:i w:val="1"/>
          <w:iCs w:val="1"/>
          <w:color w:val="auto"/>
        </w:rPr>
        <w:t>Participation</w:t>
      </w:r>
      <w:r>
        <w:rPr>
          <w:rFonts w:ascii="Times New Roman" w:cs="Times New Roman" w:eastAsia="Times New Roman" w:hAnsi="Times New Roman"/>
          <w:sz w:val="18"/>
          <w:szCs w:val="18"/>
          <w:color w:val="auto"/>
        </w:rPr>
        <w:t>. Employees will enroll under the ESPP by completing a payroll deduction form permitting the deduction from their compensation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least 1% of their compensation but not more than the lesser of 15% of their compensation. Such payroll deductions will be expressed as a whole number percentage, and the accumulated deductions will be applied to the purchase of shares of our common stock on each purchase date. However, a participant may not purchase more than 666 shares of our common stock in each offering period and may not subscribe for more than $25,000 in fair market value of shares of our common stock (determined at the time the option is granted) during any calendar year. The ESPP administrator has the authority to change these limitations for any subsequent offering period.</w:t>
      </w:r>
    </w:p>
    <w:p>
      <w:pPr>
        <w:spacing w:after="0" w:line="182" w:lineRule="exact"/>
        <w:rPr>
          <w:sz w:val="20"/>
          <w:szCs w:val="20"/>
          <w:color w:val="auto"/>
        </w:rPr>
      </w:pPr>
    </w:p>
    <w:p>
      <w:pPr>
        <w:jc w:val="both"/>
        <w:ind w:left="180" w:firstLine="436"/>
        <w:spacing w:after="0" w:line="279" w:lineRule="auto"/>
        <w:rPr>
          <w:sz w:val="20"/>
          <w:szCs w:val="20"/>
          <w:color w:val="auto"/>
        </w:rPr>
      </w:pPr>
      <w:r>
        <w:rPr>
          <w:rFonts w:ascii="Times New Roman" w:cs="Times New Roman" w:eastAsia="Times New Roman" w:hAnsi="Times New Roman"/>
          <w:sz w:val="18"/>
          <w:szCs w:val="18"/>
          <w:i w:val="1"/>
          <w:iCs w:val="1"/>
          <w:color w:val="auto"/>
        </w:rPr>
        <w:t>Offering</w:t>
      </w:r>
      <w:r>
        <w:rPr>
          <w:rFonts w:ascii="Times New Roman" w:cs="Times New Roman" w:eastAsia="Times New Roman" w:hAnsi="Times New Roman"/>
          <w:sz w:val="18"/>
          <w:szCs w:val="18"/>
          <w:color w:val="auto"/>
        </w:rPr>
        <w:t>. Generally, the ESPP will offer employees the option to purchase shares through a series of offering periods. The length of the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under the ESPP will be determined by the plan administrator and may be up to 27 months long.</w:t>
      </w:r>
    </w:p>
    <w:p>
      <w:pPr>
        <w:spacing w:after="0" w:line="162"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The option purchase price will be the lower of 85% of the closing trading price per share of our common stock on the first trading date of an offering period in which a participant is enrolled or 85% of the closing trading price per share on the purchase date, which will occur on the last trading day of each purchase period, or such other price designated by the administrator.</w:t>
      </w:r>
    </w:p>
    <w:p>
      <w:pPr>
        <w:spacing w:after="0" w:line="177"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Unless a participant has previously canceled his or her participation in the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w:t>
      </w:r>
    </w:p>
    <w:p>
      <w:pPr>
        <w:spacing w:after="0" w:line="177"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A participant may cancel his or her payroll deduction authorization at any time prior to the end of the offering period. Upon cancellation, the participant will have the option to either (i) receive a refund of the participant’s account balance in cash without interest or (ii) exercise the participant’s option for the current offering period for the maximum number of shares of our common stock on the applicable purchase date, with the remaining account balance refunded in cash without interest. Following at least one payroll deduction, a participant may also decrease (but not increase) his or her payroll deduction authorization once during any offering period. If a participant suspends his or her payroll deductions during an offering period, such participant’s cumulative unapplied payroll deductions prior to the suspension (if any) shall remain in his or her account and shall be applied to the purchase of shares on the next occurring purchase date. If a participant wants to increase or decrease the rate of payroll withholding, he or she may do so effective for the next offering period by submitting a new form before the offering period for which such change is to be effective.</w:t>
      </w:r>
    </w:p>
    <w:p>
      <w:pPr>
        <w:spacing w:after="0" w:line="185"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A participant may not assign, transfer, pledge, or otherwise dispose of (other than by will or the laws of descent and distribution) payroll deductions credited to a participant’s account or any rights to exercise an option or to receive shares of our common stock under the ESPP, and during a participant’s lifetime, options in the ESPP shall be exercisable only by such participant. Any such attempt at assignment, transfer, pledge, or other disposition will not be given effect.</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080"/>
          </w:cols>
          <w:pgMar w:left="320" w:top="451" w:right="49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6"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i w:val="1"/>
          <w:iCs w:val="1"/>
          <w:color w:val="auto"/>
        </w:rPr>
        <w:t>Adjustments upon Changes in Recapitalization, Dissolution, Liquidation, Merger, or Asset Sale</w:t>
      </w:r>
      <w:r>
        <w:rPr>
          <w:rFonts w:ascii="Times New Roman" w:cs="Times New Roman" w:eastAsia="Times New Roman" w:hAnsi="Times New Roman"/>
          <w:sz w:val="18"/>
          <w:szCs w:val="18"/>
          <w:color w:val="auto"/>
        </w:rPr>
        <w:t>. In the event of any increase or decrease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issued shares of our common stock resulting from a stock split, reverse stock split, stock dividend, combination, or reclassification of the common stock, or any other increase or decrease in the number of shares of our common stock effected without receipt of consideration by us, we will proportionately adjust the aggregate number of shares of our common stock offered under the ESPP, the number and price of shares of our common stock which any participant has elected to purchase under the ESPP, and the maximum number of shares of our common stock which a participant may elect to purchase in any single offering period. If there is a proposal to dissolve or liquidate us, then the ESPP will terminate immediately prior to the consummation of such proposed dissolution or liquidation, and any offering period then in progress will be shortened by setting a new purchase date to take place before the date of our dissolution or liquidation. We will notify each participant of such change in writing at least ten business days prior to the new exercise date. If we undergo a merger with or into another corporation or sell all or substantially all of our assets, each outstanding option will be assumed or an equivalent option substituted by the successor corporation or the parent or subsidiary of the successor corporation. If the successor corporation refuses to assume the outstanding options or substitute equivalent options, then any offering period then in progress will be shortened by setting a new purchase date to take place before the date of our proposed sale or merger. We will notify each participant of such change in writing at least ten business days prior to the new exercise date.</w:t>
      </w:r>
    </w:p>
    <w:p>
      <w:pPr>
        <w:spacing w:after="0" w:line="189" w:lineRule="exact"/>
        <w:rPr>
          <w:sz w:val="20"/>
          <w:szCs w:val="20"/>
          <w:color w:val="auto"/>
        </w:rPr>
      </w:pPr>
    </w:p>
    <w:p>
      <w:pPr>
        <w:jc w:val="both"/>
        <w:ind w:left="180" w:firstLine="436"/>
        <w:spacing w:after="0" w:line="263"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Our board of directors may amend, suspend, or terminate the ESPP at any time. However,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not amend the ESPP without obtaining stockholder approval within 12 months before or after such amendment to the extent required by applicable laws.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 2024, our non-employee directors (listed in the table below), received compensation for services on our board of directors, as reflected in the table below.</w:t>
      </w:r>
    </w:p>
    <w:p>
      <w:pPr>
        <w:spacing w:after="0" w:line="17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420" w:type="dxa"/>
            <w:vAlign w:val="bottom"/>
            <w:gridSpan w:val="2"/>
          </w:tcPr>
          <w:p>
            <w:pPr>
              <w:jc w:val="center"/>
              <w:ind w:left="383"/>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60" w:type="dxa"/>
            <w:vAlign w:val="bottom"/>
          </w:tcPr>
          <w:p>
            <w:pPr>
              <w:spacing w:after="0"/>
              <w:rPr>
                <w:sz w:val="13"/>
                <w:szCs w:val="13"/>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7"/>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80" w:type="dxa"/>
            <w:vAlign w:val="bottom"/>
          </w:tcPr>
          <w:p>
            <w:pPr>
              <w:spacing w:after="0"/>
              <w:rPr>
                <w:sz w:val="12"/>
                <w:szCs w:val="12"/>
                <w:color w:val="auto"/>
              </w:rPr>
            </w:pPr>
          </w:p>
        </w:tc>
        <w:tc>
          <w:tcPr>
            <w:tcW w:w="9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Paid in Cash</w:t>
            </w:r>
          </w:p>
        </w:tc>
        <w:tc>
          <w:tcPr>
            <w:tcW w:w="1440" w:type="dxa"/>
            <w:vAlign w:val="bottom"/>
            <w:gridSpan w:val="2"/>
            <w:vMerge w:val="continue"/>
          </w:tcPr>
          <w:p>
            <w:pPr>
              <w:spacing w:after="0"/>
              <w:rPr>
                <w:sz w:val="12"/>
                <w:szCs w:val="12"/>
                <w:color w:val="auto"/>
              </w:rPr>
            </w:pPr>
          </w:p>
        </w:tc>
        <w:tc>
          <w:tcPr>
            <w:tcW w:w="1980" w:type="dxa"/>
            <w:vAlign w:val="bottom"/>
            <w:gridSpan w:val="3"/>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360" w:type="dxa"/>
            <w:vAlign w:val="bottom"/>
            <w:vMerge w:val="continue"/>
          </w:tcPr>
          <w:p>
            <w:pPr>
              <w:spacing w:after="0"/>
              <w:rPr>
                <w:sz w:val="14"/>
                <w:szCs w:val="14"/>
                <w:color w:val="auto"/>
              </w:rPr>
            </w:pPr>
          </w:p>
        </w:tc>
        <w:tc>
          <w:tcPr>
            <w:tcW w:w="1420" w:type="dxa"/>
            <w:vAlign w:val="bottom"/>
            <w:gridSpan w:val="2"/>
          </w:tcPr>
          <w:p>
            <w:pPr>
              <w:jc w:val="center"/>
              <w:ind w:left="38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40" w:type="dxa"/>
            <w:vAlign w:val="bottom"/>
            <w:gridSpan w:val="2"/>
          </w:tcPr>
          <w:p>
            <w:pPr>
              <w:jc w:val="right"/>
              <w:ind w:right="171"/>
              <w:spacing w:after="0" w:line="172"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9"/>
                <w:szCs w:val="9"/>
                <w:b w:val="1"/>
                <w:bCs w:val="1"/>
                <w:color w:val="auto"/>
              </w:rPr>
              <w:t>(1)(2)</w:t>
            </w:r>
          </w:p>
        </w:tc>
        <w:tc>
          <w:tcPr>
            <w:tcW w:w="1440" w:type="dxa"/>
            <w:vAlign w:val="bottom"/>
            <w:gridSpan w:val="2"/>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(3)</w:t>
            </w:r>
          </w:p>
        </w:tc>
        <w:tc>
          <w:tcPr>
            <w:tcW w:w="54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 Beal</w:t>
            </w:r>
          </w:p>
        </w:tc>
        <w:tc>
          <w:tcPr>
            <w:tcW w:w="4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473,107</w:t>
            </w:r>
          </w:p>
        </w:tc>
        <w:tc>
          <w:tcPr>
            <w:tcW w:w="5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473,107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Trevor Fetter</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90,311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Jeryl Hilleman</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135,466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Sachin Jain</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487,686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Julie Klapstein</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473,107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Adam Stavisky</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473,107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8,499</w:t>
            </w:r>
          </w:p>
        </w:tc>
        <w:tc>
          <w:tcPr>
            <w:tcW w:w="5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73025</wp:posOffset>
            </wp:positionV>
            <wp:extent cx="75501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25" w:lineRule="exact"/>
        <w:rPr>
          <w:sz w:val="20"/>
          <w:szCs w:val="20"/>
          <w:color w:val="auto"/>
        </w:rPr>
      </w:pPr>
    </w:p>
    <w:p>
      <w:pPr>
        <w:ind w:left="600" w:right="20" w:hanging="426"/>
        <w:spacing w:after="0" w:line="230" w:lineRule="auto"/>
        <w:tabs>
          <w:tab w:leader="none" w:pos="6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full grant date fair value of stock options granted during 2024 computed in accordance with ASC Topic 718, rather than the amounts paid to or realized by the named individual. See Note 12 to our consolidated financial statements included elsewhere in this prospectus for the assumptions used in calculating these amounts.</w:t>
      </w:r>
    </w:p>
    <w:p>
      <w:pPr>
        <w:spacing w:after="0" w:line="1" w:lineRule="exact"/>
        <w:rPr>
          <w:rFonts w:ascii="Times New Roman" w:cs="Times New Roman" w:eastAsia="Times New Roman" w:hAnsi="Times New Roman"/>
          <w:sz w:val="14"/>
          <w:szCs w:val="14"/>
          <w:color w:val="auto"/>
        </w:rPr>
      </w:pPr>
    </w:p>
    <w:p>
      <w:pPr>
        <w:ind w:left="600" w:hanging="426"/>
        <w:spacing w:after="0" w:line="219" w:lineRule="auto"/>
        <w:tabs>
          <w:tab w:leader="none" w:pos="6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table below shows the aggregate numbers of option awards (whether exercisable or unexercisable) held as of December 31, 2024 by each non-employee director who served during 2024.</w:t>
      </w:r>
    </w:p>
    <w:p>
      <w:pPr>
        <w:jc w:val="both"/>
        <w:ind w:left="600" w:hanging="426"/>
        <w:spacing w:after="0" w:line="227" w:lineRule="auto"/>
        <w:tabs>
          <w:tab w:leader="none" w:pos="6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other than for Mr. Jain, reflect travel costs incurred by the applicable director in performance of his or her service on our board of directors in 2024 which were reimbursed by us. For Mr. Jain, amounts represent the sum of (i) $992 in travel costs incurred by Mr. Jain in the performance of his service on our board of directors in 2024 which were reimbursed by us and (ii) a one time-cash payment in the amount of $2,300 representing the difference between the exercise price that would have applied to a stock option granted to him in September 2024 in his capacity as an advisor if such stock option had instead been granted in 2021, as agreed between Mr. Jain and us.</w:t>
      </w:r>
    </w:p>
    <w:p>
      <w:pPr>
        <w:spacing w:after="0" w:line="18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0" w:type="dxa"/>
            <w:vAlign w:val="bottom"/>
          </w:tcPr>
          <w:p>
            <w:pPr>
              <w:spacing w:after="0"/>
              <w:rPr>
                <w:sz w:val="1"/>
                <w:szCs w:val="1"/>
                <w:color w:val="auto"/>
              </w:rPr>
            </w:pPr>
          </w:p>
        </w:tc>
      </w:tr>
      <w:tr>
        <w:trPr>
          <w:trHeight w:val="172"/>
        </w:trPr>
        <w:tc>
          <w:tcPr>
            <w:tcW w:w="3200" w:type="dxa"/>
            <w:vAlign w:val="bottom"/>
            <w:vMerge w:val="continue"/>
          </w:tcPr>
          <w:p>
            <w:pPr>
              <w:spacing w:after="0"/>
              <w:rPr>
                <w:sz w:val="14"/>
                <w:szCs w:val="14"/>
                <w:color w:val="auto"/>
              </w:rPr>
            </w:pPr>
          </w:p>
        </w:tc>
        <w:tc>
          <w:tcPr>
            <w:tcW w:w="5200" w:type="dxa"/>
            <w:vAlign w:val="bottom"/>
          </w:tcPr>
          <w:p>
            <w:pPr>
              <w:spacing w:after="0"/>
              <w:rPr>
                <w:sz w:val="14"/>
                <w:szCs w:val="14"/>
                <w:color w:val="auto"/>
              </w:rPr>
            </w:pPr>
          </w:p>
        </w:tc>
        <w:tc>
          <w:tcPr>
            <w:tcW w:w="25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at Fiscal Year End (#)</w:t>
            </w:r>
          </w:p>
        </w:tc>
        <w:tc>
          <w:tcPr>
            <w:tcW w:w="0" w:type="dxa"/>
            <w:vAlign w:val="bottom"/>
          </w:tcPr>
          <w:p>
            <w:pPr>
              <w:spacing w:after="0"/>
              <w:rPr>
                <w:sz w:val="1"/>
                <w:szCs w:val="1"/>
                <w:color w:val="auto"/>
              </w:rPr>
            </w:pPr>
          </w:p>
        </w:tc>
      </w:tr>
      <w:tr>
        <w:trPr>
          <w:trHeight w:val="207"/>
        </w:trPr>
        <w:tc>
          <w:tcPr>
            <w:tcW w:w="3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 Beal</w:t>
            </w:r>
          </w:p>
        </w:tc>
        <w:tc>
          <w:tcPr>
            <w:tcW w:w="5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Trevor Fetter</w:t>
            </w:r>
          </w:p>
        </w:tc>
        <w:tc>
          <w:tcPr>
            <w:tcW w:w="7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129,998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Jeryl Hilleman</w:t>
            </w:r>
          </w:p>
        </w:tc>
        <w:tc>
          <w:tcPr>
            <w:tcW w:w="7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Sachin Jain</w:t>
            </w:r>
          </w:p>
        </w:tc>
        <w:tc>
          <w:tcPr>
            <w:tcW w:w="7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103,333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Julie Klapstein</w:t>
            </w:r>
          </w:p>
        </w:tc>
        <w:tc>
          <w:tcPr>
            <w:tcW w:w="7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Adam Stavisky</w:t>
            </w:r>
          </w:p>
        </w:tc>
        <w:tc>
          <w:tcPr>
            <w:tcW w:w="7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3200" w:type="dxa"/>
            <w:vAlign w:val="bottom"/>
          </w:tcPr>
          <w:p>
            <w:pPr>
              <w:spacing w:after="0"/>
              <w:rPr>
                <w:sz w:val="24"/>
                <w:szCs w:val="24"/>
                <w:color w:val="auto"/>
              </w:rPr>
            </w:pPr>
          </w:p>
        </w:tc>
        <w:tc>
          <w:tcPr>
            <w:tcW w:w="5200" w:type="dxa"/>
            <w:vAlign w:val="bottom"/>
          </w:tcPr>
          <w:p>
            <w:pPr>
              <w:jc w:val="right"/>
              <w:ind w:right="2731"/>
              <w:spacing w:after="0"/>
              <w:rPr>
                <w:sz w:val="20"/>
                <w:szCs w:val="20"/>
                <w:color w:val="auto"/>
              </w:rPr>
            </w:pPr>
            <w:r>
              <w:rPr>
                <w:rFonts w:ascii="Times New Roman" w:cs="Times New Roman" w:eastAsia="Times New Roman" w:hAnsi="Times New Roman"/>
                <w:sz w:val="18"/>
                <w:szCs w:val="18"/>
                <w:color w:val="auto"/>
              </w:rPr>
              <w:t>212</w:t>
            </w: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In connection with this offering, we expect to grant each non-employee director who has been serving on our board of directors for at least six months as of the effectiveness of this registration statement an RSU award. Each RSU award will cover a number of shares having a grant date fair value equal to approximately $185,000 and will vest in full on the first anniversary of the effectiveness of this registration statement, subject to the applicable non-employee director’s continued service through the applicable vesting date.</w:t>
      </w:r>
    </w:p>
    <w:p>
      <w:pPr>
        <w:spacing w:after="0" w:line="18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We have adopted a non-employee director compensation program for our non-employee directors (the “Director Compensation Program”), to be effective on the date of effectiveness of the registration statement of which this prospectus is a part.</w:t>
      </w:r>
    </w:p>
    <w:p>
      <w:pPr>
        <w:spacing w:after="0" w:line="16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Pursuant to the Director Compensation Program, our non-employee directors will receive annual cash retainers as set forth in the tables below.</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85"/>
        </w:trPr>
        <w:tc>
          <w:tcPr>
            <w:tcW w:w="8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Board Service</w:t>
            </w:r>
          </w:p>
        </w:tc>
        <w:tc>
          <w:tcPr>
            <w:tcW w:w="32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r>
      <w:tr>
        <w:trPr>
          <w:trHeight w:val="207"/>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60" w:type="dxa"/>
            <w:vAlign w:val="bottom"/>
            <w:shd w:val="clear" w:color="auto" w:fill="CCEEFF"/>
          </w:tcPr>
          <w:p>
            <w:pPr>
              <w:spacing w:after="0"/>
              <w:rPr>
                <w:sz w:val="18"/>
                <w:szCs w:val="18"/>
                <w:color w:val="auto"/>
              </w:rPr>
            </w:pPr>
          </w:p>
        </w:tc>
      </w:tr>
      <w:tr>
        <w:trPr>
          <w:trHeight w:val="233"/>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$ 40,000</w:t>
            </w:r>
          </w:p>
        </w:tc>
        <w:tc>
          <w:tcPr>
            <w:tcW w:w="60" w:type="dxa"/>
            <w:vAlign w:val="bottom"/>
          </w:tcPr>
          <w:p>
            <w:pPr>
              <w:spacing w:after="0"/>
              <w:rPr>
                <w:sz w:val="20"/>
                <w:szCs w:val="20"/>
                <w:color w:val="auto"/>
              </w:rPr>
            </w:pPr>
          </w:p>
        </w:tc>
      </w:tr>
      <w:tr>
        <w:trPr>
          <w:trHeight w:val="355"/>
        </w:trPr>
        <w:tc>
          <w:tcPr>
            <w:tcW w:w="8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Additional Committee Service</w:t>
            </w:r>
          </w:p>
        </w:tc>
        <w:tc>
          <w:tcPr>
            <w:tcW w:w="320" w:type="dxa"/>
            <w:vAlign w:val="bottom"/>
          </w:tcPr>
          <w:p>
            <w:pPr>
              <w:spacing w:after="0"/>
              <w:rPr>
                <w:sz w:val="24"/>
                <w:szCs w:val="24"/>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Chair</w:t>
            </w:r>
          </w:p>
        </w:tc>
        <w:tc>
          <w:tcPr>
            <w:tcW w:w="11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Non-Chair</w:t>
            </w:r>
          </w:p>
        </w:tc>
      </w:tr>
      <w:tr>
        <w:trPr>
          <w:trHeight w:val="207"/>
        </w:trPr>
        <w:tc>
          <w:tcPr>
            <w:tcW w:w="8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Member</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$20,000</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Member</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60" w:type="dxa"/>
            <w:vAlign w:val="bottom"/>
          </w:tcPr>
          <w:p>
            <w:pPr>
              <w:spacing w:after="0"/>
              <w:rPr>
                <w:sz w:val="18"/>
                <w:szCs w:val="18"/>
                <w:color w:val="auto"/>
              </w:rPr>
            </w:pPr>
          </w:p>
        </w:tc>
      </w:tr>
      <w:tr>
        <w:trPr>
          <w:trHeight w:val="214"/>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Member</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60" w:type="dxa"/>
            <w:vAlign w:val="bottom"/>
            <w:shd w:val="clear" w:color="auto" w:fill="CCEEFF"/>
          </w:tcPr>
          <w:p>
            <w:pPr>
              <w:spacing w:after="0"/>
              <w:rPr>
                <w:sz w:val="18"/>
                <w:szCs w:val="18"/>
                <w:color w:val="auto"/>
              </w:rPr>
            </w:pPr>
          </w:p>
        </w:tc>
      </w:tr>
    </w:tbl>
    <w:p>
      <w:pPr>
        <w:spacing w:after="0" w:line="195"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Annual cash retainers under the Director Compensation Program will be payable in arrears in four equal quarterly installments not later than 30 days following the final day of each calendar quarter, provided that the amount of each payment will be prorated for any portion of a quarter that a director is not serving on our board of directors.</w:t>
      </w:r>
    </w:p>
    <w:p>
      <w:pPr>
        <w:spacing w:after="0" w:line="177"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Directors may elect to receive all or a portion of their cash fees in RSUs, with each such RSU award covering a number of shares calculated by dividing (i) the amount of the annual retainer by (ii) the average per share closing trading price of our common stock over the most recent 30 trading days as of the grant date (“30-day average price”). Such RSUs will be automatically granted on the fifth day of the month following the end of the calendar quarter to which the corresponding director fees were earned and will be fully vested on grant.</w:t>
      </w:r>
    </w:p>
    <w:p>
      <w:pPr>
        <w:spacing w:after="0" w:line="182"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Under the Director Compensation Program, unless otherwise provided by our board of directors prior to the commencement of service of an applicable director, each non-employee director who is initially elected or appointed to serve on our board of directors after our initial public offering will automatically be granted that number of RSUs upon the director’s initial appointment or election to our board of directors (the “Initial Grant”), calculated by dividing (i) $370,000 by (ii) the 30-day average price. The Initial Grant will automatically be granted on the date on which such non-employee director commences service on our board of directors and will vest as to one-third of the underlying shares on each of the first three anniversaries of the grant date, subject to continued service through each applicable vesting date.</w:t>
      </w:r>
    </w:p>
    <w:p>
      <w:pPr>
        <w:spacing w:after="0" w:line="187"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In addition, each non-employee director who (i) has been serving on our board of directors for at least six months as of an annual meeting following our initial public offering and (ii) will continue to serve on our board of directors following such annual meeting will automatically be granted that number of RSUs upon each annual meeting we have following this offering (the “Annual Grant”), calculated by dividing (i) $185,000 by (ii) the 30-day average price.</w:t>
      </w:r>
    </w:p>
    <w:p>
      <w:pPr>
        <w:spacing w:after="0" w:line="18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Annual Grant will be automatically granted on the date of the applicable annual meeting and will vest in full on the earlier of the first anniversary of the date of the grant or the date of the next annual meeting, subject to continued service through each applicable vesting date.</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080"/>
          </w:cols>
          <w:pgMar w:left="320" w:top="451" w:right="4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Under the Director Compensation Program, non-employee directors will have the opportunity to defer the issuance of shares underlying RSUs granted to them pursuant to the Director Compensation Program until the earliest of a fixed date properly elected by the non-employee director, the non-employee director’s termination of service, or a Change in Control (as defined in the 2025 Plan). Any such deferral election shall be subject to such rules, conditions, and procedures as shall be determined by our board of directors or the compensation committee, in its sole discretion</w:t>
      </w:r>
    </w:p>
    <w:p>
      <w:pPr>
        <w:spacing w:after="0" w:line="182"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All equity awards held by non-employee directors under the Director Compensation Program will vest in full upon the consummation of a Change in Control, subject to their continued service through immediately prior to such date.</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080"/>
          </w:cols>
          <w:pgMar w:left="320" w:top="451" w:right="4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CERTAIN RELATIONSHIPS AND RELATED-PARTY TRANSACTIONS</w:t>
      </w:r>
    </w:p>
    <w:p>
      <w:pPr>
        <w:spacing w:after="0" w:line="224"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2022 and any currently proposed transactions to which we were or are expected to be a participant in which (1) the amount involved exceeded or will exceed $120,000, and (2) any of our directors, executive officers, or holders of more than 5% of our capital stock, or any affiliate or member of the immediate family of the foregoing persons, had or will have a direct or indirect material interest, other than compensation and other arrangements that are described under the section titled “Executive and Director Compensation.”</w:t>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Commercial Arrangements with Cigna and its Affiliates</w:t>
      </w:r>
    </w:p>
    <w:p>
      <w:pPr>
        <w:spacing w:after="0" w:line="18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Our customers, channel partners, and vendors include affiliates of The Cigna Group, which beneficially owns more than 5% of our outstanding capital stock through Cigna Ventures, LLC. Our agreements with affiliates of Cigna Ventures, LLC are negotiated in the ordinary course of business and on an arm’s-length basis.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Customer and Channel Partner Agreements</w:t>
      </w:r>
    </w:p>
    <w:p>
      <w:pPr>
        <w:spacing w:after="0" w:line="224"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As described below, we have entered into agreements with affiliates of The Cigna Group that, among other things, provide for the provision of our programs to eligible individuals covered by these affiliates and/or their customers (the “Cigna Group Customer Agreements”).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Ancillary Services Agreement</w:t>
      </w:r>
    </w:p>
    <w:p>
      <w:pPr>
        <w:spacing w:after="0" w:line="224" w:lineRule="exact"/>
        <w:rPr>
          <w:sz w:val="20"/>
          <w:szCs w:val="20"/>
          <w:color w:val="auto"/>
        </w:rPr>
      </w:pPr>
    </w:p>
    <w:p>
      <w:pPr>
        <w:jc w:val="both"/>
        <w:ind w:left="180" w:firstLine="436"/>
        <w:spacing w:after="0" w:line="249" w:lineRule="auto"/>
        <w:rPr>
          <w:sz w:val="20"/>
          <w:szCs w:val="20"/>
          <w:color w:val="auto"/>
        </w:rPr>
      </w:pPr>
      <w:r>
        <w:rPr>
          <w:rFonts w:ascii="Times New Roman" w:cs="Times New Roman" w:eastAsia="Times New Roman" w:hAnsi="Times New Roman"/>
          <w:sz w:val="18"/>
          <w:szCs w:val="18"/>
          <w:color w:val="auto"/>
        </w:rPr>
        <w:t>Our Ancillary Services Agreement with Cigna Health Corporation, as amended from time to time (the “Ancillary Services Agreement”), governs the delivery of Omada for Prevention &amp; Weight Health to self-funded customers that contract through Cigna Health Corporation as a health plan administrator and to certain fully insured populations covered by Cigna Health Corporation as our customer. The Ancillary Services Agreement continues year-to-year, and either party may terminate for convenience (subject to applicable notice) or immediately if the other party becomes insolvent. Cigna Health Corporation may also terminate the Ancillary Services Agreement immediately (or upon longer notice if required by applicable law) if we no longer maintain required licenses, face disciplinary action, or no longer satisfy their credentialing requirements. The Ancillary Services Agreement includes pricing terms, pursuant to which Cigna Health Corporation (for fully insured populations) or a self-funded customer that contracts through Cigna Health Corporation for ASO services as a health plan administrator pays us fees on a monthly basis for members enrolled in Omada for Prevention &amp; Weight Health. The Ancillary Services Agreement also includes a pricing protection mechanism for Cigna Health Corporation, whereby, under certain circumstances, if we agree to lower pricing for certain third-party customers than what applies to certain populations covered by the Ancillary Services Agreement, then as of the time we agree to that lower pricing with the third-party customer, we will prospectively match the lower pricing for future members that enroll in Omada for Prevention &amp; Weight Health from those populations. Additionally, in certain other circumstances, we have agreed to match pricing offered to certain other third-party customers on a prospective basis when those customers compete with Cigna Health Corporation for certain populations covered by the Ancillary Services Agreement. If we collect an unauthorized payment from a customer, Cigna Health Corporation may reimburse that customer and withhold the reimbursement from future payments to us. We also provide service-level performance guarantees and credits for failure to meet such guarantees.</w:t>
      </w:r>
    </w:p>
    <w:p>
      <w:pPr>
        <w:spacing w:after="0" w:line="19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Master Services Agreement</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Our Master Services Agreement with Evernorth Health, Inc. (“Evernorth”), as amended from time to time and as supplemented by various statements of work (“SOWs”) (collectively, the “MSA”), governs: (i) the delivery of each of our programs (Omada for Prevention &amp; Weight Health, Omada for Diabetes, Omada for Hypertension, the combined Omada for Diabetes and Hypertension program, and Omada for MSK) to populations covered by Evernorth as our channel partner (the “Evernorth Deployments”); (ii) the delivery of Omada for Diabetes, Omada for Hypertension, and the combined Omada for Diabetes and Hypertension program to self-funded customers that</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080"/>
          </w:cols>
          <w:pgMar w:left="320" w:top="451" w:right="49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contract through Cigna Corporate Services, LLC, an affiliate of Evernorth, as a channel partner (the “Cigna Diabetes and Hypertension Deployments”);</w:t>
      </w:r>
    </w:p>
    <w:p>
      <w:pPr>
        <w:spacing w:after="0" w:line="37" w:lineRule="exact"/>
        <w:rPr>
          <w:sz w:val="20"/>
          <w:szCs w:val="20"/>
          <w:color w:val="auto"/>
        </w:rPr>
      </w:pPr>
    </w:p>
    <w:p>
      <w:pPr>
        <w:jc w:val="both"/>
        <w:ind w:left="180" w:right="20" w:hanging="6"/>
        <w:spacing w:after="0" w:line="262" w:lineRule="auto"/>
        <w:tabs>
          <w:tab w:leader="none" w:pos="501"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delivery of Omada for Prevention &amp; Weight Health for certain self-funded customers and certain fully insured populations contracted for with affiliates of The Cigna Group not covered by the Ancillary Services Agreement described above (the “Additional Cigna Prevention Deployments”); and</w:t>
      </w:r>
    </w:p>
    <w:p>
      <w:pPr>
        <w:jc w:val="both"/>
        <w:ind w:left="180" w:hanging="6"/>
        <w:spacing w:after="0" w:line="248" w:lineRule="auto"/>
        <w:tabs>
          <w:tab w:leader="none" w:pos="48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Omada for Prevention &amp; Weight Health, Omada for Diabetes, Omada for Hypertension, and the combined Omada for Diabetes and Hypertension program to self-funded customers that contract through Allegiance Benefit Plan Management, Inc. (“Allegiance”), an affiliate of Evernorth, as a channel partner (the “Allegiance Deployments”). The termination date of the MSA was December 31, 2024, but the MSA continues beyond such date with respect to any SOW with a later termination date, which, for the Evernorth Deployments of our cardiometabolic programs is January 1, 2026, for the Evernorth Deployments of Omada for MSK is March 8, 2027, and for the Cigna Diabetes and Hypertension Deployments, the Additional Cigna Prevention Deployments, and the Allegiance Deployments is December 31, 2025. Either party may terminate an SOW if the other party materially breaches its obligations (subject to a cure period, unless the breach is uncurable in which case the non-breaching party may terminate immediately). Evernorth may also terminate any SOW for convenience (subject to applicable notice) or immediately if we become insolvent or if Evernorth believes we have breached anti-corruption laws or have failed to cooperate with any audit request. Pursuant to the MSA, Evernorth, Cigna Corporate Services, LLC, and Allegiance pay us fees on a monthly basis for members enrolled in the cardiometabolic programs, and Evernorth pays us fees for members who have received consultations or opted-in to physical therapist-guided treatment plans in Omada for MSK. As part of these payment terms, these entities also facilitate payments to us from their end customers that arrange coverage through those entities as a channel partner. Similar to the Ancillary Services Agreement with Cigna Health Corporation, the SOWs for the Evernorth Deployments and the SOW for the Cigna Diabetes and Hypertension Deployments each includes a pricing protection mechanism for Evernorth and Cigna Corporate Services, LLC, respectively, whereby, under certain circumstances, if we agree to lower pricing for certain third-party customers than what applies to certain populations covered by the SOW, then as of the time we agree to that lower pricing with the third-party customer, we will prospectively match the lower pricing, in the case of the Evernorth Deployments, for customers purchasing or renewing their purchases of the applicable programs thereafter through Evernorth as a channel partner or, in the case of the Cigna Diabetes and Hypertension Deployments, for future members that enroll in the applicable programs from the populations covered by the SOW and subject to the pricing protection. We also provide service-level performance guarantees and credits for failure to meet such guarantees.</w:t>
      </w:r>
    </w:p>
    <w:p>
      <w:pPr>
        <w:spacing w:after="0" w:line="19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Pursuant to the Cigna Group Customer Agreements, affiliates of The Cigna Group made payments to us of $39.2 million, $63.3 million, and $89.9 million in the years ended December 31, 2022, 2023, and 2024, respectively, and $42.8 million since January 1, 2025.</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Agreements</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We also have agreements with affiliates of The Cigna Group that, among other things, provide for provision of services by such affiliates in connection with the administration of our programs.</w:t>
      </w:r>
    </w:p>
    <w:p>
      <w:pPr>
        <w:spacing w:after="0" w:line="163"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Our Administrative Services Agreements, as amended from time to time, with Cigna Health and Life Insurance Company and Allegiance, respectively (collectively, the “Administrative Services Agreements”), provide for the delivery of administrative services by these entities to assist us and facilitate our delivery of the programs and related implementation services to individuals covered under (i) individual or group insurance policies issued by Cigna and (ii) self-funded employee benefit programs sponsored by employers to which Allegiance and Cigna provide ASO services. The Administrative Services Agreements do not have a fixed-year term, and either party may terminate for convenience (subject to applicable notice periods), if the other party fails to timely cure a breach, or upon a date mutually agreed to by the parties. The Administrative Services Agreements will also terminate if a regulatory action prohibits either party’s performance of its obligations. Pursuant to the Administrative Services Agreements, we pay fees that are incurred monthly based on the number of members enrolled in our programs that necessitate the administrative services provided by our partners. There are no express performance-related repayment rights.</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080"/>
          </w:cols>
          <w:pgMar w:left="320" w:top="451" w:right="4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Pursuant to the Administrative Services Agreements, we made payments to affiliates of The Cigna Group of $4.3 million, $5.6 million, and $8.6 million in the years ended December 31, 2022, 2023, and 2024, respectively, and $2.1 million since January 1, 2025.</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Benefits Agreements</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We also have agreements with affiliates of The Cigna Group that provide health benefits to certain of our employees and their eligible dependents. Pursuant to these benefits agreements, we made payments to affiliates of The Cigna Group of $6.0 million, $7.5 million, and $8.6 million in the years ended December 31, 2022, 2023, and 2024, respectively, and $3.7 million since January 1, 2025.</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We are party to an amended and restated investors’ rights agreement with the purchasers of our outstanding redeemable convertible preferred stock, including holders of more than 5% of our capital stock and entities with which certain of our directors are affiliated. Following the consummation of this offering, the holders of approximately 39.4 million shares of our common stock issuable upon the conversion of our outstanding Series A, Series B, Series C, Series C-1, Series D, Series D-1, and Series E redeemable convertible preferred stock as of March 31, 2025 are entitled to rights with respect to the registration of their shares under the Securities Act. For a more detailed description of these registration rights, see the section titled “Description of Capital Stock—Registration Rights.”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are party to an amended and restated voting agreement with certain holders of our common stock and redeemable convertible preferred stock, including certain of our directors and executive officers, holders of more than 5% of our capital stock, and entities with which certain of our directors are affiliated. Upon the consummation of this offering, the amended and restated voting agreement will terminate. For a description of the amended and restated voting agreement, see the section titled “Management—Board Composition—Voting Arrangements.”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Right of First Refusal and Co-Sale Agreement</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We are party to an amended and restated right of first refusal and co-sale agreement with certain holders of our common stock and redeemable convertible preferred stock, including certain of our directors and executive officers, holders of more than 5% of our capital stock, and entities with which certain of our directors are affiliated. This agreement provides for rights of first refusal and co-sale relating to the shares of our common stock held by the parties to the agreement. Upon the consummation of this offering, the amended and restated right of first refusal and co-sale agreement will terminate.</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Please see the section titled “Executive and Director Compensation” for information regarding the compensation of our directors and executive officers.</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We have entered into offer letters and change in control and severance agreements with our executive officers that, among other things, provide for certain compensatory and change-in-control benefits, as well as severance benefits. For a description of these agreements with our named executive officers, see the section titled “Executive and Director Compensation—Amended and Restated Change in Control and Severance Agreements.”</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080"/>
          </w:cols>
          <w:pgMar w:left="320" w:top="451" w:right="49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current directors and executive officers. Our restated certificate of incorporation and our amended and restated bylaws, which will be effective immediately prior to the completion of this offering, will provide that we will indemnify our directors and officers to the fullest extent permitted by applicable law. See the section titled “Management—Limitation on Liability and Indemnification Matters.”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Related-Party Transactions</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Our board of directors has adopted a written related-party transaction policy, to be effective upon the consummation of this offering, setting forth the policies and procedures for the review and approval or ratification of related-party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 All of the transactions described in this section occurred prior to the adoption of this policy.</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080"/>
          </w:cols>
          <w:pgMar w:left="320" w:top="451" w:right="49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as of March 31, 2025, information regarding beneficial ownership of our capital stock by:</w:t>
      </w:r>
    </w:p>
    <w:p>
      <w:pPr>
        <w:spacing w:after="0" w:line="247" w:lineRule="exact"/>
        <w:rPr>
          <w:sz w:val="20"/>
          <w:szCs w:val="20"/>
          <w:color w:val="auto"/>
        </w:rPr>
      </w:pPr>
    </w:p>
    <w:p>
      <w:pPr>
        <w:ind w:left="1140" w:hanging="539"/>
        <w:spacing w:after="0"/>
        <w:tabs>
          <w:tab w:leader="none" w:pos="11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0"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The percentage ownership information under the column titled “Beneficial Ownership Prior to this Offering” is based on 47,844,340 shares of our common stock outstanding as of March 31, 2025, including 39,406,221 shares of our common stock resulting from the Preferred Stock Conversion, as if this conversion had occurred as of March 31, 2025, and 30,731 shares of our common stock and 45,047 shares of our common stock resulting from the Series B Warrant Exercise and the Series D Warrant Exercise, respectively, as if such exercises had occurred as of March 31, 2025. The percentage ownership information under the column titled “Beneficial Ownership After this Offering” assumes the foregoing and the issuance of 7,900,000 shares of common stock in this offering and assumes no exercise of the underwriters’ option to purchase additional shares. In addition, the following table does not reflect any shares of common stock that may be purchased in this offering.</w:t>
      </w:r>
    </w:p>
    <w:p>
      <w:pPr>
        <w:spacing w:after="0" w:line="18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have determined beneficial ownership according to the rules and regulations of the SEC, and thus it generally means that a person has beneficial ownership of a security if he, she, or it possesses sole or shared voting or investment power of that security. In addition, shares of common stock issuable upon the exercise of stock options or warrants that are currently exercisable or exercisable within 60 days of March 31, 2025 are included in the following table. These shares are deemed to be outstanding and beneficially owned by the person holding those options or warrants for the purpose of computing the percentage ownership of that person, but they are not treated as outstanding for the purpose of computing the percentage ownership of any other person. The information contained in the following table does not necessarily indicate beneficial ownership for any other purpose. Unless otherwise indicated, the persons or entities identified in this table have sole voting and investment power with respect to all shares shown as beneficially owned by them, subject to applicable community property laws.</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080"/>
          </w:cols>
          <w:pgMar w:left="320" w:top="451" w:right="49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Unless otherwise noted below, the address for each beneficial owner listed in the table below is c/o Omada Health, Inc., 500 Sansome Street, Suite 200, San Francisco, California 94111.</w:t>
      </w:r>
    </w:p>
    <w:p>
      <w:pPr>
        <w:spacing w:after="0" w:line="17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760" w:type="dxa"/>
            <w:vAlign w:val="bottom"/>
            <w:gridSpan w:val="7"/>
            <w:vMerge w:val="restart"/>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Beneficial Ownership Prior to this Offering</w:t>
            </w:r>
          </w:p>
        </w:tc>
        <w:tc>
          <w:tcPr>
            <w:tcW w:w="420" w:type="dxa"/>
            <w:vAlign w:val="bottom"/>
            <w:vMerge w:val="restart"/>
          </w:tcPr>
          <w:p>
            <w:pPr>
              <w:spacing w:after="0"/>
              <w:rPr>
                <w:sz w:val="13"/>
                <w:szCs w:val="13"/>
                <w:color w:val="auto"/>
              </w:rPr>
            </w:pPr>
          </w:p>
        </w:tc>
        <w:tc>
          <w:tcPr>
            <w:tcW w:w="198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0" w:type="dxa"/>
            <w:vAlign w:val="bottom"/>
          </w:tcPr>
          <w:p>
            <w:pPr>
              <w:spacing w:after="0"/>
              <w:rPr>
                <w:sz w:val="1"/>
                <w:szCs w:val="1"/>
                <w:color w:val="auto"/>
              </w:rPr>
            </w:pPr>
          </w:p>
        </w:tc>
      </w:tr>
      <w:tr>
        <w:trPr>
          <w:trHeight w:val="172"/>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60" w:type="dxa"/>
            <w:vAlign w:val="bottom"/>
            <w:tcBorders>
              <w:bottom w:val="single" w:sz="8" w:color="auto"/>
            </w:tcBorders>
            <w:gridSpan w:val="7"/>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780" w:type="dxa"/>
            <w:vAlign w:val="bottom"/>
            <w:tcBorders>
              <w:bottom w:val="single" w:sz="8" w:color="auto"/>
            </w:tcBorders>
            <w:gridSpan w:val="3"/>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After this Offering</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2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7"/>
        </w:trPr>
        <w:tc>
          <w:tcPr>
            <w:tcW w:w="4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7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Pr>
          <w:p>
            <w:pPr>
              <w:spacing w:after="0"/>
              <w:rPr>
                <w:sz w:val="12"/>
                <w:szCs w:val="12"/>
                <w:color w:val="auto"/>
              </w:rPr>
            </w:pPr>
          </w:p>
        </w:tc>
        <w:tc>
          <w:tcPr>
            <w:tcW w:w="1100" w:type="dxa"/>
            <w:vAlign w:val="bottom"/>
            <w:gridSpan w:val="2"/>
          </w:tcPr>
          <w:p>
            <w:pPr>
              <w:jc w:val="center"/>
              <w:ind w:right="420"/>
              <w:spacing w:after="0" w:line="147" w:lineRule="exact"/>
              <w:rPr>
                <w:sz w:val="20"/>
                <w:szCs w:val="20"/>
                <w:color w:val="auto"/>
              </w:rPr>
            </w:pPr>
            <w:r>
              <w:rPr>
                <w:rFonts w:ascii="Times New Roman" w:cs="Times New Roman" w:eastAsia="Times New Roman" w:hAnsi="Times New Roman"/>
                <w:sz w:val="14"/>
                <w:szCs w:val="14"/>
                <w:b w:val="1"/>
                <w:bCs w:val="1"/>
                <w:color w:val="auto"/>
              </w:rPr>
              <w:t>of</w:t>
            </w:r>
          </w:p>
        </w:tc>
        <w:tc>
          <w:tcPr>
            <w:tcW w:w="7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04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2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Within 60</w:t>
            </w:r>
          </w:p>
        </w:tc>
        <w:tc>
          <w:tcPr>
            <w:tcW w:w="7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40" w:type="dxa"/>
            <w:vAlign w:val="bottom"/>
          </w:tcPr>
          <w:p>
            <w:pPr>
              <w:spacing w:after="0"/>
              <w:rPr>
                <w:sz w:val="12"/>
                <w:szCs w:val="12"/>
                <w:color w:val="auto"/>
              </w:rPr>
            </w:pPr>
          </w:p>
        </w:tc>
        <w:tc>
          <w:tcPr>
            <w:tcW w:w="1100" w:type="dxa"/>
            <w:vAlign w:val="bottom"/>
            <w:gridSpan w:val="2"/>
          </w:tcPr>
          <w:p>
            <w:pPr>
              <w:jc w:val="center"/>
              <w:ind w:right="420"/>
              <w:spacing w:after="0" w:line="147"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7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Beneficially</w:t>
            </w:r>
          </w:p>
        </w:tc>
        <w:tc>
          <w:tcPr>
            <w:tcW w:w="1220" w:type="dxa"/>
            <w:vAlign w:val="bottom"/>
            <w:gridSpan w:val="3"/>
          </w:tcPr>
          <w:p>
            <w:pPr>
              <w:jc w:val="right"/>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of Beneficial</w:t>
            </w:r>
          </w:p>
        </w:tc>
        <w:tc>
          <w:tcPr>
            <w:tcW w:w="0" w:type="dxa"/>
            <w:vAlign w:val="bottom"/>
          </w:tcPr>
          <w:p>
            <w:pPr>
              <w:spacing w:after="0"/>
              <w:rPr>
                <w:sz w:val="1"/>
                <w:szCs w:val="1"/>
                <w:color w:val="auto"/>
              </w:rPr>
            </w:pPr>
          </w:p>
        </w:tc>
      </w:tr>
      <w:tr>
        <w:trPr>
          <w:trHeight w:val="172"/>
        </w:trPr>
        <w:tc>
          <w:tcPr>
            <w:tcW w:w="4740" w:type="dxa"/>
            <w:vAlign w:val="bottom"/>
            <w:gridSpan w:val="2"/>
            <w:vMerge w:val="continue"/>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26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207"/>
        </w:trPr>
        <w:tc>
          <w:tcPr>
            <w:tcW w:w="4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and Greater Stockholders:</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4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Entities affiliated with U.S. Venture Partners X, L.P.</w:t>
            </w:r>
            <w:r>
              <w:rPr>
                <w:rFonts w:ascii="Times New Roman" w:cs="Times New Roman" w:eastAsia="Times New Roman" w:hAnsi="Times New Roman"/>
                <w:sz w:val="24"/>
                <w:szCs w:val="24"/>
                <w:color w:val="auto"/>
                <w:vertAlign w:val="superscript"/>
              </w:rPr>
              <w:t>(1)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4,718,026</w:t>
            </w:r>
          </w:p>
        </w:tc>
        <w:tc>
          <w:tcPr>
            <w:tcW w:w="2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4,718,026</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4,718,026</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4"/>
        </w:trPr>
        <w:tc>
          <w:tcPr>
            <w:tcW w:w="4740" w:type="dxa"/>
            <w:vAlign w:val="bottom"/>
            <w:gridSpan w:val="2"/>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Entities affiliated with Andreessen Horowitz</w:t>
            </w:r>
            <w:r>
              <w:rPr>
                <w:rFonts w:ascii="Times New Roman" w:cs="Times New Roman" w:eastAsia="Times New Roman" w:hAnsi="Times New Roman"/>
                <w:sz w:val="24"/>
                <w:szCs w:val="24"/>
                <w:color w:val="auto"/>
                <w:vertAlign w:val="superscript"/>
              </w:rPr>
              <w:t>(2)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4,614,574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4,614,574</w:t>
            </w:r>
          </w:p>
        </w:tc>
        <w:tc>
          <w:tcPr>
            <w:tcW w:w="13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4,614,574</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4"/>
        </w:trPr>
        <w:tc>
          <w:tcPr>
            <w:tcW w:w="474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FMR LLC</w:t>
            </w:r>
            <w:r>
              <w:rPr>
                <w:rFonts w:ascii="Times New Roman" w:cs="Times New Roman" w:eastAsia="Times New Roman" w:hAnsi="Times New Roman"/>
                <w:sz w:val="24"/>
                <w:szCs w:val="24"/>
                <w:color w:val="auto"/>
                <w:vertAlign w:val="superscript"/>
              </w:rPr>
              <w:t>(3)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4,448,000</w:t>
            </w:r>
          </w:p>
        </w:tc>
        <w:tc>
          <w:tcPr>
            <w:tcW w:w="2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4,448,000</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4,448,000</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4"/>
        </w:trPr>
        <w:tc>
          <w:tcPr>
            <w:tcW w:w="4740" w:type="dxa"/>
            <w:vAlign w:val="bottom"/>
            <w:gridSpan w:val="2"/>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Cigna Ventures, LLC</w:t>
            </w:r>
            <w:r>
              <w:rPr>
                <w:rFonts w:ascii="Times New Roman" w:cs="Times New Roman" w:eastAsia="Times New Roman" w:hAnsi="Times New Roman"/>
                <w:sz w:val="24"/>
                <w:szCs w:val="24"/>
                <w:color w:val="auto"/>
                <w:vertAlign w:val="superscript"/>
              </w:rPr>
              <w:t>(4)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3,444,629</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3,444,629</w:t>
            </w:r>
          </w:p>
        </w:tc>
        <w:tc>
          <w:tcPr>
            <w:tcW w:w="13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3,444,629</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4"/>
        </w:trPr>
        <w:tc>
          <w:tcPr>
            <w:tcW w:w="474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Entities affiliated with Revelation Partners</w:t>
            </w:r>
            <w:r>
              <w:rPr>
                <w:rFonts w:ascii="Times New Roman" w:cs="Times New Roman" w:eastAsia="Times New Roman" w:hAnsi="Times New Roman"/>
                <w:sz w:val="24"/>
                <w:szCs w:val="24"/>
                <w:color w:val="auto"/>
                <w:vertAlign w:val="superscript"/>
              </w:rPr>
              <w:t>(5)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5,208,034</w:t>
            </w:r>
          </w:p>
        </w:tc>
        <w:tc>
          <w:tcPr>
            <w:tcW w:w="2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5,208,034</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5,208,034</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4"/>
        </w:trPr>
        <w:tc>
          <w:tcPr>
            <w:tcW w:w="4740" w:type="dxa"/>
            <w:vAlign w:val="bottom"/>
            <w:gridSpan w:val="2"/>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Entities affiliated aMoon Growth Fund</w:t>
            </w:r>
            <w:r>
              <w:rPr>
                <w:rFonts w:ascii="Times New Roman" w:cs="Times New Roman" w:eastAsia="Times New Roman" w:hAnsi="Times New Roman"/>
                <w:sz w:val="24"/>
                <w:szCs w:val="24"/>
                <w:color w:val="auto"/>
                <w:vertAlign w:val="superscript"/>
              </w:rPr>
              <w:t>(6)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2,703,903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2,703,903</w:t>
            </w:r>
          </w:p>
        </w:tc>
        <w:tc>
          <w:tcPr>
            <w:tcW w:w="13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2,703,903</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4"/>
        </w:trPr>
        <w:tc>
          <w:tcPr>
            <w:tcW w:w="474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Norwest Venture Partners XII, LP</w:t>
            </w:r>
            <w:r>
              <w:rPr>
                <w:rFonts w:ascii="Times New Roman" w:cs="Times New Roman" w:eastAsia="Times New Roman" w:hAnsi="Times New Roman"/>
                <w:sz w:val="24"/>
                <w:szCs w:val="24"/>
                <w:color w:val="auto"/>
                <w:vertAlign w:val="superscript"/>
              </w:rPr>
              <w:t>(7)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2,531,000</w:t>
            </w:r>
          </w:p>
        </w:tc>
        <w:tc>
          <w:tcPr>
            <w:tcW w:w="2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2,531,000</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2,531,000</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4"/>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4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Sean Duffy</w:t>
            </w:r>
            <w:r>
              <w:rPr>
                <w:rFonts w:ascii="Times New Roman" w:cs="Times New Roman" w:eastAsia="Times New Roman" w:hAnsi="Times New Roman"/>
                <w:sz w:val="24"/>
                <w:szCs w:val="24"/>
                <w:color w:val="auto"/>
                <w:vertAlign w:val="superscript"/>
              </w:rPr>
              <w:t>(8)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861,109</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1,152,671</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2,013,780</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2,013,780</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4"/>
        </w:trPr>
        <w:tc>
          <w:tcPr>
            <w:tcW w:w="4740" w:type="dxa"/>
            <w:vAlign w:val="bottom"/>
            <w:gridSpan w:val="2"/>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Steve Cook</w:t>
            </w:r>
            <w:r>
              <w:rPr>
                <w:rFonts w:ascii="Times New Roman" w:cs="Times New Roman" w:eastAsia="Times New Roman" w:hAnsi="Times New Roman"/>
                <w:sz w:val="24"/>
                <w:szCs w:val="24"/>
                <w:color w:val="auto"/>
                <w:vertAlign w:val="superscript"/>
              </w:rPr>
              <w:t>(9)</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344,484</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344,484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344,484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4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Wei-Li Shao</w:t>
            </w:r>
            <w:r>
              <w:rPr>
                <w:rFonts w:ascii="Times New Roman" w:cs="Times New Roman" w:eastAsia="Times New Roman" w:hAnsi="Times New Roman"/>
                <w:sz w:val="24"/>
                <w:szCs w:val="24"/>
                <w:color w:val="auto"/>
                <w:vertAlign w:val="superscript"/>
              </w:rPr>
              <w:t>(10)</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579,095</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579,095</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579,095</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4"/>
        </w:trPr>
        <w:tc>
          <w:tcPr>
            <w:tcW w:w="4740" w:type="dxa"/>
            <w:vAlign w:val="bottom"/>
            <w:gridSpan w:val="2"/>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Jeryl Hilleman</w:t>
            </w:r>
            <w:r>
              <w:rPr>
                <w:rFonts w:ascii="Times New Roman" w:cs="Times New Roman" w:eastAsia="Times New Roman" w:hAnsi="Times New Roman"/>
                <w:sz w:val="24"/>
                <w:szCs w:val="24"/>
                <w:color w:val="auto"/>
                <w:vertAlign w:val="superscript"/>
              </w:rPr>
              <w:t>(11)</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208,886</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208,886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208,886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4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Anne Beal, M.D., M.P.H.</w:t>
            </w:r>
            <w:r>
              <w:rPr>
                <w:rFonts w:ascii="Times New Roman" w:cs="Times New Roman" w:eastAsia="Times New Roman" w:hAnsi="Times New Roman"/>
                <w:sz w:val="24"/>
                <w:szCs w:val="24"/>
                <w:color w:val="auto"/>
                <w:vertAlign w:val="superscript"/>
              </w:rPr>
              <w:t>(12)</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40" w:type="dxa"/>
            <w:vAlign w:val="bottom"/>
            <w:gridSpan w:val="2"/>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Trevor Fetter</w:t>
            </w:r>
            <w:r>
              <w:rPr>
                <w:rFonts w:ascii="Times New Roman" w:cs="Times New Roman" w:eastAsia="Times New Roman" w:hAnsi="Times New Roman"/>
                <w:sz w:val="24"/>
                <w:szCs w:val="24"/>
                <w:color w:val="auto"/>
                <w:vertAlign w:val="superscript"/>
              </w:rPr>
              <w:t>(13)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111,200</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120,484</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213,684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231,684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4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Sachin Jain, M.D.</w:t>
            </w:r>
            <w:r>
              <w:rPr>
                <w:rFonts w:ascii="Times New Roman" w:cs="Times New Roman" w:eastAsia="Times New Roman" w:hAnsi="Times New Roman"/>
                <w:sz w:val="24"/>
                <w:szCs w:val="24"/>
                <w:color w:val="auto"/>
                <w:vertAlign w:val="superscript"/>
              </w:rPr>
              <w:t>(14)</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26,249</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40" w:type="dxa"/>
            <w:vAlign w:val="bottom"/>
            <w:gridSpan w:val="2"/>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Julie Klapstein</w:t>
            </w:r>
            <w:r>
              <w:rPr>
                <w:rFonts w:ascii="Times New Roman" w:cs="Times New Roman" w:eastAsia="Times New Roman" w:hAnsi="Times New Roman"/>
                <w:sz w:val="24"/>
                <w:szCs w:val="24"/>
                <w:color w:val="auto"/>
                <w:vertAlign w:val="superscript"/>
              </w:rPr>
              <w:t>(15)</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22,916</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4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Jonathan Root, M.D.</w:t>
            </w:r>
            <w:r>
              <w:rPr>
                <w:rFonts w:ascii="Times New Roman" w:cs="Times New Roman" w:eastAsia="Times New Roman" w:hAnsi="Times New Roman"/>
                <w:sz w:val="24"/>
                <w:szCs w:val="24"/>
                <w:color w:val="auto"/>
                <w:vertAlign w:val="superscript"/>
              </w:rPr>
              <w:t>(16)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4,718,026</w:t>
            </w:r>
          </w:p>
        </w:tc>
        <w:tc>
          <w:tcPr>
            <w:tcW w:w="2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4,718,026</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4,718,026</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4"/>
        </w:trPr>
        <w:tc>
          <w:tcPr>
            <w:tcW w:w="4740" w:type="dxa"/>
            <w:vAlign w:val="bottom"/>
            <w:gridSpan w:val="2"/>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Adam Stavisky</w:t>
            </w:r>
            <w:r>
              <w:rPr>
                <w:rFonts w:ascii="Times New Roman" w:cs="Times New Roman" w:eastAsia="Times New Roman" w:hAnsi="Times New Roman"/>
                <w:sz w:val="24"/>
                <w:szCs w:val="24"/>
                <w:color w:val="auto"/>
                <w:vertAlign w:val="superscript"/>
              </w:rPr>
              <w:t>(17)</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22,916</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7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All current directors and executive officers as a group (10</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persons)</w:t>
            </w:r>
            <w:r>
              <w:rPr>
                <w:rFonts w:ascii="Times New Roman" w:cs="Times New Roman" w:eastAsia="Times New Roman" w:hAnsi="Times New Roman"/>
                <w:sz w:val="26"/>
                <w:szCs w:val="26"/>
                <w:color w:val="auto"/>
                <w:vertAlign w:val="superscript"/>
              </w:rPr>
              <w:t>(18)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5,690,335</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2,494,367</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8,184,702</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16.3%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8,184,702</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5715</wp:posOffset>
            </wp:positionV>
            <wp:extent cx="75501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9" w:lineRule="exact"/>
        <w:rPr>
          <w:sz w:val="20"/>
          <w:szCs w:val="20"/>
          <w:color w:val="auto"/>
        </w:rPr>
      </w:pPr>
    </w:p>
    <w:p>
      <w:pPr>
        <w:ind w:left="600" w:hanging="426"/>
        <w:spacing w:after="0"/>
        <w:tabs>
          <w:tab w:leader="none" w:pos="6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beneficial ownership of less than 1% of the total outstanding common stock.</w:t>
      </w:r>
    </w:p>
    <w:p>
      <w:pPr>
        <w:spacing w:after="0" w:line="2" w:lineRule="exact"/>
        <w:rPr>
          <w:sz w:val="20"/>
          <w:szCs w:val="20"/>
          <w:color w:val="auto"/>
        </w:rPr>
      </w:pPr>
    </w:p>
    <w:p>
      <w:pPr>
        <w:jc w:val="both"/>
        <w:ind w:left="600" w:hanging="426"/>
        <w:spacing w:after="0" w:line="219" w:lineRule="auto"/>
        <w:tabs>
          <w:tab w:leader="none" w:pos="6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4,571,769 shares of common stock held by U.S. Venture Partners X, L.P. and (ii) 146,257 shares of common stock held by USVP X Affiliates, L.P. (together with U.S. Venture Partners X, L.P., the “USVP X Funds”). Presidio Management Group X, L.L.C. (“PMG X”), the general partner of the USVP X Funds, has sole voting and dispositive power with respect to the shares held by the USVP X Funds. Dr. Jonathan Root, a member of our board of directors, Irwin Federman, Steven Krausz, Richard Lewis, and Casey Tansey are the managing members of PMG X, who may be deemed to share voting and dispositive power over the shares held by the USVP X Funds, and disclaim beneficial ownership of such shares, except to the extent of any pecuniary interest therein. The address for each of these entities and individuals is 1460 El Camino Real, Suite 100, Menlo Park, CA 94025.</w:t>
      </w:r>
    </w:p>
    <w:p>
      <w:pPr>
        <w:jc w:val="both"/>
        <w:ind w:left="600" w:hanging="426"/>
        <w:spacing w:after="0" w:line="219" w:lineRule="auto"/>
        <w:tabs>
          <w:tab w:leader="none" w:pos="6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403,972 shares of common stock held of record by AH Parallel Fund IV, L.P., for itself and as nominee for AH Parallel Fund IV-A, L.P., AH Parallel Fund IV-B, L.P., and AH Parallel Fund IV-Q, L.P. (collectively, the “AH Parallel Fund IV Entities”), and (ii) 4,210,602 shares of common stock held of record by Andreessen Horowitz Fund IV, L.P., for itself and as nominee for Andreessen Horowitz Fund IV-A, L.P., Andreessen Horowitz Fund IV-B, L.P., and Andreessen Horowitz Fund IV-Q, L.P. (collectively, the “AH Fund IV Entities”). AH Equity Partners IV (Parallel), L.L.C. (“AH EP IV Parallel”) is the general partner of the AH Parallel Fund IV Entities. The managing members of AH EP IV Parallel are Marc Andreessen and Ben Horowitz. AH EP IV Parallel has sole voting and dispositive power with regard to the shares held by the AH Parallel Fund IV Entities. AH Equity Partners IV, L.L.C. (“AH EP IV”) is the general partner of the AH Fund IV Entities. The managing members of AH EP IV are Marc Andreessen and Ben Horowitz. AH EP IV has sole voting and dispositive power with respect to the shares held by the AH Fund IV Entities. The address for each of these entities and individuals is 2865 Sand Hill Road, Suite 101, Menlo Park, CA 94025.</w:t>
      </w:r>
    </w:p>
    <w:p>
      <w:pPr>
        <w:ind w:left="600" w:right="20" w:hanging="426"/>
        <w:spacing w:after="0" w:line="235" w:lineRule="auto"/>
        <w:tabs>
          <w:tab w:leader="none" w:pos="6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717,691 shares of common stock held by Fidelity Select Portfolios: Health Care Portfolio, (ii) 485,651 shares of common stock held by Fidelity Advisor Series VII: Fidelity Advisor Health Care Fund, (iii) 199,183 shares of common stock held by Fidelity</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080"/>
          </w:cols>
          <w:pgMar w:left="320" w:top="451" w:right="49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Central Investment Portfolios LLC: Fidelity U.S. Equity Central Fund – Health Care Sub, (iv) 93,830 shares of common stock held by Variable Insurance Products Fund IV: VIP</w:t>
      </w:r>
    </w:p>
    <w:p>
      <w:pPr>
        <w:spacing w:after="0" w:line="2" w:lineRule="exact"/>
        <w:rPr>
          <w:sz w:val="20"/>
          <w:szCs w:val="20"/>
          <w:color w:val="auto"/>
        </w:rPr>
      </w:pPr>
    </w:p>
    <w:p>
      <w:pPr>
        <w:jc w:val="both"/>
        <w:ind w:left="600"/>
        <w:spacing w:after="0" w:line="219" w:lineRule="auto"/>
        <w:rPr>
          <w:sz w:val="20"/>
          <w:szCs w:val="20"/>
          <w:color w:val="auto"/>
        </w:rPr>
      </w:pPr>
      <w:r>
        <w:rPr>
          <w:rFonts w:ascii="Times New Roman" w:cs="Times New Roman" w:eastAsia="Times New Roman" w:hAnsi="Times New Roman"/>
          <w:sz w:val="14"/>
          <w:szCs w:val="14"/>
          <w:color w:val="auto"/>
        </w:rPr>
        <w:t>Health Care Portfolio, (v) 727,646 shares of common stock held by Fidelity Select Portfolios: Select Medical Technology and Devices Portfolio, (vi) 145,020 shares of common stock held by Fidelity Mt. Vernon Street Trust: Fidelity Series Growth Company Fund, (vii) 852,686 shares of common stock held by Fidelity Mt. Vernon Street Trust: Fidelity Growth Company Fund, (viii) 1,014,110 shares of common stock held by Fidelity Growth Company Commingled Pool, and (ix) 212,183 shares of common stock held by Fidelity Mt. Vernon Street Trust : Fidelity Growth Company K6 Fund. These funds and accounts are managed by direct or indirect subsidiaries of FMR LLC. The shares held by these funds and accounts are beneficially owned, or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FMR LLC is 245 Summer Street, Boston, MA 02210.</w:t>
      </w:r>
    </w:p>
    <w:p>
      <w:pPr>
        <w:jc w:val="both"/>
        <w:ind w:left="600" w:hanging="426"/>
        <w:spacing w:after="0" w:line="219" w:lineRule="auto"/>
        <w:tabs>
          <w:tab w:leader="none" w:pos="6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3,444,629 shares of common stock held by Cigna Ventures, LLC (“Cigna Ventures”). Cigna Ventures is a wholly owned subsidiary of The Cigna Group and The Cigna Group may be deemed to have sole voting and dispositive power with respect to the shares held by Cigna Ventures. The address for each of these entities is 900 Cottage Grove Road, Bloomfield, CT 06002.</w:t>
      </w:r>
    </w:p>
    <w:p>
      <w:pPr>
        <w:jc w:val="both"/>
        <w:ind w:left="600" w:hanging="426"/>
        <w:spacing w:after="0" w:line="219" w:lineRule="auto"/>
        <w:tabs>
          <w:tab w:leader="none" w:pos="6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802,849 shares of common stock held by Revelation Healthcare Fund II, L.P., (ii) 816,993 shares of common stock held by Revelation Alpine, L.P., (iii) 492,886 shares of common stock held by Revelation Alpine, LLC, and (iv) 3,095,306 shares of common stock held by Revelation Healthcare Fund IV, L.P (collectively, the “Revelation Funds”). Revelation Healthcare Fund II GP, LLC is the general partner of Revelation Healthcare Fund II GP, L.P., which is the general partner of Revelation Healthcare Fund II, L.P. Revelation Alpine GP, LLC is the general partner of Revelation Alpine, L.P. and the manager of Revelation Alpine, LLC. Revelation Healthcare Fund IV GP, LLC is the general partner of Revelation Healthcare Fund IV GP, L.P., which is the general partner of Revelation Healthcare Fund IV, L.P. Scott Halsted and Michael Boggs are the managing members of Revelation Healthcare Fund II GP, LLC, Revelation Alpine GP, LLC, and Revelation Healthcare Fund IV GP, LLC and in such capacity make investment and voting decisions on behalf of the Revelation Funds. The address for each of these entities and individuals is 300 Turney Street, 2</w:t>
      </w:r>
      <w:r>
        <w:rPr>
          <w:rFonts w:ascii="Times New Roman" w:cs="Times New Roman" w:eastAsia="Times New Roman" w:hAnsi="Times New Roman"/>
          <w:sz w:val="10"/>
          <w:szCs w:val="10"/>
          <w:color w:val="auto"/>
        </w:rPr>
        <w:t>nd</w:t>
      </w:r>
      <w:r>
        <w:rPr>
          <w:rFonts w:ascii="Times New Roman" w:cs="Times New Roman" w:eastAsia="Times New Roman" w:hAnsi="Times New Roman"/>
          <w:sz w:val="14"/>
          <w:szCs w:val="14"/>
          <w:color w:val="auto"/>
        </w:rPr>
        <w:t xml:space="preserve"> Floor, Sausalito, CA 94965.</w:t>
      </w:r>
    </w:p>
    <w:p>
      <w:pPr>
        <w:jc w:val="both"/>
        <w:ind w:left="600" w:hanging="426"/>
        <w:spacing w:after="0" w:line="219" w:lineRule="auto"/>
        <w:tabs>
          <w:tab w:leader="none" w:pos="6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1,351,950 shares of common stock held by aMoon Growth Fund II, L.P. and (ii) 1,351,953 shares of common stock held by aMoon Growth Fund Limited Partnership. aMoon Growth II General Partner Limited is the sole general partner of aMoon Growth Fund II G.P., L.P., which is the sole general partner of aMoon Growth Fund II, L.P. aMoon General Partner Limited is the sole general partner of aMoon Growth Fund G.P. Limited Partnership, which is the sole general partner of aMoon Growth Fund Limited Partnership. Dr. Yair Schindel is the sole director and shareholder of aMoon Growth II General Partner Limited and aMoon General Partner Limited and, as a result, may be deemed to share voting and dispositive power with respect to the shares held by aMoon Growth Fund II, L.P. and aMoon Growth Fund Limited Partnership. Dr. Schindel disclaims beneficial ownership of these shares except to the extent of his pecuniary interest therein. The address for each of these entities is 34 Jerusalem Road, Beit Gamla B, Ra’anana, Israel.</w:t>
      </w:r>
    </w:p>
    <w:p>
      <w:pPr>
        <w:jc w:val="both"/>
        <w:ind w:left="600" w:right="20" w:hanging="426"/>
        <w:spacing w:after="0" w:line="219" w:lineRule="auto"/>
        <w:tabs>
          <w:tab w:leader="none" w:pos="6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2,531,000 shares of common stock held by Norwest Venture Partners XII, L.P. (“NVP XII”). Genesis VC Partners XII, LLC (“Genesis XII”) is the general partner of NVP XII and NVP Associates, LLC (“NVP Associates”) is the managing member of Genesis XII. Genesis XII, NVP Associates and Jeffrey Crowe, and Jon E. Kossow, as co-chief executive officers of NVP Associates, may be deemed to share voting and dispositive power over the shares held by NVP XII. Each of Genesis XII, NVP Associates, and Messrs. Crowe and Kossow disclaims beneficial ownership of the securities held by NVP XII, except to the extent of its or his pecuniary interest therein. The address for each of these entities and individuals is 1300 El Camino Real, Suite 200, Menlo Park, CA 94025.</w:t>
      </w:r>
    </w:p>
    <w:p>
      <w:pPr>
        <w:jc w:val="both"/>
        <w:ind w:left="600" w:right="20" w:hanging="426"/>
        <w:spacing w:after="0" w:line="219" w:lineRule="auto"/>
        <w:tabs>
          <w:tab w:leader="none" w:pos="6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861,109 shares of common stock held by family trusts for the benefit of Mr. Duffy’s family members and (ii) 1,152,671 shares underlying options to purchase common stock that are exercisable within 60 days of March 31, 2025. Mr. Duffy disclaims beneficial ownership of the shares held by the family trusts except to the extent of his pecuniary interest therein.</w:t>
      </w:r>
    </w:p>
    <w:p>
      <w:pPr>
        <w:ind w:left="600" w:hanging="426"/>
        <w:spacing w:after="0" w:line="219" w:lineRule="auto"/>
        <w:tabs>
          <w:tab w:leader="none" w:pos="6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344,484 shares underlying options to purchase common stock that are exercisable within 60 days of March 31, 2025.</w:t>
      </w:r>
    </w:p>
    <w:p>
      <w:pPr>
        <w:ind w:left="600" w:hanging="426"/>
        <w:spacing w:after="0" w:line="219" w:lineRule="auto"/>
        <w:tabs>
          <w:tab w:leader="none" w:pos="6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579,095 shares underlying options to purchase common stock that are exercisable within 60 days of March 31, 2025.</w:t>
      </w:r>
    </w:p>
    <w:p>
      <w:pPr>
        <w:ind w:left="600" w:hanging="426"/>
        <w:spacing w:after="0" w:line="219" w:lineRule="auto"/>
        <w:tabs>
          <w:tab w:leader="none" w:pos="6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208,886 shares underlying options to purchase common stock that are exercisable within 60 days of March 31, 2025.</w:t>
      </w:r>
    </w:p>
    <w:p>
      <w:pPr>
        <w:ind w:left="600" w:hanging="426"/>
        <w:spacing w:after="0" w:line="219" w:lineRule="auto"/>
        <w:tabs>
          <w:tab w:leader="none" w:pos="6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16,666 shares underlying options to purchase common stock that are exercisable within 60 days of March 31, 2025.</w:t>
      </w:r>
    </w:p>
    <w:p>
      <w:pPr>
        <w:ind w:left="600" w:right="20" w:hanging="426"/>
        <w:spacing w:after="0" w:line="219" w:lineRule="auto"/>
        <w:tabs>
          <w:tab w:leader="none" w:pos="6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111,200 shares of common stock held by a limited liability company of which Mr. Fetter is the sole member and (ii) 120,484 shares underlying options to purchase common stock that are exercisable within 60 days of March 31, 2025.</w:t>
      </w:r>
    </w:p>
    <w:p>
      <w:pPr>
        <w:ind w:left="600" w:hanging="426"/>
        <w:spacing w:after="0" w:line="219" w:lineRule="auto"/>
        <w:tabs>
          <w:tab w:leader="none" w:pos="6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26,249 shares underlying options to purchase common stock that are exercisable within 60 days of March 31, 2025.</w:t>
      </w:r>
    </w:p>
    <w:p>
      <w:pPr>
        <w:ind w:left="600" w:hanging="426"/>
        <w:spacing w:after="0" w:line="219" w:lineRule="auto"/>
        <w:tabs>
          <w:tab w:leader="none" w:pos="6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22,916 shares underlying options to purchase common stock that are exercisable within 60 days of March 31, 2025.</w:t>
      </w:r>
    </w:p>
    <w:p>
      <w:pPr>
        <w:jc w:val="both"/>
        <w:ind w:left="600" w:hanging="426"/>
        <w:spacing w:after="0" w:line="219" w:lineRule="auto"/>
        <w:tabs>
          <w:tab w:leader="none" w:pos="6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shares described in footnote (1) above. Dr. Jonathan Root, a member of our board of directors, is a managing member of PMG X, the general partner of the USVP X Funds, and, therefore, may be deemed to share voting and dispositive power with respect to the shares described in footnote (1) above. Dr. Root disclaims beneficial ownership of such shares, except to the extent of any pecuniary interest therein.</w:t>
      </w:r>
    </w:p>
    <w:p>
      <w:pPr>
        <w:ind w:left="600" w:hanging="426"/>
        <w:spacing w:after="0" w:line="219" w:lineRule="auto"/>
        <w:tabs>
          <w:tab w:leader="none" w:pos="6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22,916 shares underlying options to purchase common stock that are exercisable within 60 days of March 31, 2025.</w:t>
      </w:r>
    </w:p>
    <w:p>
      <w:pPr>
        <w:ind w:left="600" w:right="20" w:hanging="426"/>
        <w:spacing w:after="0" w:line="235" w:lineRule="auto"/>
        <w:tabs>
          <w:tab w:leader="none" w:pos="6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5,690,335 shares of common stock beneficially owned by our current directors and executive officers and (ii) 2,494,367 shares underlying options to purchase common stock that are exercisable within 60 days of March 31, 2025.</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080"/>
          </w:cols>
          <w:pgMar w:left="320" w:top="451" w:right="49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2" w:lineRule="exact"/>
        <w:rPr>
          <w:sz w:val="20"/>
          <w:szCs w:val="20"/>
          <w:color w:val="auto"/>
        </w:rPr>
      </w:pPr>
    </w:p>
    <w:p>
      <w:pPr>
        <w:jc w:val="both"/>
        <w:ind w:left="180" w:right="20" w:firstLine="436"/>
        <w:spacing w:after="0" w:line="263" w:lineRule="auto"/>
        <w:rPr>
          <w:sz w:val="20"/>
          <w:szCs w:val="20"/>
          <w:color w:val="auto"/>
        </w:rPr>
      </w:pPr>
      <w:r>
        <w:rPr>
          <w:rFonts w:ascii="Times New Roman" w:cs="Times New Roman" w:eastAsia="Times New Roman" w:hAnsi="Times New Roman"/>
          <w:sz w:val="18"/>
          <w:szCs w:val="18"/>
          <w:i w:val="1"/>
          <w:iCs w:val="1"/>
          <w:color w:val="auto"/>
        </w:rPr>
        <w:t>The following description of our capital stock and provisions of our restated certificate of incorporation and amended and restated bylaws are summaries. You should also refer to the restated certificate of incorporation, the amended and restated bylaws, and the amended and restated investors’ rights agreement, which are filed as exhibits to the registration statement of which this prospectus is a part.</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Upon the completion of this offering and the filing of our restated certificate of incorporation, our authorized capital stock will consist of 750,000,000 shares of common stock, par value $0.001 per share, and 10,000,000 shares of preferred stock, par value $0.001 per share.</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Outstanding Shares</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As of March 31, 2025, we had 47,844,340 shares of common stock outstanding, held of record by 567 stockholders, after giving effect to the Preferred Stock Conversion, the Series B Warrant Exercise, and the Series D Warrant Exercise.</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on all matters submitted to a vote of the stockholders, including the election of directors. The election of directors by our stockholders shall be determined by a plurality of the votes cast, and our stockholders do not have cumulative voting rights in the election of directors. Other matters shall be generally decided by the affirmative vote of the holders of a majority of the votes cast (excluding abstentions and broker non-votes) on such matter. In addition, the affirmative vote of holders of at least 66 2/3% of the outstanding voting power of all of our then-outstanding voting stock will be required to take certain actions, including amending certain provisions of our restated certificate of incorporation, including the provisions relating to amending our amended and restated bylaws, the classified board of directors, and director and officer liability.</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4"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holders of our common stock are entitled to receive ratably any dividends that our board of directors may declare out of funds legally available.</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then outstanding shares of preferred stock.</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Holders of our common stock have no preemptive, conversion, or subscription rights, and there are no redemption or sinking-fund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080"/>
          </w:cols>
          <w:pgMar w:left="320" w:top="451" w:right="49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Redeemable Convertible Preferred Stock</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As of March 31, 2025, we had outstanding shares of our Series A, Series B, Series C, Series C-1, Series D, Series D-1, and Series E redeemable convertible preferred stock convertible into an aggregate of 39,406,221 shares of our common stock.</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 xml:space="preserve">Holders of our Series A, Series B, Series C, Series C-1, Series D, Series D-1, and Series E redeemable convertible preferred stock are entitled to receive noncumulative dividends prior and in preference to dividends declared on our common stock at a rate of $0.0321, $0.0710, $0.1897, $0.2245, $0.3022, $0.3597, and $0.3597, respectively, per annum per share. Dividends are payable only when and if declared by our board of directors and shall be paid pro rata, on an equal priority,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according to the respective dividend preferences of each class of our redeemable convertible preferred stock.</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Each share of our Series A, Series B, Series C, Series C-1, Series D, Series D-1, and Series E redeemable convertible preferred stock is convertible at the stockholder’s option at any time into a number of shares of common stock determined by dividing the original issue price by the then-current conversion price for such series. The initial conversion price is the original issue price and is subject to adjustment for broad-based anti-dilution, stock splits, stock dividends, and other equivalent adjustments. In connection with the one-for-three reverse split of our common stock effected on May 27, 2025, the conversion price for each series of our redeemable convertible preferred stock was adjusted such that each share of redeemable convertible preferred stock is now convertible into one-third of a share of our common stock.</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 xml:space="preserve">In the event of any liquidation or winding up of our business, whether voluntary or involuntary, the holders of our redeemable convertible preferred stock are entitled to receive, prior and in preference to any distribution to the holders of our common stock, an amount per share equal to the sum of the applicable original issue price for such series of redeemable convertible preferred stock, together with any declared but unpaid dividends. If, upon such occurrence, the proceeds thus distributed among the holders of our redeemable convertible preferred stock are insufficient to permit the payment of such holders of the full aforesaid preferential amounts, then the entire proceeds legally available for distribution will be distributed pro rata, on an equal priority,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among the holders of the redeemable convertible preferred stock in proportion to the full preferential amount that each such holder is otherwise entitled to receive.</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holders of our redeemable convertible preferred stock have no voluntary rights to redeem shares.</w:t>
      </w:r>
    </w:p>
    <w:p>
      <w:pPr>
        <w:spacing w:after="0" w:line="220"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For additional discussion of our redeemable convertible preferred stock, see Note 9 to our consolidated financial statements included elsewhere in this prospectus.</w:t>
      </w:r>
    </w:p>
    <w:p>
      <w:pPr>
        <w:spacing w:after="0" w:line="163"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Immediately prior to the completion of this offering, all of our currently outstanding shares of redeemable convertible preferred stock will convert into common stock, and we will not have any preferred shares outstanding. In addition, immediately prior to the completion of this offering, our restated certificate of incorporation, as amended, will be restated to delete all references to such shares of redeemable convertible preferred stock.</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Under the restated certificate of incorporation, our board of directors will have the authority, without further action by the stockholders, to issue up to 10,000,000 shares of preferred stock in one or more series, to establish</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080"/>
          </w:cols>
          <w:pgMar w:left="320" w:top="451" w:right="49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62" w:lineRule="auto"/>
        <w:rPr>
          <w:sz w:val="20"/>
          <w:szCs w:val="20"/>
          <w:color w:val="auto"/>
        </w:rPr>
      </w:pPr>
      <w:r>
        <w:rPr>
          <w:rFonts w:ascii="Times New Roman" w:cs="Times New Roman" w:eastAsia="Times New Roman" w:hAnsi="Times New Roman"/>
          <w:sz w:val="18"/>
          <w:szCs w:val="18"/>
          <w:color w:val="auto"/>
        </w:rPr>
        <w:t>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77"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acquisitions and other corporate purposes, could, among other things, have the effect of delaying, deferring, or preventing a change in control of our company that may otherwise benefit holders of our common stock and may adversely affect the market price of the common stock and the voting and other rights of the holders of common stock. We have no current plans to issue any shares of preferred stock.</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As of March 31, 2025, 12,249,492 shares of common stock were issuable upon the exercise of outstanding stock options, at a weighted-average exercise price of $7.31 per share. For additional information regarding terms of our equity incentive plans, see the section titled “Executive and Director Compensation—Equity Incentive Plans.”</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information about outstanding warrants to purchase shares of our stock as of March 31, 2025:</w:t>
      </w:r>
    </w:p>
    <w:p>
      <w:pPr>
        <w:spacing w:after="0" w:line="22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36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36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Stock</w:t>
            </w:r>
          </w:p>
        </w:tc>
        <w:tc>
          <w:tcPr>
            <w:tcW w:w="36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320" w:type="dxa"/>
            <w:vAlign w:val="bottom"/>
            <w:gridSpan w:val="2"/>
          </w:tcPr>
          <w:p>
            <w:pPr>
              <w:jc w:val="center"/>
              <w:ind w:left="277"/>
              <w:spacing w:after="0" w:line="147" w:lineRule="exact"/>
              <w:rPr>
                <w:sz w:val="20"/>
                <w:szCs w:val="20"/>
                <w:color w:val="auto"/>
              </w:rPr>
            </w:pPr>
            <w:r>
              <w:rPr>
                <w:rFonts w:ascii="Times New Roman" w:cs="Times New Roman" w:eastAsia="Times New Roman" w:hAnsi="Times New Roman"/>
                <w:sz w:val="14"/>
                <w:szCs w:val="14"/>
                <w:b w:val="1"/>
                <w:bCs w:val="1"/>
                <w:color w:val="auto"/>
              </w:rPr>
              <w:t>Warrants on an</w:t>
            </w:r>
          </w:p>
        </w:tc>
        <w:tc>
          <w:tcPr>
            <w:tcW w:w="160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7"/>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Underlying Class of Stock</w:t>
            </w: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080" w:type="dxa"/>
            <w:vAlign w:val="bottom"/>
            <w:gridSpan w:val="2"/>
          </w:tcPr>
          <w:p>
            <w:pPr>
              <w:jc w:val="center"/>
              <w:ind w:left="257"/>
              <w:spacing w:after="0" w:line="147" w:lineRule="exact"/>
              <w:rPr>
                <w:sz w:val="20"/>
                <w:szCs w:val="20"/>
                <w:color w:val="auto"/>
              </w:rPr>
            </w:pPr>
            <w:r>
              <w:rPr>
                <w:rFonts w:ascii="Times New Roman" w:cs="Times New Roman" w:eastAsia="Times New Roman" w:hAnsi="Times New Roman"/>
                <w:sz w:val="14"/>
                <w:szCs w:val="14"/>
                <w:b w:val="1"/>
                <w:bCs w:val="1"/>
                <w:color w:val="auto"/>
              </w:rPr>
              <w:t>Prior to this</w:t>
            </w:r>
          </w:p>
        </w:tc>
        <w:tc>
          <w:tcPr>
            <w:tcW w:w="36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As-Converted</w:t>
            </w:r>
          </w:p>
        </w:tc>
        <w:tc>
          <w:tcPr>
            <w:tcW w:w="1600" w:type="dxa"/>
            <w:vAlign w:val="bottom"/>
            <w:gridSpan w:val="4"/>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2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3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Basis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7"/>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8/29/2017</w:t>
            </w:r>
          </w:p>
        </w:tc>
        <w:tc>
          <w:tcPr>
            <w:tcW w:w="3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43,420</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8/29/2027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 Redeemable Convertible Preferred Stock</w:t>
            </w: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5/20/2015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118,363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39,454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6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5"/>
              </w:rPr>
              <w:t>5/19/2025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Redeemable Convertible Preferred Stock</w:t>
            </w:r>
          </w:p>
        </w:tc>
        <w:tc>
          <w:tcPr>
            <w:tcW w:w="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5/18/2020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5/18/2030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The warrants to purchase an aggregate of 43,420 shares of our common stock at an exercise price of $3.24 per share will be automatically exercised on a cashless basis upon the expiration date or if we are acquired. The warrants will remain outstanding following the completion of this offering.</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Series B Redeemable Convertible Preferred Stock Warrants</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warrants to purchase an aggregate of 118,363 shares of our Series B redeemable convertible preferred stock at an exercise price of $1.18 per share (without adjustment for the reverse stock split, which was effective following the expiration date of the warrants) were automatically exercised on a cashless basis upon the expiration of the warrants on May 19, 2025, resulting in the issuance of an aggregate of 92,194 shares of our Series B redeemable convertible preferred stock. Such shares of our Series B redeemable convertible preferred stock will convert into 30,731 shares of our common stock immediately prior to the completion of this offering.</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Series D Redeemable Convertible Preferred Stock Warrants</w:t>
      </w:r>
    </w:p>
    <w:p>
      <w:pPr>
        <w:spacing w:after="0" w:line="224"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The warrants to purchase an aggregate of 660,000 shares of our Series D redeemable convertible preferred stock at an exercise price of $5.04 per share (before adjustment for the reverse stock split) will be automatically</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080"/>
          </w:cols>
          <w:pgMar w:left="320" w:top="451" w:right="49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18"/>
          <w:szCs w:val="18"/>
          <w:color w:val="auto"/>
        </w:rPr>
        <w:t>exercised on a cashless basis upon the expiration date, a qualified initial public offering, or if we are acquired. Immediately prior to the completion of this offering, the warrants to purchase 660,000 shares of our Series D redeemable convertible preferred stock will be exercised on a cashless basis into 135,143 shares of Series D redeemable convertible preferred stock, assuming an initial public offering price of $19.00 per share, which is the midpoint of the estimated price range set forth on the cover page of this prospectus, and subsequently converted into 45,047 shares of common stock.</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Upon the completion of this offering and subject to the market standoff agreements or lock-up agreements entered into in connection with this offering and federal securities laws, certain holders of shares of our common stock, including those shares of our common stock that will be issued upon the conversion of our redeemable convertible preferred stock in connection with this offering, will initially be entitled to certain rights with respect to registration of such shares under the Securities Act. These shares are referred to as registrable securities. The holders of these registrable securities possess registration rights pursuant to the terms of our amended and restated investors’ rights agreement and are described in additional detail below. The registration of shares of our common stock pursuant to the exercise of the registration rights described below would enable the holders to trade these shares without restriction under the Securities Act when the applicable registration statement is declared effective. We will pay the registration expenses, other than underwriting discounts and selling commissions, of the shares registered pursuant to the demand, piggyback, and Form S-3 registrations described below.</w:t>
      </w:r>
    </w:p>
    <w:p>
      <w:pPr>
        <w:spacing w:after="0" w:line="189"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Generally, in an underwritten offering, the managing underwriter, if any, has the right, subject to specified conditions and limitations, to limit the number of shares the holders may include. The demand, piggyback, and Form S-3 registration rights described below will terminate upon (1) the date five years after the consummation of this offering or (2) with respect to each stockholder, the earliest of such date, on or after the completion of this offering, on which all (a) registrable shares held by such stockholder may immediately be sold during a 90-day period pursuant to Rule 144 of the Securities Act, or Rule 144, and (b) one percent or less of our outstanding common stock and all registrable shares held by such stockholder can be sold in any three month period without registration in compliance with Rule 144.</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Upon the completion of this offering, holders of up to approximately 39.4 million shares of our registrable securities will be entitled to certain demand registration rights. The holders of not less than 30% of registrable securities may, on not more than two occasions, request that we register all or a portion of their shares, subject to certain specified exceptions. If such holders exercise their demand registration rights, then holders of approximately 39.4 million shares of our common stock issuable upon conversion of our outstanding redeemable convertible preferred stock will be entitled to register their shares, subject to specified conditions and limitations in the corresponding offering.</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holders of up to approximately 39.4 million shares of our registrable securities are entitled to their rights to notice of this offering and to include their shares of registrable securities in this offering. The requisite percentage of these stockholders have waived all such stockholders’ rights to notice of this offering and to include their shares of registrable securities in this offering. In the event that we propose to register any of our securities under the Securities Act in another offering, either for our own account or for the account of other security holders, the holders of registrable securities will be entitled to certain “piggyback” registration rights allowing them to include their shares in such registration, subject to specified conditions and limitations.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080"/>
          </w:cols>
          <w:pgMar w:left="320" w:top="451" w:right="49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S-3 Registration Rights</w:t>
      </w:r>
    </w:p>
    <w:p>
      <w:pPr>
        <w:spacing w:after="0" w:line="224" w:lineRule="exact"/>
        <w:rPr>
          <w:sz w:val="20"/>
          <w:szCs w:val="20"/>
          <w:color w:val="auto"/>
        </w:rPr>
      </w:pPr>
    </w:p>
    <w:p>
      <w:pPr>
        <w:jc w:val="both"/>
        <w:ind w:left="180" w:firstLine="436"/>
        <w:spacing w:after="0" w:line="273" w:lineRule="auto"/>
        <w:rPr>
          <w:sz w:val="20"/>
          <w:szCs w:val="20"/>
          <w:color w:val="auto"/>
        </w:rPr>
      </w:pPr>
      <w:r>
        <w:rPr>
          <w:rFonts w:ascii="Times New Roman" w:cs="Times New Roman" w:eastAsia="Times New Roman" w:hAnsi="Times New Roman"/>
          <w:sz w:val="17"/>
          <w:szCs w:val="17"/>
          <w:color w:val="auto"/>
        </w:rPr>
        <w:t>Upon the completion of this offering, the holders of up to approximately 39.4 million shares of our registrable securities will initially be entitled to certain Form S-3 registration rights. Such holders may, with respect to not more than two such registrations within any 12-month period, request that we register all or a portion of their shares on Form S-3 if we are qualified to file a registration statement on Form S-3, subject to specified exceptions. Such request for registration on Form S-3 must cover securities with aggregate proceeds, net of underwriting discounts and commissions, which equal or exceed $3.0 million. The right to have such shares registered on Form S-3 is further subject to other specified conditions and limitations.</w:t>
      </w:r>
    </w:p>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Anti-Takeover Provisions of Delaware Law and Our Restated Certificate of Incorporation and Amended and Restated Bylaws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204" w:lineRule="exact"/>
        <w:rPr>
          <w:sz w:val="20"/>
          <w:szCs w:val="20"/>
          <w:color w:val="auto"/>
        </w:rPr>
      </w:pPr>
    </w:p>
    <w:p>
      <w:pPr>
        <w:ind w:left="1140" w:hanging="539"/>
        <w:spacing w:after="0" w:line="277" w:lineRule="auto"/>
        <w:tabs>
          <w:tab w:leader="none" w:pos="11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190" w:lineRule="exact"/>
        <w:rPr>
          <w:rFonts w:ascii="Times New Roman" w:cs="Times New Roman" w:eastAsia="Times New Roman" w:hAnsi="Times New Roman"/>
          <w:sz w:val="18"/>
          <w:szCs w:val="18"/>
          <w:color w:val="auto"/>
        </w:rPr>
      </w:pPr>
    </w:p>
    <w:p>
      <w:pPr>
        <w:jc w:val="both"/>
        <w:ind w:left="1140" w:hanging="539"/>
        <w:spacing w:after="0" w:line="255" w:lineRule="auto"/>
        <w:tabs>
          <w:tab w:leader="none" w:pos="11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209" w:lineRule="exact"/>
        <w:rPr>
          <w:rFonts w:ascii="Times New Roman" w:cs="Times New Roman" w:eastAsia="Times New Roman" w:hAnsi="Times New Roman"/>
          <w:sz w:val="18"/>
          <w:szCs w:val="18"/>
          <w:color w:val="auto"/>
        </w:rPr>
      </w:pPr>
    </w:p>
    <w:p>
      <w:pPr>
        <w:jc w:val="both"/>
        <w:ind w:left="1140" w:hanging="539"/>
        <w:spacing w:after="0" w:line="222" w:lineRule="auto"/>
        <w:tabs>
          <w:tab w:leader="none" w:pos="11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after such date, the business combination is approved by the board of directors and authorized at an annual or special meeting of the stockholders, and not by written consent, by the affirmative vote of at least 66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of the outstanding voting stock that is not owned by the interested stockholder.</w:t>
      </w:r>
    </w:p>
    <w:p>
      <w:pPr>
        <w:spacing w:after="0" w:line="19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247" w:lineRule="exact"/>
        <w:rPr>
          <w:sz w:val="20"/>
          <w:szCs w:val="20"/>
          <w:color w:val="auto"/>
        </w:rPr>
      </w:pPr>
    </w:p>
    <w:p>
      <w:pPr>
        <w:ind w:left="1140" w:hanging="539"/>
        <w:spacing w:after="0"/>
        <w:tabs>
          <w:tab w:leader="none" w:pos="11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190"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and</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163"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080"/>
          </w:cols>
          <w:pgMar w:left="320" w:top="451" w:right="49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statute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Restated Certificate of Incorporation and Amended and Restated Bylaws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Among other things, our restated certificate of incorporation and amended and restated bylaws will:</w:t>
      </w:r>
    </w:p>
    <w:p>
      <w:pPr>
        <w:spacing w:after="0" w:line="247" w:lineRule="exact"/>
        <w:rPr>
          <w:sz w:val="20"/>
          <w:szCs w:val="20"/>
          <w:color w:val="auto"/>
        </w:rPr>
      </w:pPr>
    </w:p>
    <w:p>
      <w:pPr>
        <w:ind w:left="1140" w:right="20" w:hanging="539"/>
        <w:spacing w:after="0" w:line="277" w:lineRule="auto"/>
        <w:tabs>
          <w:tab w:leader="none" w:pos="11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up to 10,000,000 shares of preferred stock, with any rights, preferences, and privileges as they may designate, including the right to approve an acquisition or other change in control;</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our board of directors;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will be classified into three classes of directors, divided as nearly as equal in number as possible;</w:t>
      </w:r>
    </w:p>
    <w:p>
      <w:pPr>
        <w:spacing w:after="0" w:line="247" w:lineRule="exact"/>
        <w:rPr>
          <w:rFonts w:ascii="Times New Roman" w:cs="Times New Roman" w:eastAsia="Times New Roman" w:hAnsi="Times New Roman"/>
          <w:sz w:val="18"/>
          <w:szCs w:val="18"/>
          <w:color w:val="auto"/>
        </w:rPr>
      </w:pPr>
    </w:p>
    <w:p>
      <w:pPr>
        <w:jc w:val="both"/>
        <w:ind w:left="1140" w:hanging="539"/>
        <w:spacing w:after="0" w:line="222" w:lineRule="auto"/>
        <w:tabs>
          <w:tab w:leader="none" w:pos="11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that, subject to the rights of any series of preferred stock to elect directors, directors may only be removed for cause, which removal may be effected, subject to any limitation imposed by law, by the holders of at least 66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of the voting power of all of our then-outstanding shares of the capital stock entitled to vote generally at an election of directors;</w:t>
      </w:r>
    </w:p>
    <w:p>
      <w:pPr>
        <w:spacing w:after="0" w:line="222"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must be effected at a duly called annual or special meeting of stockholders and not be taken by written consent or electronic transmission;</w:t>
      </w:r>
    </w:p>
    <w:p>
      <w:pPr>
        <w:spacing w:after="0" w:line="190" w:lineRule="exact"/>
        <w:rPr>
          <w:rFonts w:ascii="Times New Roman" w:cs="Times New Roman" w:eastAsia="Times New Roman" w:hAnsi="Times New Roman"/>
          <w:sz w:val="18"/>
          <w:szCs w:val="18"/>
          <w:color w:val="auto"/>
        </w:rPr>
      </w:pPr>
    </w:p>
    <w:p>
      <w:pPr>
        <w:jc w:val="both"/>
        <w:ind w:left="1140" w:hanging="539"/>
        <w:spacing w:after="0" w:line="262" w:lineRule="auto"/>
        <w:tabs>
          <w:tab w:leader="none" w:pos="11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203"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only by our board of directors pursuant to a resolution adopted by a majority of the total number of directors constituting the board, and not by our stockholders; and</w:t>
      </w:r>
    </w:p>
    <w:p>
      <w:pPr>
        <w:spacing w:after="0" w:line="190"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63" w:lineRule="exact"/>
        <w:rPr>
          <w:sz w:val="20"/>
          <w:szCs w:val="20"/>
          <w:color w:val="auto"/>
        </w:rPr>
      </w:pPr>
    </w:p>
    <w:p>
      <w:pPr>
        <w:jc w:val="both"/>
        <w:ind w:left="180" w:right="20" w:firstLine="436"/>
        <w:spacing w:after="0" w:line="292" w:lineRule="auto"/>
        <w:rPr>
          <w:sz w:val="20"/>
          <w:szCs w:val="20"/>
          <w:color w:val="auto"/>
        </w:rPr>
      </w:pPr>
      <w:r>
        <w:rPr>
          <w:rFonts w:ascii="Times New Roman" w:cs="Times New Roman" w:eastAsia="Times New Roman" w:hAnsi="Times New Roman"/>
          <w:sz w:val="18"/>
          <w:szCs w:val="18"/>
          <w:color w:val="auto"/>
        </w:rPr>
        <w:t xml:space="preserve">The amendment of any of these provisions, except for the provision making it possible for our board of directors to issue undesignated preferred stock, would require approval by the holders of at least 66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of the voting power of all of our then-outstanding common stock.</w:t>
      </w:r>
    </w:p>
    <w:p>
      <w:pPr>
        <w:spacing w:after="0" w:line="26"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effect a change in control of our company.</w:t>
      </w:r>
    </w:p>
    <w:p>
      <w:pPr>
        <w:spacing w:after="0" w:line="183"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080"/>
          </w:cols>
          <w:pgMar w:left="320" w:top="451" w:right="49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control or management of our company.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224"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Our restated certificate of incorporation will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or stockholders to us or to our stockholders; any action asserting a claim against us arising pursuant to the Delaware General Corporation Law, our restated certificate of incorporation, or our amended and restated bylaws (as either may be amended from time to time);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restated certificate of incorporation will also provide that the federal district courts of the United States of America will be the exclusive forum for the resolution of any complaint asserting a cause of action under the Securities Act.</w:t>
      </w:r>
    </w:p>
    <w:p>
      <w:pPr>
        <w:spacing w:after="0" w:line="191"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If any action the subject matter of which is within the scope described above is filed in a court other than a court located within the State of Delaware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restated certificate of incorporation and having service of process made upon such stockholder in any such action by service upon such stockholder’s counsel in the Foreign Action as agent for such stockholder. Although our restated certificate of incorporation will contain the choice of forum provision described above, it is possible that a court could find that such a provision is inapplicable for a particular claim or action or that such provision is unenforceable.</w:t>
      </w:r>
    </w:p>
    <w:p>
      <w:pPr>
        <w:spacing w:after="0" w:line="189"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(including by making it more costly for stockholders to bring such claims), although our stockholders will not be deemed to have waived our compliance with federal securities laws and the rules and regulations thereunder.</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For a discussion of liability and indemnification, see the section titled “Management—Limitation on Liability and Indemnification Matters.”</w:t>
      </w: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have applied to list our common stock on the Nasdaq Global Market under the trading symbol “OMDA.”</w:t>
      </w:r>
    </w:p>
    <w:p>
      <w:pPr>
        <w:spacing w:after="0" w:line="15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080"/>
          </w:cols>
          <w:pgMar w:left="320" w:top="451" w:right="49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4" w:lineRule="exact"/>
        <w:rPr>
          <w:sz w:val="20"/>
          <w:szCs w:val="20"/>
          <w:color w:val="auto"/>
        </w:rPr>
      </w:pPr>
    </w:p>
    <w:p>
      <w:pPr>
        <w:ind w:left="180" w:firstLine="436"/>
        <w:spacing w:after="0" w:line="277" w:lineRule="auto"/>
        <w:rPr>
          <w:sz w:val="20"/>
          <w:szCs w:val="20"/>
          <w:color w:val="auto"/>
        </w:rPr>
      </w:pPr>
      <w:r>
        <w:rPr>
          <w:rFonts w:ascii="Times New Roman" w:cs="Times New Roman" w:eastAsia="Times New Roman" w:hAnsi="Times New Roman"/>
          <w:sz w:val="18"/>
          <w:szCs w:val="18"/>
          <w:color w:val="auto"/>
        </w:rPr>
        <w:t>Upon completion of this offering, the transfer agent and registrar for our common stock will be Equiniti Trust Company, LLC. The transfer agent and registrar’s address is 48 Wall Street, 22nd Floor, New York, New York 10005.</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060"/>
          </w:cols>
          <w:pgMar w:left="320" w:top="451" w:right="51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and a liquid trading market for our common stock may not develop or be sustained after this offering. Future sales of our common stock, including shares issued upon the exercise of outstanding options or warrants, in the public market after the completion of this offering, or the perception that those sales may occur, could adversely affect the prevailing market price for our common stock from time to time or impair our ability to raise equity capital in the future. As described below, only a limited number of shares of our common stock will be available for sale in the public market for a period of several months after the completion of this offering due to contractual and legal restrictions on resale described below. Future sales of our common stock in the public market either before or after restrictions lapse, or the perception that those sales may occur, could adversely affect the prevailing market price of our common stock at such time and our ability to raise equity capital at a time and price we deem appropriate.</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Sale of Restricted Shares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Based on the number of shares of our common stock outstanding as of March 31, 2025, after giving effect to (i) the Preferred Stock Conversion,</w:t>
      </w:r>
    </w:p>
    <w:p>
      <w:pPr>
        <w:spacing w:after="0" w:line="26" w:lineRule="exact"/>
        <w:rPr>
          <w:sz w:val="20"/>
          <w:szCs w:val="20"/>
          <w:color w:val="auto"/>
        </w:rPr>
      </w:pPr>
    </w:p>
    <w:p>
      <w:pPr>
        <w:jc w:val="both"/>
        <w:ind w:left="180" w:right="20" w:hanging="6"/>
        <w:spacing w:after="0" w:line="251" w:lineRule="auto"/>
        <w:tabs>
          <w:tab w:leader="none" w:pos="46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B Warrant Exercise, and (iii) the Series D Warrant Exercise and assuming no exercise of outstanding options or warrants, except in connection with the Series B Warrant Exercise and the Series D Warrant Exercise, we will have outstanding an aggregate of 55,744,340 shares of common stock upon the completion of this offering.</w:t>
      </w:r>
    </w:p>
    <w:p>
      <w:pPr>
        <w:spacing w:after="0" w:line="187"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Of these shares, all of the 7,900,000 shares of common stock to be sold in this offering will be freely tradable in the public market without restriction or further registration under the Securities Act, unless the shares are held by any of our “affiliates” as such term is defined in Rule 144 of the Securities Act (“Rule 144”) or subject to lock-up or market standoff agreements. All remaining shares of common stock held by existing stockholders will be “restricted securities,” as such term is defined in Rule 144. These restricted securities were issued and sold by us in private transactions and are eligible for public sale only if registered under the Securities Act or if they qualify for an exemption from registration under the Securities Act, including the exemptions provided by Rule 144 or Rule 701 of the Securities Act (“Rule 701”), which rules are summarized below.</w:t>
      </w:r>
    </w:p>
    <w:p>
      <w:pPr>
        <w:spacing w:after="0" w:line="187"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As a result of the lock-up agreements and market standoff agreements described below and subject to the provisions of Rule 144 and Rule 701, based on the number of shares of our common stock outstanding (calculated as of March 31, 2025, on the basis of the assumptions described above), the shares of our common stock (excluding the shares sold in this offering) that will be available for sale in the public market are as follows:</w:t>
      </w:r>
    </w:p>
    <w:p>
      <w:pPr>
        <w:spacing w:after="0" w:line="197"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Approximate number of shares</w:t>
            </w:r>
          </w:p>
        </w:tc>
        <w:tc>
          <w:tcPr>
            <w:tcW w:w="1160" w:type="dxa"/>
            <w:vAlign w:val="bottom"/>
          </w:tcPr>
          <w:p>
            <w:pPr>
              <w:spacing w:after="0"/>
              <w:rPr>
                <w:sz w:val="16"/>
                <w:szCs w:val="16"/>
                <w:color w:val="auto"/>
              </w:rPr>
            </w:pPr>
          </w:p>
        </w:tc>
        <w:tc>
          <w:tcPr>
            <w:tcW w:w="784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4"/>
                <w:szCs w:val="14"/>
                <w:b w:val="1"/>
                <w:bCs w:val="1"/>
                <w:color w:val="auto"/>
              </w:rPr>
              <w:t>First date available for sale into public market</w:t>
            </w:r>
          </w:p>
        </w:tc>
      </w:tr>
      <w:tr>
        <w:trPr>
          <w:trHeight w:val="182"/>
        </w:trPr>
        <w:tc>
          <w:tcPr>
            <w:tcW w:w="19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47.8 million shares</w:t>
            </w:r>
          </w:p>
        </w:tc>
        <w:tc>
          <w:tcPr>
            <w:tcW w:w="1160" w:type="dxa"/>
            <w:vAlign w:val="bottom"/>
          </w:tcPr>
          <w:p>
            <w:pPr>
              <w:spacing w:after="0"/>
              <w:rPr>
                <w:sz w:val="15"/>
                <w:szCs w:val="15"/>
                <w:color w:val="auto"/>
              </w:rPr>
            </w:pPr>
          </w:p>
        </w:tc>
        <w:tc>
          <w:tcPr>
            <w:tcW w:w="78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w w:val="99"/>
              </w:rPr>
              <w:t>The date that is 180 days after the date of this prospectus, upon expiration of the restricted period (as defined</w:t>
            </w:r>
          </w:p>
        </w:tc>
      </w:tr>
      <w:tr>
        <w:trPr>
          <w:trHeight w:val="214"/>
        </w:trPr>
        <w:tc>
          <w:tcPr>
            <w:tcW w:w="1900" w:type="dxa"/>
            <w:vAlign w:val="bottom"/>
          </w:tcPr>
          <w:p>
            <w:pPr>
              <w:spacing w:after="0"/>
              <w:rPr>
                <w:sz w:val="18"/>
                <w:szCs w:val="18"/>
                <w:color w:val="auto"/>
              </w:rPr>
            </w:pPr>
          </w:p>
        </w:tc>
        <w:tc>
          <w:tcPr>
            <w:tcW w:w="90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under “—Lock-Up Agreements/Market Standoff Agreements”), subject in some cases to applicable volume,</w:t>
            </w:r>
          </w:p>
        </w:tc>
      </w:tr>
      <w:tr>
        <w:trPr>
          <w:trHeight w:val="214"/>
        </w:trPr>
        <w:tc>
          <w:tcPr>
            <w:tcW w:w="1900" w:type="dxa"/>
            <w:vAlign w:val="bottom"/>
          </w:tcPr>
          <w:p>
            <w:pPr>
              <w:spacing w:after="0"/>
              <w:rPr>
                <w:sz w:val="18"/>
                <w:szCs w:val="18"/>
                <w:color w:val="auto"/>
              </w:rPr>
            </w:pPr>
          </w:p>
        </w:tc>
        <w:tc>
          <w:tcPr>
            <w:tcW w:w="90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manner of sale and other limitations under Rule 144 and Rule 701; provided that if such date is scheduled to</w:t>
            </w:r>
          </w:p>
        </w:tc>
      </w:tr>
      <w:tr>
        <w:trPr>
          <w:trHeight w:val="214"/>
        </w:trPr>
        <w:tc>
          <w:tcPr>
            <w:tcW w:w="1900" w:type="dxa"/>
            <w:vAlign w:val="bottom"/>
          </w:tcPr>
          <w:p>
            <w:pPr>
              <w:spacing w:after="0"/>
              <w:rPr>
                <w:sz w:val="18"/>
                <w:szCs w:val="18"/>
                <w:color w:val="auto"/>
              </w:rPr>
            </w:pPr>
          </w:p>
        </w:tc>
        <w:tc>
          <w:tcPr>
            <w:tcW w:w="90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9"/>
              </w:rPr>
              <w:t>occur during, or within five trading days prior to, a broadly applicable and regularly scheduled period during</w:t>
            </w:r>
          </w:p>
        </w:tc>
      </w:tr>
      <w:tr>
        <w:trPr>
          <w:trHeight w:val="214"/>
        </w:trPr>
        <w:tc>
          <w:tcPr>
            <w:tcW w:w="1900" w:type="dxa"/>
            <w:vAlign w:val="bottom"/>
          </w:tcPr>
          <w:p>
            <w:pPr>
              <w:spacing w:after="0"/>
              <w:rPr>
                <w:sz w:val="18"/>
                <w:szCs w:val="18"/>
                <w:color w:val="auto"/>
              </w:rPr>
            </w:pPr>
          </w:p>
        </w:tc>
        <w:tc>
          <w:tcPr>
            <w:tcW w:w="90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9"/>
              </w:rPr>
              <w:t>which trading in our securities would not be permitted under our insider trading policy (a “Blackout Period”),</w:t>
            </w:r>
          </w:p>
        </w:tc>
      </w:tr>
      <w:tr>
        <w:trPr>
          <w:trHeight w:val="233"/>
        </w:trPr>
        <w:tc>
          <w:tcPr>
            <w:tcW w:w="1900" w:type="dxa"/>
            <w:vAlign w:val="bottom"/>
          </w:tcPr>
          <w:p>
            <w:pPr>
              <w:spacing w:after="0"/>
              <w:rPr>
                <w:sz w:val="20"/>
                <w:szCs w:val="20"/>
                <w:color w:val="auto"/>
              </w:rPr>
            </w:pPr>
          </w:p>
        </w:tc>
        <w:tc>
          <w:tcPr>
            <w:tcW w:w="90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then the date that is ten trading days prior to the commencement of such Blackout Period.</w:t>
            </w:r>
          </w:p>
        </w:tc>
      </w:tr>
    </w:tbl>
    <w:p>
      <w:pPr>
        <w:spacing w:after="0" w:line="195" w:lineRule="exact"/>
        <w:rPr>
          <w:sz w:val="20"/>
          <w:szCs w:val="20"/>
          <w:color w:val="auto"/>
        </w:rPr>
      </w:pPr>
    </w:p>
    <w:p>
      <w:pPr>
        <w:jc w:val="both"/>
        <w:ind w:left="180" w:firstLine="436"/>
        <w:spacing w:after="0" w:line="285" w:lineRule="auto"/>
        <w:rPr>
          <w:sz w:val="20"/>
          <w:szCs w:val="20"/>
          <w:color w:val="auto"/>
        </w:rPr>
      </w:pPr>
      <w:r>
        <w:rPr>
          <w:rFonts w:ascii="Times New Roman" w:cs="Times New Roman" w:eastAsia="Times New Roman" w:hAnsi="Times New Roman"/>
          <w:sz w:val="17"/>
          <w:szCs w:val="17"/>
          <w:color w:val="auto"/>
        </w:rPr>
        <w:t>We may issue shares of common stock from time to time as consideration for future acquisitions, investments, or other corporate purposes. 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080"/>
          </w:cols>
          <w:pgMar w:left="320" w:top="451" w:right="49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In addition, the shares of common stock reserved for future issuance under the 2025 Plan will become eligible for sale in the public market to the extent permitted by the provisions of various vesting schedules, the lock-up agreements, market standoff agreements, a registration statement under the Securities Act, or an exemption from registration, including Rule 144 and Rule 701. For example, pursuant to certain exceptions to the lock-up agreements, certain shares of our common stock will be eligible for sale in the open market during the restricted period in sell-to-cover transactions in order to satisfy tax withholding obligations incurred in connection with the vesting and settlement of RSUs. We expect the settlement of these RSUs to begin in September 2025 and to vest on a schedule based on the date of the effectiveness of the registration statement of which this prospectus is a part. Assuming an offering price of $19.00 per share, which is the midpoint of the estimated price range set forth on the cover page of this prospectus, we expect that approximately 3,738 shares of our common stock will be eligible for sale in the open market in connection with the satisfaction of such tax withholding obligations, assuming a tax withholding rate of 22%. The exact number of shares of our common stock eligible for sale in the open market in connection with such tax withholding obligations may differ based on our stockholders’ personal tax rates.</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4" w:lineRule="exact"/>
        <w:rPr>
          <w:sz w:val="20"/>
          <w:szCs w:val="20"/>
          <w:color w:val="auto"/>
        </w:rPr>
      </w:pPr>
    </w:p>
    <w:p>
      <w:pPr>
        <w:jc w:val="both"/>
        <w:ind w:left="180" w:firstLine="436"/>
        <w:spacing w:after="0" w:line="268" w:lineRule="auto"/>
        <w:rPr>
          <w:sz w:val="20"/>
          <w:szCs w:val="20"/>
          <w:color w:val="auto"/>
        </w:rPr>
      </w:pPr>
      <w:r>
        <w:rPr>
          <w:rFonts w:ascii="Times New Roman" w:cs="Times New Roman" w:eastAsia="Times New Roman" w:hAnsi="Times New Roman"/>
          <w:sz w:val="17"/>
          <w:szCs w:val="17"/>
          <w:color w:val="auto"/>
        </w:rPr>
        <w:t>Under Rule 144, as currently in effect, once we have been subject to the public company reporting requirements of the Exchange Act for at least 90 days, and we are current in our Exchange Act reporting at the time of sale, a person (or persons whose shares are required to be aggregated) who is not deemed to have been one of our “affiliates” for purposes of Rule 144 at any time during the 90 days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agreements and market standoff agreements described below, if applicable)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one of our “affiliates,” then such person is entitled to sell such shares in the public market without complying with any of the requirements of Rule 144 (subject to the lock-up agreements and market standoff agreements described below, if applicable).</w:t>
      </w:r>
    </w:p>
    <w:p>
      <w:pPr>
        <w:spacing w:after="0" w:line="173"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upon expiration of any applicable lock-up agreements or market standoff agreements and within any three-month period, a number of those shares of our common stock that does not exceed the greater of:</w:t>
      </w:r>
    </w:p>
    <w:p>
      <w:pPr>
        <w:spacing w:after="0" w:line="209" w:lineRule="exact"/>
        <w:rPr>
          <w:sz w:val="20"/>
          <w:szCs w:val="20"/>
          <w:color w:val="auto"/>
        </w:rPr>
      </w:pPr>
    </w:p>
    <w:p>
      <w:pPr>
        <w:ind w:left="1140" w:right="20" w:hanging="539"/>
        <w:spacing w:after="0" w:line="277" w:lineRule="auto"/>
        <w:tabs>
          <w:tab w:leader="none" w:pos="11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common stock then outstanding, which will equal approximately 557,443 shares of common stock immediately upon the completion of this offering (calculated as of March 31, 2025 on the basis of the assumptions described above); or</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common stock on the Nasdaq Global Market during the four calendar weeks preceding the filing of a notice on Form 144 with respect to such sale.</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before the effective date of the registration statement of which this prospectus is a part (to the extent such common stock is not subject to a lock-up agreement or market standoff agreement) and who are not our “affiliates” as defined in Rule 144 during the immediately preceding 90 days, is entitled to rely on Rule 701 to resell such shares beginning 90 days after the date of this prospectus in reliance on Rule 144, but without complying with the notice, manner of sale, public information requirements, or volume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080"/>
          </w:cols>
          <w:pgMar w:left="320" w:top="451" w:right="49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62" w:lineRule="auto"/>
        <w:rPr>
          <w:sz w:val="20"/>
          <w:szCs w:val="20"/>
          <w:color w:val="auto"/>
        </w:rPr>
      </w:pPr>
      <w:r>
        <w:rPr>
          <w:rFonts w:ascii="Times New Roman" w:cs="Times New Roman" w:eastAsia="Times New Roman" w:hAnsi="Times New Roman"/>
          <w:sz w:val="18"/>
          <w:szCs w:val="18"/>
          <w:color w:val="auto"/>
        </w:rPr>
        <w:t>limitation provisions of Rule 144. Persons who are our “affiliates” may resell those shares beginning 90 days after the date of this prospectus without compliance with minimum holding period requirements under Rule 144 (subject to the terms of the lock-up agreements or market standoff agreements referred to below, if applicable).</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Lock-Up Agreements/Market Standoff Agreements</w:t>
      </w:r>
    </w:p>
    <w:p>
      <w:pPr>
        <w:spacing w:after="0" w:line="224"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In connection with this offering, we, our directors, our executive officers, and the record holders of substantially all of our outstanding securities have entered into lock-up agreements with the underwriters or are subject to market standoff agreements with us. In particular, we, our directors, our executive officers, and certain other record holders that together represent approximately 80.4% of our outstanding common stock and securities directly or indirectly convertible into or exercisable or exchangeable for our common stock have agreed that, without the prior written consent of the representatives on behalf of the underwriters, subject to certain exceptions, we and they will not, and will not publicly disclose an intention to, during the period ending (i) 180 days after the date of this prospectus or, (ii) if the period ending 180 days after the date of this prospectus is scheduled to end during, or within five trading days prior to, a Blackout Period, then the date that is ten trading days prior to the commencement of such Blackout Period (such period, the “restricted period”),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file any registration statement with the SEC relating to the offering of any shares of common stock or any securities convertible into or exercisable or exchangeable for common stock; enter into any swap or other arrangement that transfers to another, in whole or in part, any of the economic consequences of ownership of the common stock; or make any demand for, or exercise any right with respect to, the registration of any shares of common stock or any security convertible into or exercisable or exchangeable for common stock.</w:t>
      </w:r>
    </w:p>
    <w:p>
      <w:pPr>
        <w:spacing w:after="0" w:line="187"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Furthermore, (i) an additional approximately 2.6% of our outstanding common stock and securities directly or indirectly convertible into or exchangeable or exercisable for our common stock are subject to the market standoff provisions in our amended and restated investors’ rights agreement, pursuant to which such holders agreed to not lend, offer, pledge,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held immediately prior to the effectiveness of this registration statement, or enter into any swap or other arrangement that transfers to another, in whole or in part, any of the economic consequences of ownership of such common stock during the restricted period and (ii) an additional approximately 17.0% of our outstanding common stock and securities directly or indirectly convertible into or exchangeable or exercisable for our common stock are subject to restrictions contained in market standoff agreements with us that include restrictions on the sale, transfer, or other disposition of shares during the restricted period. The forms and specific restrictive provisions within these market standoff provisions vary among security holders. For example, although some of these market standoff agreements do not specifically restrict hedging transactions and others may be subject to different interpretations between us and security holders as to whether they restrict hedging, our insider trading policy prohibits hedging by all of our current directors, officers, and employees. Sales, short sales, or hedging transactions involving our equity securities, whether before or after this offering and whether or not we believe them to be prohibited, could adversely affect the price of our common stock.</w:t>
      </w:r>
    </w:p>
    <w:p>
      <w:pPr>
        <w:spacing w:after="0" w:line="187"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have agreed to enforce all such market standoff restrictions on behalf of the underwriters and not to amend or waive any such market standoff provisions during the restricted period without the prior consent of the representatives on behalf of the underwriters, provided that we may release shares from such restrictions to the extent such shares would be entitled to be released under the form of lock-up agreement with the underwriters signed by our directors, executive officers, and certain other record holders of our securities as described herein.</w:t>
      </w:r>
    </w:p>
    <w:p>
      <w:pPr>
        <w:spacing w:after="0" w:line="18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lock-up agreements and market standoff agreements described above are subject to a number of exceptions. See the section titled “Underwriters” for information about these exceptions and a further description</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080"/>
          </w:cols>
          <w:pgMar w:left="320" w:top="451" w:right="49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62" w:lineRule="auto"/>
        <w:rPr>
          <w:sz w:val="20"/>
          <w:szCs w:val="20"/>
          <w:color w:val="auto"/>
        </w:rPr>
      </w:pPr>
      <w:r>
        <w:rPr>
          <w:rFonts w:ascii="Times New Roman" w:cs="Times New Roman" w:eastAsia="Times New Roman" w:hAnsi="Times New Roman"/>
          <w:sz w:val="18"/>
          <w:szCs w:val="18"/>
          <w:color w:val="auto"/>
        </w:rPr>
        <w:t>of these agreements. Following the expiration of the restricted period and subject to the limitations discussed above, all of the shares of our common stock that are not restricted securities and are not held by our “affiliates” as of the date of this prospectus will be eligible for sale in the public market in compliance with Rule 144 under the Securities Act.</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Upon the completion of this offering, the holders of approximately 39.4 million shares of our common stock will be entitled to rights with respect to the registration of their shares under the Securities Act, subject to the lock-up agreements described under “—Lock-Up Agreements/Market Standoff Agreements” above. Registration of these shares under the Securities Act would result in the shares becoming freely tradable without restriction under the Securities Act, except for shares purchased by affiliates, immediately upon the effectiveness of the registration statement of which this prospectus is a part. Any sales of securities by these stockholders could have a material adverse effect on the trading price of our common stock. The requisite percentage of these stockholders have waived all such stockholders’ rights to notice of this offering and to include their shares of registrable securities in this offering. See the section titled “Description of Capital Stock—Registration Rights.”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We intend to file with the SEC a registration statement on Form S-8 under the Securities Act covering the shares of common stock subject to issuance upon the exercise of outstanding stock options under the 2011 Plan and reserved for issuance under the 2025 Plan and the ESPP. Such registration statement is expected to be filed and become effective as soon as practicable after the completion of this offering. Accordingly, shares registered under such registration statement will be available for sale in the open market following its effective date, subject to Rule 144 volume limitations, vesting restrictions, and the lock-up agreements and market standoff agreements described above, if applicable.</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In connection with and/or following the closing of this offering, certain of our officers, directors, and significant stockholders may adopt written plans, known as Rule 10b5-1 trading plans, in which they will contract with a broker to buy or sell shares of our common stock on a periodic basis to diversify their assets and investments. Under these Rule 10b5-1 trading plans, a broker may execute trades pursuant to parameters established by the officer, director, or stockholder when entering into the plan, without further direction from such officer, director, or stockholder. Such sales would not commence until the expiration of the applicable lock-up agreements entered into by such officer, director, or stockholder in connection with this offering.</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080"/>
          </w:cols>
          <w:pgMar w:left="320" w:top="451" w:right="49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89"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alternative minimum tax and the impact of the Medicare contribution tax on net investment income. In addition, it does not address consequences relevant to Non-U.S. Holders subject to special rules, including, without limitation:</w:t>
      </w:r>
    </w:p>
    <w:p>
      <w:pPr>
        <w:spacing w:after="0" w:line="209" w:lineRule="exact"/>
        <w:rPr>
          <w:sz w:val="20"/>
          <w:szCs w:val="20"/>
          <w:color w:val="auto"/>
        </w:rPr>
      </w:pPr>
    </w:p>
    <w:p>
      <w:pPr>
        <w:ind w:left="1140" w:hanging="539"/>
        <w:spacing w:after="0"/>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hedge, straddle, or other risk reduction strategy or as part of a conversion transaction or other integrated investment;</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247"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(and investors therein);</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pursuant to the exercise of any employee stock option or otherwise as compensation;</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 and</w:t>
      </w:r>
    </w:p>
    <w:p>
      <w:pPr>
        <w:spacing w:after="0" w:line="247"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163"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080"/>
          </w:cols>
          <w:pgMar w:left="320" w:top="451" w:right="49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8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Definition of a Non-U.S. Holder</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204" w:lineRule="exact"/>
        <w:rPr>
          <w:sz w:val="20"/>
          <w:szCs w:val="20"/>
          <w:color w:val="auto"/>
        </w:rPr>
      </w:pPr>
    </w:p>
    <w:p>
      <w:pPr>
        <w:ind w:left="1140" w:hanging="539"/>
        <w:spacing w:after="0"/>
        <w:tabs>
          <w:tab w:leader="none" w:pos="11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47" w:lineRule="exact"/>
        <w:rPr>
          <w:rFonts w:ascii="Times New Roman" w:cs="Times New Roman" w:eastAsia="Times New Roman" w:hAnsi="Times New Roman"/>
          <w:sz w:val="18"/>
          <w:szCs w:val="18"/>
          <w:color w:val="auto"/>
        </w:rPr>
      </w:pPr>
    </w:p>
    <w:p>
      <w:pPr>
        <w:jc w:val="both"/>
        <w:ind w:left="1140" w:hanging="539"/>
        <w:spacing w:after="0" w:line="262" w:lineRule="auto"/>
        <w:tabs>
          <w:tab w:leader="none" w:pos="11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all substantial decisions of which are subject to the control of one or more “United States persons” (within the meaning of Section 7701(a)(30) of the Code), or (2) has a valid election in effect to be treated as a United States person for U.S. federal income tax purposes.</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As described in the section titled “Dividend Policy,” we do not currently intend to pay any cash dividends on our capital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87"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Subject to the discussion below regarding effectively connected income and FATCA withholding,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tax treaties.</w:t>
      </w:r>
    </w:p>
    <w:p>
      <w:pPr>
        <w:spacing w:after="0" w:line="187"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080"/>
          </w:cols>
          <w:pgMar w:left="320" w:top="451" w:right="49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Any such effectively connected dividends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Sale or Other Taxable Disposition</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A Non-U.S. Holder will not be subject to U.S. federal income tax on any gain realized upon the sale or other taxable disposition of our common stock unless:</w:t>
      </w:r>
    </w:p>
    <w:p>
      <w:pPr>
        <w:spacing w:after="0" w:line="190" w:lineRule="exact"/>
        <w:rPr>
          <w:sz w:val="20"/>
          <w:szCs w:val="20"/>
          <w:color w:val="auto"/>
        </w:rPr>
      </w:pPr>
    </w:p>
    <w:p>
      <w:pPr>
        <w:jc w:val="both"/>
        <w:ind w:left="1140" w:hanging="539"/>
        <w:spacing w:after="0" w:line="262" w:lineRule="auto"/>
        <w:tabs>
          <w:tab w:leader="none" w:pos="11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203"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U.S. real property interest (“USRPI”) by reason of our status as a U.S. real property holding corporation (“USRPHC”) for U.S. federal income tax purposes.</w:t>
      </w:r>
    </w:p>
    <w:p>
      <w:pPr>
        <w:spacing w:after="0" w:line="163"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gain, as adjusted for certain items.</w:t>
      </w:r>
    </w:p>
    <w:p>
      <w:pPr>
        <w:spacing w:after="0" w:line="177"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our common stock, which gain may be offset by certain U.S.-source capital losses of the Non-U.S. Holder (even though the individual is not considered a resident of the United States), provided the Non-U.S. Holder has timely filed U.S. federal income tax returns with respect to such losses.</w:t>
      </w:r>
    </w:p>
    <w:p>
      <w:pPr>
        <w:spacing w:after="0" w:line="182"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any applicable tax treaties that may provide for different rules.</w:t>
      </w: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Payments of dividends on our common stock will not be subject to backup withholding, provided the Non-U.S. Holder certifies its non-U.S. status, such as by furnishing a valid IRS Form W-8BEN, W-8BEN-E or W-8ECI, or otherwise establishes an exemption. However, information returns are required to be filed with the IRS in connection with any distributions on our common stock paid to the Non-U.S. Holder, regardless of</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080"/>
          </w:cols>
          <w:pgMar w:left="320" w:top="451" w:right="49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or the Non-U.S.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w:t>
      </w:r>
    </w:p>
    <w:p>
      <w:pPr>
        <w:spacing w:after="0" w:line="183"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63"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Additional Withholding Tax on Payments Made to Foreign Accounts</w:t>
      </w:r>
    </w:p>
    <w:p>
      <w:pPr>
        <w:spacing w:after="0" w:line="224"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and the U.S. Treasury Regulations and other administrative guidance issued thereunder (such Sections commonly referred to as the Foreign Account Tax Compliance Act, or FATCA) on certain types of payments made to non-U.S. financial institutions and certain other non-U.S. entities. Specifically, a 30% withholding tax may be imposed on dividends on, and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89"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Under applicable Treasury Regulations and administrative guidance, withholding under FATCA generally applies to payments of dividends on our common stock. While withholding under FATCA would have applied also to payments of gross proceeds from the sale or other disposition of our common stock beginning on January 1, 2019, proposed Treasury Regulations eliminate FATCA withholding on payments of gross proceeds entirely. Taxpayers generally may rely on these proposed Treasury Regulations until final Treasury Regulations are issued.</w:t>
      </w:r>
    </w:p>
    <w:p>
      <w:pPr>
        <w:spacing w:after="0" w:line="18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our common stock.</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080"/>
          </w:cols>
          <w:pgMar w:left="320" w:top="451" w:right="49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UNDERWRITERS</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Morgan Stanley &amp; Co. LLC, Goldman Sachs &amp; Co. LLC, and J.P. Morgan Securities LLC are acting as representatives, have severally agreed to purchase, and we have agreed to sell to them, severally, the number of shares of common stock indicated below:</w:t>
      </w:r>
    </w:p>
    <w:p>
      <w:pPr>
        <w:spacing w:after="0" w:line="18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9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2"/>
        </w:trPr>
        <w:tc>
          <w:tcPr>
            <w:tcW w:w="9920" w:type="dxa"/>
            <w:vAlign w:val="bottom"/>
            <w:gridSpan w:val="2"/>
            <w:vMerge w:val="continue"/>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07"/>
        </w:trPr>
        <w:tc>
          <w:tcPr>
            <w:tcW w:w="9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Evercore Group L.L.C.</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Canaccord Genuity LLC</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Needham &amp; Company, LLC</w:t>
            </w:r>
          </w:p>
        </w:tc>
        <w:tc>
          <w:tcPr>
            <w:tcW w:w="9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87"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The underwriters initially propose to offer part of the shares of common stock directly to the public at the offering price listed on the cover page of 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w:t>
      </w:r>
    </w:p>
    <w:p>
      <w:pPr>
        <w:spacing w:after="0" w:line="177" w:lineRule="exact"/>
        <w:rPr>
          <w:sz w:val="20"/>
          <w:szCs w:val="20"/>
          <w:color w:val="auto"/>
        </w:rPr>
      </w:pPr>
    </w:p>
    <w:p>
      <w:pPr>
        <w:jc w:val="both"/>
        <w:ind w:left="180" w:right="20" w:firstLine="436"/>
        <w:spacing w:after="0" w:line="253"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to purchase up to 1,185,000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87"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The following table shows the per-share and total public offering price, underwriting discounts and commissions, and proceeds before expenses to us. These amounts are shown assuming both no exercise and full exercise of the underwriters’ option to purchase up to an additional 1,185,000 shares of common stock.</w:t>
      </w:r>
    </w:p>
    <w:p>
      <w:pPr>
        <w:spacing w:after="0" w:line="197"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47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Per</w:t>
            </w: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6"/>
        </w:trPr>
        <w:tc>
          <w:tcPr>
            <w:tcW w:w="47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Borders>
              <w:top w:val="single" w:sz="8" w:color="auto"/>
            </w:tcBorders>
          </w:tcPr>
          <w:p>
            <w:pPr>
              <w:jc w:val="right"/>
              <w:ind w:right="105"/>
              <w:spacing w:after="0" w:line="116" w:lineRule="exact"/>
              <w:rPr>
                <w:sz w:val="20"/>
                <w:szCs w:val="20"/>
                <w:color w:val="auto"/>
              </w:rPr>
            </w:pPr>
            <w:r>
              <w:rPr>
                <w:rFonts w:ascii="Times New Roman" w:cs="Times New Roman" w:eastAsia="Times New Roman" w:hAnsi="Times New Roman"/>
                <w:sz w:val="13"/>
                <w:szCs w:val="13"/>
                <w:b w:val="1"/>
                <w:bCs w:val="1"/>
                <w:color w:val="auto"/>
              </w:rPr>
              <w:t>No</w:t>
            </w:r>
          </w:p>
        </w:tc>
        <w:tc>
          <w:tcPr>
            <w:tcW w:w="6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ind w:left="140"/>
              <w:spacing w:after="0" w:line="116" w:lineRule="exact"/>
              <w:rPr>
                <w:sz w:val="20"/>
                <w:szCs w:val="20"/>
                <w:color w:val="auto"/>
              </w:rPr>
            </w:pPr>
            <w:r>
              <w:rPr>
                <w:rFonts w:ascii="Times New Roman" w:cs="Times New Roman" w:eastAsia="Times New Roman" w:hAnsi="Times New Roman"/>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720" w:type="dxa"/>
            <w:vAlign w:val="bottom"/>
          </w:tcPr>
          <w:p>
            <w:pPr>
              <w:spacing w:after="0"/>
              <w:rPr>
                <w:sz w:val="14"/>
                <w:szCs w:val="14"/>
                <w:color w:val="auto"/>
              </w:rPr>
            </w:pPr>
          </w:p>
        </w:tc>
        <w:tc>
          <w:tcPr>
            <w:tcW w:w="3820" w:type="dxa"/>
            <w:vAlign w:val="bottom"/>
            <w:gridSpan w:val="2"/>
          </w:tcPr>
          <w:p>
            <w:pPr>
              <w:ind w:left="346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20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207"/>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34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p>
        </w:tc>
        <w:tc>
          <w:tcPr>
            <w:tcW w:w="3820" w:type="dxa"/>
            <w:vAlign w:val="bottom"/>
            <w:gridSpan w:val="2"/>
          </w:tcPr>
          <w:p>
            <w:pPr>
              <w:ind w:left="34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6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3820" w:type="dxa"/>
            <w:vAlign w:val="bottom"/>
            <w:gridSpan w:val="2"/>
            <w:shd w:val="clear" w:color="auto" w:fill="CCEEFF"/>
          </w:tcPr>
          <w:p>
            <w:pPr>
              <w:ind w:left="34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6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4720" w:type="dxa"/>
            <w:vAlign w:val="bottom"/>
          </w:tcPr>
          <w:p>
            <w:pPr>
              <w:spacing w:after="0"/>
              <w:rPr>
                <w:sz w:val="24"/>
                <w:szCs w:val="24"/>
                <w:color w:val="auto"/>
              </w:rPr>
            </w:pPr>
          </w:p>
        </w:tc>
        <w:tc>
          <w:tcPr>
            <w:tcW w:w="3460" w:type="dxa"/>
            <w:vAlign w:val="bottom"/>
          </w:tcPr>
          <w:p>
            <w:pPr>
              <w:jc w:val="right"/>
              <w:ind w:right="2515"/>
              <w:spacing w:after="0"/>
              <w:rPr>
                <w:sz w:val="20"/>
                <w:szCs w:val="20"/>
                <w:color w:val="auto"/>
              </w:rPr>
            </w:pPr>
            <w:r>
              <w:rPr>
                <w:rFonts w:ascii="Times New Roman" w:cs="Times New Roman" w:eastAsia="Times New Roman" w:hAnsi="Times New Roman"/>
                <w:sz w:val="18"/>
                <w:szCs w:val="18"/>
                <w:color w:val="auto"/>
              </w:rPr>
              <w:t>238</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The estimated offering expenses payable by us, exclusive of underwriting discounts and commissions, are approximately $6.4 million. We have agreed to reimburse the underwriters for expenses relating to clearance of this offering with the Financial Industry Regulatory Authority up to $75,000.</w:t>
      </w:r>
    </w:p>
    <w:p>
      <w:pPr>
        <w:spacing w:after="0" w:line="163"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underwriters have informed us that they do not intend to make sales to discretionary accounts to exceed 5% of the total number of shares of common stock offered by them.</w:t>
      </w:r>
    </w:p>
    <w:p>
      <w:pPr>
        <w:spacing w:after="0" w:line="16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have applied to list our common stock on the Nasdaq Global Market under the trading symbol “OMDA”.</w:t>
      </w:r>
    </w:p>
    <w:p>
      <w:pPr>
        <w:spacing w:after="0" w:line="220"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In connection with this offering, we, our directors, our executive officers, and the record holders of substantially all of our outstanding securities have entered into lock-up agreements with the underwriters or are subject to market standoff agreements with us. In particular, we, our directors, our executive officers, and certain other record holders that together represent approximately 80.4% of our outstanding common stock and securities directly or indirectly convertible into or exercisable or exchangeable for our common stock have agreed that, without the prior written consent of the representatives on behalf of the underwriters, we and they will not, and will not publicly disclose an intention to, during the period ending (i) 180 days after the date of this prospectus or (ii) if the period ending 180 days after the date of this prospectus is scheduled to end during, or within five trading days prior to, a Blackout Period, then the date that is ten trading days prior the commencement of such Blackout Period (such period, the “restricted period”):</w:t>
      </w:r>
    </w:p>
    <w:p>
      <w:pPr>
        <w:spacing w:after="0" w:line="185" w:lineRule="exact"/>
        <w:rPr>
          <w:sz w:val="20"/>
          <w:szCs w:val="20"/>
          <w:color w:val="auto"/>
        </w:rPr>
      </w:pPr>
    </w:p>
    <w:p>
      <w:pPr>
        <w:jc w:val="both"/>
        <w:ind w:left="180" w:right="20" w:firstLine="430"/>
        <w:spacing w:after="0" w:line="262" w:lineRule="auto"/>
        <w:tabs>
          <w:tab w:leader="none" w:pos="8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177" w:lineRule="exact"/>
        <w:rPr>
          <w:rFonts w:ascii="Times New Roman" w:cs="Times New Roman" w:eastAsia="Times New Roman" w:hAnsi="Times New Roman"/>
          <w:sz w:val="18"/>
          <w:szCs w:val="18"/>
          <w:color w:val="auto"/>
        </w:rPr>
      </w:pPr>
    </w:p>
    <w:p>
      <w:pPr>
        <w:ind w:left="180" w:right="20" w:firstLine="430"/>
        <w:spacing w:after="0" w:line="277" w:lineRule="auto"/>
        <w:tabs>
          <w:tab w:leader="none" w:pos="87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U.S. Securities and Exchange Commission relating to the offering of any shares of common stock or any securities convertible into or exercisable or exchangeable for common stock; or</w:t>
      </w:r>
    </w:p>
    <w:p>
      <w:pPr>
        <w:spacing w:after="0" w:line="163" w:lineRule="exact"/>
        <w:rPr>
          <w:rFonts w:ascii="Times New Roman" w:cs="Times New Roman" w:eastAsia="Times New Roman" w:hAnsi="Times New Roman"/>
          <w:sz w:val="18"/>
          <w:szCs w:val="18"/>
          <w:color w:val="auto"/>
        </w:rPr>
      </w:pPr>
    </w:p>
    <w:p>
      <w:pPr>
        <w:ind w:left="180" w:firstLine="430"/>
        <w:spacing w:after="0" w:line="277" w:lineRule="auto"/>
        <w:tabs>
          <w:tab w:leader="none" w:pos="87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w:t>
      </w:r>
    </w:p>
    <w:p>
      <w:pPr>
        <w:spacing w:after="0" w:line="163" w:lineRule="exact"/>
        <w:rPr>
          <w:sz w:val="20"/>
          <w:szCs w:val="20"/>
          <w:color w:val="auto"/>
        </w:rPr>
      </w:pPr>
    </w:p>
    <w:p>
      <w:pPr>
        <w:jc w:val="both"/>
        <w:ind w:left="180" w:right="20"/>
        <w:spacing w:after="0" w:line="257"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common stock or such other securities, in cash or otherwise. In addition, we and each such person agree that, without the prior written consent of the representatives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2"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Furthermore, (i) an additional approximately 2.6% of our outstanding common stock and securities directly or indirectly convertible into or exchangeable or exercisable for our common stock are subject to the market standoff provisions in our amended and restated investors’ rights agreement, pursuant to which such holders agreed to not lend, offer, pledge,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held immediately prior to the effectiveness of this registration statement, or enter into any swap or other arrangement that transfers to another, in whole or in part, any of the economic consequences of ownership of such common stock during the restricted period and (ii) an additional approximately 17.0% of our outstanding common stock and securities directly or indirectly convertible into or exchangeable or exercisable for our common stock are subject to restrictions contained in market standoff agreements with us that include restrictions on the sale, transfer, or other disposition of shares during the restricted period. The forms and specific restrictive provisions within these market standoff provisions vary among security holders. For example,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080"/>
          </w:cols>
          <w:pgMar w:left="320" w:top="451" w:right="49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57" w:lineRule="auto"/>
        <w:rPr>
          <w:sz w:val="20"/>
          <w:szCs w:val="20"/>
          <w:color w:val="auto"/>
        </w:rPr>
      </w:pPr>
      <w:r>
        <w:rPr>
          <w:rFonts w:ascii="Times New Roman" w:cs="Times New Roman" w:eastAsia="Times New Roman" w:hAnsi="Times New Roman"/>
          <w:sz w:val="18"/>
          <w:szCs w:val="18"/>
          <w:color w:val="auto"/>
        </w:rPr>
        <w:t>although some of these market standoff agreements do not specifically restrict hedging transactions and others may be subject to different interpretations between us and security holders as to whether they restrict hedging, our insider trading policy prohibits hedging by all of our current directors, officers, and employees. Sales, short sales, or hedging transactions involving our equity securities, whether before or after this offering and whether or not we believe them to be prohibited, could adversely affect the price of our common stock.</w:t>
      </w:r>
    </w:p>
    <w:p>
      <w:pPr>
        <w:spacing w:after="0" w:line="182"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have agreed to enforce all such market standoff restrictions on behalf of the underwriters and not to amend or waive any such market standoff provisions during the restricted period without the prior consent of the representatives on behalf of the underwriters, provided that we may release shares from such restrictions to the extent such shares would be entitled to release under the form of lock-up agreement with the underwriters signed by our directors, executive officers, and certain other record holders of our securities as described herein.</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restrictions imposed by the lock-up agreements and market standoff agreements are subject to certain exceptions, including with respect to:</w:t>
      </w:r>
    </w:p>
    <w:p>
      <w:pPr>
        <w:spacing w:after="0" w:line="220" w:lineRule="exact"/>
        <w:rPr>
          <w:sz w:val="20"/>
          <w:szCs w:val="20"/>
          <w:color w:val="auto"/>
        </w:rPr>
      </w:pPr>
    </w:p>
    <w:p>
      <w:pPr>
        <w:ind w:left="180" w:right="20" w:firstLine="430"/>
        <w:spacing w:after="0" w:line="277" w:lineRule="auto"/>
        <w:tabs>
          <w:tab w:leader="none" w:pos="86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shares of our common stock or any securities directly or indirectly convertible into or exercisable or exchangeable for our common stock acquired in this offering or in open market or other transactions after the completion of this offering;</w:t>
      </w:r>
    </w:p>
    <w:p>
      <w:pPr>
        <w:spacing w:after="0" w:line="163" w:lineRule="exact"/>
        <w:rPr>
          <w:rFonts w:ascii="Times New Roman" w:cs="Times New Roman" w:eastAsia="Times New Roman" w:hAnsi="Times New Roman"/>
          <w:sz w:val="18"/>
          <w:szCs w:val="18"/>
          <w:color w:val="auto"/>
        </w:rPr>
      </w:pPr>
    </w:p>
    <w:p>
      <w:pPr>
        <w:jc w:val="both"/>
        <w:ind w:left="180" w:firstLine="430"/>
        <w:spacing w:after="0" w:line="251" w:lineRule="auto"/>
        <w:tabs>
          <w:tab w:leader="none" w:pos="869"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our common stock or any securities directly or indirectly convertible into or exercisable or exchangeable for our common stock (i) as a bona fide gift or charitable contribution (including any pledge or similar commitment to donate shares of our common stock or any securities directly or indirectly convertible into or exercisable or exchangeable for our common stock and/or proceeds from the sale of shares of our common stock or any securities directly or indirectly convertible into or exercisable or exchangeable for our common stock pursuant to a charitable contribution) or for bona fide estate planning purposes, (ii) upon death or by will, testamentary document, or intestate succession, (iii) to an immediate family member of the lock-up party or to any trust for the direct or indirect benefit of the lock-up party or the immediate family of the lock-up party, (iv) if the lock-up party is a trust, to any trustor or beneficiary of the lockup party or the estate of any such beneficiary, (v) to a partnership, limited liability company, or other entity of which the lock-up party or an immediate family member of the lock-up party is the legal and beneficial owner of all of the outstanding equity securities or similar interests or (vi) to a nominee or custodian of a person or entity to whom a disposition or transfer would be permissible under clauses (b)(i) through (b)(v) above;</w:t>
      </w:r>
    </w:p>
    <w:p>
      <w:pPr>
        <w:spacing w:after="0" w:line="186" w:lineRule="exact"/>
        <w:rPr>
          <w:rFonts w:ascii="Times New Roman" w:cs="Times New Roman" w:eastAsia="Times New Roman" w:hAnsi="Times New Roman"/>
          <w:sz w:val="18"/>
          <w:szCs w:val="18"/>
          <w:color w:val="auto"/>
        </w:rPr>
      </w:pPr>
    </w:p>
    <w:p>
      <w:pPr>
        <w:jc w:val="both"/>
        <w:ind w:left="180" w:right="20" w:firstLine="430"/>
        <w:spacing w:after="0" w:line="274" w:lineRule="auto"/>
        <w:tabs>
          <w:tab w:leader="none" w:pos="904"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lock-up party is a corporation, partnership, limited liability company, trust, or other business entity, distributions, transfers, or dispositions of shares of our common stock or any securities directly or indirectly convertible into or exercisable or exchangeable for our common stock</w:t>
      </w:r>
    </w:p>
    <w:p>
      <w:pPr>
        <w:jc w:val="both"/>
        <w:ind w:left="180" w:hanging="6"/>
        <w:spacing w:after="0" w:line="249" w:lineRule="auto"/>
        <w:tabs>
          <w:tab w:leader="none" w:pos="40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another corporation, partnership, limited liability company, trust, or other business entity that is an affiliate (as defined in Rule 405 promulgated under the Securities Act) of the lock-up party, or to any investment fund or other entity controlling, controlled by, managing, or managed by the lock-up party or affiliates of the lock-up party, or (ii) as part of a distribution, transfer, or disposition by the lock-up party to its stockholders, current or former partners (general or limited), members, beneficiaries, or other equity holders, or to the estates of any such stockholders, partners, beneficiaries, or other equity holders;</w:t>
      </w:r>
    </w:p>
    <w:p>
      <w:pPr>
        <w:spacing w:after="0" w:line="189" w:lineRule="exact"/>
        <w:rPr>
          <w:rFonts w:ascii="Times New Roman" w:cs="Times New Roman" w:eastAsia="Times New Roman" w:hAnsi="Times New Roman"/>
          <w:sz w:val="18"/>
          <w:szCs w:val="18"/>
          <w:color w:val="auto"/>
        </w:rPr>
      </w:pPr>
    </w:p>
    <w:p>
      <w:pPr>
        <w:jc w:val="both"/>
        <w:ind w:left="180" w:firstLine="430"/>
        <w:spacing w:after="0" w:line="252" w:lineRule="auto"/>
        <w:tabs>
          <w:tab w:leader="none" w:pos="89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our common stock or any securities directly or indirectly convertible into or exercisable or exchangeable for our common stock to us upon the exercise of options or warrants to purchase our securities on a “cashless” or “net exercise” basis to the extent permitted by the instruments representing such securities, options, or warrants (and any transfer to us necessary in respect of such amount needed for the payment of taxes, including estimated taxes, due as a result of such exercise whether by means of a “net settlement” or otherwise) so long as such “cashless” exercise or “net exercise” is effected solely by the surrender of outstanding securities, options, or warrants (or the common stock or any securities directly or indirectly convertible into or exercisable or exchangeable for common stock issuable upon the exercise thereof) to us and our cancellation of all or a portion thereof to pay the exercise price and/or withholding tax and remittance obligations;</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080"/>
          </w:cols>
          <w:pgMar w:left="320" w:top="451" w:right="49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0"/>
        <w:spacing w:after="0" w:line="277" w:lineRule="auto"/>
        <w:tabs>
          <w:tab w:leader="none" w:pos="892"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or other transfer of the lock-up party’s shares of our common stock or any securities directly or indirectly convertible into or exercisable or exchangeable for our common stock or a broker-assisted sale or cashless exercise to satisfy any tax obligations or payments (including the payment of exercise prices) due as a result of the exercise of stock options that will expire during the restricted period (including, if the lock-up party is an employee, consultant, director, or other service provider of ours, as a result of the termination of the lock-up party’s employment or service with us);</w:t>
      </w:r>
    </w:p>
    <w:p>
      <w:pPr>
        <w:spacing w:after="0" w:line="166" w:lineRule="exact"/>
        <w:rPr>
          <w:rFonts w:ascii="Times New Roman" w:cs="Times New Roman" w:eastAsia="Times New Roman" w:hAnsi="Times New Roman"/>
          <w:sz w:val="17"/>
          <w:szCs w:val="17"/>
          <w:color w:val="auto"/>
        </w:rPr>
      </w:pPr>
    </w:p>
    <w:p>
      <w:pPr>
        <w:jc w:val="both"/>
        <w:ind w:left="180" w:right="20" w:firstLine="430"/>
        <w:spacing w:after="0" w:line="262" w:lineRule="auto"/>
        <w:tabs>
          <w:tab w:leader="none" w:pos="85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pursuant to Rule 10b5-1 under the Exchange Act for the transfer of shares of our common stock or any securities directly or indirectly convertible into or exercisable or exchangeable for our common stock, provided that such trading plan does not provide for transfers during the restricted period;</w:t>
      </w:r>
    </w:p>
    <w:p>
      <w:pPr>
        <w:spacing w:after="0" w:line="177" w:lineRule="exact"/>
        <w:rPr>
          <w:rFonts w:ascii="Times New Roman" w:cs="Times New Roman" w:eastAsia="Times New Roman" w:hAnsi="Times New Roman"/>
          <w:sz w:val="18"/>
          <w:szCs w:val="18"/>
          <w:color w:val="auto"/>
        </w:rPr>
      </w:pPr>
    </w:p>
    <w:p>
      <w:pPr>
        <w:ind w:left="180" w:right="20" w:firstLine="430"/>
        <w:spacing w:after="0" w:line="277" w:lineRule="auto"/>
        <w:tabs>
          <w:tab w:leader="none" w:pos="87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our common stock or any securities directly or indirectly convertible into or exercisable or exchangeable for our common stock that occurs by operation of law pursuant to a qualified domestic order in connection with a divorce settlement or other court order;</w:t>
      </w:r>
    </w:p>
    <w:p>
      <w:pPr>
        <w:spacing w:after="0" w:line="163" w:lineRule="exact"/>
        <w:rPr>
          <w:rFonts w:ascii="Times New Roman" w:cs="Times New Roman" w:eastAsia="Times New Roman" w:hAnsi="Times New Roman"/>
          <w:sz w:val="18"/>
          <w:szCs w:val="18"/>
          <w:color w:val="auto"/>
        </w:rPr>
      </w:pPr>
    </w:p>
    <w:p>
      <w:pPr>
        <w:jc w:val="both"/>
        <w:ind w:left="180" w:firstLine="430"/>
        <w:spacing w:after="0" w:line="262" w:lineRule="auto"/>
        <w:tabs>
          <w:tab w:leader="none" w:pos="88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our outstanding preferred stock or warrants to acquire our preferred stock into shares of our common stock or warrants to acquire shares of our common stock prior to or in connection with the consummation of this offering, or the conversion, exchange, or reclassification of any shares of any class of our common stock into shares of common stock;</w:t>
      </w:r>
    </w:p>
    <w:p>
      <w:pPr>
        <w:spacing w:after="0" w:line="177" w:lineRule="exact"/>
        <w:rPr>
          <w:rFonts w:ascii="Times New Roman" w:cs="Times New Roman" w:eastAsia="Times New Roman" w:hAnsi="Times New Roman"/>
          <w:sz w:val="18"/>
          <w:szCs w:val="18"/>
          <w:color w:val="auto"/>
        </w:rPr>
      </w:pPr>
    </w:p>
    <w:p>
      <w:pPr>
        <w:jc w:val="both"/>
        <w:ind w:left="180" w:firstLine="430"/>
        <w:spacing w:after="0" w:line="262" w:lineRule="auto"/>
        <w:tabs>
          <w:tab w:leader="none" w:pos="85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our common stock or any securities directly or indirectly convertible into or exercisable or exchangeable for our common stock in connection with a bona fide third-party tender offer, merger, consolidation, or other similar transaction, that is approved by our board of directors, made to all holders of our capital stock involving a change of control;</w:t>
      </w:r>
    </w:p>
    <w:p>
      <w:pPr>
        <w:spacing w:after="0" w:line="177" w:lineRule="exact"/>
        <w:rPr>
          <w:rFonts w:ascii="Times New Roman" w:cs="Times New Roman" w:eastAsia="Times New Roman" w:hAnsi="Times New Roman"/>
          <w:sz w:val="18"/>
          <w:szCs w:val="18"/>
          <w:color w:val="auto"/>
        </w:rPr>
      </w:pPr>
    </w:p>
    <w:p>
      <w:pPr>
        <w:jc w:val="both"/>
        <w:ind w:left="180" w:firstLine="430"/>
        <w:spacing w:after="0" w:line="257" w:lineRule="auto"/>
        <w:tabs>
          <w:tab w:leader="none" w:pos="85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shares of our common stock or any securities directly or indirectly convertible into or exercisable or exchangeable for our common stock to us pursuant to arrangements under which we have the option to repurchase such shares or securities or a right of first refusal with respect to such securities or to us from an employee, consultant, director, or other service provider upon death, disability, or termination of employment or service of such employee, consultant, director, or other service provider;</w:t>
      </w:r>
    </w:p>
    <w:p>
      <w:pPr>
        <w:spacing w:after="0" w:line="182" w:lineRule="exact"/>
        <w:rPr>
          <w:rFonts w:ascii="Times New Roman" w:cs="Times New Roman" w:eastAsia="Times New Roman" w:hAnsi="Times New Roman"/>
          <w:sz w:val="18"/>
          <w:szCs w:val="18"/>
          <w:color w:val="auto"/>
        </w:rPr>
      </w:pPr>
    </w:p>
    <w:p>
      <w:pPr>
        <w:ind w:left="180" w:right="20" w:firstLine="430"/>
        <w:spacing w:after="0" w:line="277" w:lineRule="auto"/>
        <w:tabs>
          <w:tab w:leader="none" w:pos="88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warrants to purchase shares of our common stock that are outstanding as of the date of this prospectus into shares of our common stock prior to or in connection with the consummation of this offering; and</w:t>
      </w:r>
    </w:p>
    <w:p>
      <w:pPr>
        <w:spacing w:after="0" w:line="163" w:lineRule="exact"/>
        <w:rPr>
          <w:rFonts w:ascii="Times New Roman" w:cs="Times New Roman" w:eastAsia="Times New Roman" w:hAnsi="Times New Roman"/>
          <w:sz w:val="18"/>
          <w:szCs w:val="18"/>
          <w:color w:val="auto"/>
        </w:rPr>
      </w:pPr>
    </w:p>
    <w:p>
      <w:pPr>
        <w:jc w:val="both"/>
        <w:ind w:left="180" w:right="20" w:firstLine="430"/>
        <w:spacing w:after="0" w:line="257" w:lineRule="auto"/>
        <w:tabs>
          <w:tab w:leader="none" w:pos="84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in open market transactions during the restricted period to generate such amount of net proceeds to the lock-up party from such sales (after deducting commissions) in an aggregate amount up to the total amount of taxes or estimated taxes (as applicable) that become due as a result of the vesting and/or settlement of our equity awards held by the lock-up party and issued pursuant to a plan or arrangement described in this prospectus that vest and/or settle during the restricted period.</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restrictions on issuances by us during the restricted period are subject to certain exceptions, including with respect to:</w:t>
      </w:r>
    </w:p>
    <w:p>
      <w:pPr>
        <w:spacing w:after="0" w:line="220" w:lineRule="exact"/>
        <w:rPr>
          <w:sz w:val="20"/>
          <w:szCs w:val="20"/>
          <w:color w:val="auto"/>
        </w:rPr>
      </w:pPr>
    </w:p>
    <w:p>
      <w:pPr>
        <w:ind w:left="860" w:hanging="250"/>
        <w:spacing w:after="0"/>
        <w:tabs>
          <w:tab w:leader="none" w:pos="8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shares to the underwriters;</w:t>
      </w:r>
    </w:p>
    <w:p>
      <w:pPr>
        <w:spacing w:after="0" w:line="220" w:lineRule="exact"/>
        <w:rPr>
          <w:rFonts w:ascii="Times New Roman" w:cs="Times New Roman" w:eastAsia="Times New Roman" w:hAnsi="Times New Roman"/>
          <w:sz w:val="18"/>
          <w:szCs w:val="18"/>
          <w:color w:val="auto"/>
        </w:rPr>
      </w:pPr>
    </w:p>
    <w:p>
      <w:pPr>
        <w:ind w:left="180" w:firstLine="430"/>
        <w:spacing w:after="0" w:line="277" w:lineRule="auto"/>
        <w:tabs>
          <w:tab w:leader="none" w:pos="87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shares of common stock upon the exercise of an option or a warrant or the conversion of a security outstanding on the date of, and described in, this prospectus;</w:t>
      </w:r>
    </w:p>
    <w:p>
      <w:pPr>
        <w:spacing w:after="0" w:line="163" w:lineRule="exact"/>
        <w:rPr>
          <w:rFonts w:ascii="Times New Roman" w:cs="Times New Roman" w:eastAsia="Times New Roman" w:hAnsi="Times New Roman"/>
          <w:sz w:val="18"/>
          <w:szCs w:val="18"/>
          <w:color w:val="auto"/>
        </w:rPr>
      </w:pPr>
    </w:p>
    <w:p>
      <w:pPr>
        <w:ind w:left="180" w:firstLine="430"/>
        <w:spacing w:after="0" w:line="277" w:lineRule="auto"/>
        <w:tabs>
          <w:tab w:leader="none" w:pos="8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establishment of a trading plan on behalf of our stockholders, officers, or directors pursuant to Rule 10b5-1 under the Exchange Act for the transfer of shares of common stock;</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080"/>
          </w:cols>
          <w:pgMar w:left="320" w:top="451" w:right="49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0"/>
        <w:spacing w:after="0" w:line="257" w:lineRule="auto"/>
        <w:tabs>
          <w:tab w:leader="none" w:pos="90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of stock options, stock awards, restricted stock, RSUs, or other equity awards and the issuance of common stock or securities convertible into or exercisable for common stock (whether upon the exercise of stock options or otherwise) to our employees, officers, directors, advisors, or consultants pursuant to the terms of an equity compensation plan or non-employee director compensation plan or program in effect as of the completion of this offering and described in this prospectus;</w:t>
      </w:r>
    </w:p>
    <w:p>
      <w:pPr>
        <w:spacing w:after="0" w:line="182" w:lineRule="exact"/>
        <w:rPr>
          <w:rFonts w:ascii="Times New Roman" w:cs="Times New Roman" w:eastAsia="Times New Roman" w:hAnsi="Times New Roman"/>
          <w:sz w:val="18"/>
          <w:szCs w:val="18"/>
          <w:color w:val="auto"/>
        </w:rPr>
      </w:pPr>
    </w:p>
    <w:p>
      <w:pPr>
        <w:jc w:val="both"/>
        <w:ind w:left="180" w:firstLine="430"/>
        <w:spacing w:after="0" w:line="253" w:lineRule="auto"/>
        <w:tabs>
          <w:tab w:leader="none" w:pos="86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 or issuance of, or entry into an agreement to sell or issue, shares of our common stock or any securities convertible into or exercisable or exchangeable for our common stock in connection with one or more mergers, acquisitions of securities, businesses, property, or other assets, products, or technologies, joint ventures, commercial relationships, or other strategic corporate transactions or alliances; provided that the aggregate amounts of common stock or any securities convertible into or exercisable or exchangeable for common stock (on an asconverted, as-exercised, or as-exchanged basis) shall not exceed 7.5% of the total number of shares of our common stock issued and outstanding immediately following the completion of this offering on a fully-diluted basis; and</w:t>
      </w:r>
    </w:p>
    <w:p>
      <w:pPr>
        <w:spacing w:after="0" w:line="186" w:lineRule="exact"/>
        <w:rPr>
          <w:rFonts w:ascii="Times New Roman" w:cs="Times New Roman" w:eastAsia="Times New Roman" w:hAnsi="Times New Roman"/>
          <w:sz w:val="18"/>
          <w:szCs w:val="18"/>
          <w:color w:val="auto"/>
        </w:rPr>
      </w:pPr>
    </w:p>
    <w:p>
      <w:pPr>
        <w:jc w:val="both"/>
        <w:ind w:left="180" w:firstLine="430"/>
        <w:spacing w:after="0" w:line="262" w:lineRule="auto"/>
        <w:tabs>
          <w:tab w:leader="none" w:pos="85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filing of any registration statement on Form S-8 (or a successor form) relating to the issuance, vesting, exercise, or settlement of equity awards granted or to be granted pursuant to any employee benefit plan as in effect on the date of the underwriting agreement and described in prospectus.</w:t>
      </w:r>
    </w:p>
    <w:p>
      <w:pPr>
        <w:spacing w:after="0" w:line="177"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representatives, in their sole discretion, may release the common stock and other securities subject to the lock-up agreements with the underwriters or the market standoff agreements with us described above in whole or in part at any time.</w:t>
      </w:r>
    </w:p>
    <w:p>
      <w:pPr>
        <w:spacing w:after="0" w:line="163" w:lineRule="exact"/>
        <w:rPr>
          <w:sz w:val="20"/>
          <w:szCs w:val="20"/>
          <w:color w:val="auto"/>
        </w:rPr>
      </w:pPr>
    </w:p>
    <w:p>
      <w:pPr>
        <w:jc w:val="both"/>
        <w:ind w:left="180" w:firstLine="436"/>
        <w:spacing w:after="0" w:line="266" w:lineRule="auto"/>
        <w:rPr>
          <w:sz w:val="20"/>
          <w:szCs w:val="20"/>
          <w:color w:val="auto"/>
        </w:rPr>
      </w:pPr>
      <w:r>
        <w:rPr>
          <w:rFonts w:ascii="Times New Roman" w:cs="Times New Roman" w:eastAsia="Times New Roman" w:hAnsi="Times New Roman"/>
          <w:sz w:val="17"/>
          <w:szCs w:val="17"/>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and the underwriters have agreed to indemnify each other against certain liabilities, including liabilities under the Securities Act.</w:t>
      </w:r>
    </w:p>
    <w:p>
      <w:pPr>
        <w:spacing w:after="0" w:line="220"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2"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The underwriters and their respective affiliates are full-service financial institutions engaged in various activities, which may include securities trading, commercial and investment banking, financial advisory,</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080"/>
          </w:cols>
          <w:pgMar w:left="320" w:top="451" w:right="49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62" w:lineRule="auto"/>
        <w:rPr>
          <w:sz w:val="20"/>
          <w:szCs w:val="20"/>
          <w:color w:val="auto"/>
        </w:rPr>
      </w:pPr>
      <w:r>
        <w:rPr>
          <w:rFonts w:ascii="Times New Roman" w:cs="Times New Roman" w:eastAsia="Times New Roman" w:hAnsi="Times New Roman"/>
          <w:sz w:val="18"/>
          <w:szCs w:val="18"/>
          <w:color w:val="auto"/>
        </w:rPr>
        <w:t>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77"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224"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The initial public offering price will be determined by negotiations between us and the representatives. Among the factors to be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224"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shares of common stock have been offered or will be offered pursuant to the offering to the public in that Member State prior to the publication of a prospectus in relation to the shares of common stock which has been approved by the competent authority in that Member State or, where appropriate, approved in another Member State and notified to the competent authority in that Member State, all in accordance with the Prospectus Regulation, except that offers of common stock shares may be made to the public in that Member State at any time under the following exemptions under the Prospectus Regulation:</w:t>
      </w:r>
    </w:p>
    <w:p>
      <w:pPr>
        <w:spacing w:after="0" w:line="210" w:lineRule="exact"/>
        <w:rPr>
          <w:sz w:val="20"/>
          <w:szCs w:val="20"/>
          <w:color w:val="auto"/>
        </w:rPr>
      </w:pPr>
    </w:p>
    <w:p>
      <w:pPr>
        <w:ind w:left="1140" w:hanging="416"/>
        <w:spacing w:after="0"/>
        <w:tabs>
          <w:tab w:leader="none" w:pos="11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247" w:lineRule="exact"/>
        <w:rPr>
          <w:rFonts w:ascii="Times New Roman" w:cs="Times New Roman" w:eastAsia="Times New Roman" w:hAnsi="Times New Roman"/>
          <w:sz w:val="18"/>
          <w:szCs w:val="18"/>
          <w:color w:val="auto"/>
        </w:rPr>
      </w:pPr>
    </w:p>
    <w:p>
      <w:pPr>
        <w:ind w:left="1140" w:right="20" w:hanging="426"/>
        <w:spacing w:after="0" w:line="277" w:lineRule="auto"/>
        <w:tabs>
          <w:tab w:leader="none" w:pos="11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190" w:lineRule="exact"/>
        <w:rPr>
          <w:rFonts w:ascii="Times New Roman" w:cs="Times New Roman" w:eastAsia="Times New Roman" w:hAnsi="Times New Roman"/>
          <w:sz w:val="18"/>
          <w:szCs w:val="18"/>
          <w:color w:val="auto"/>
        </w:rPr>
      </w:pPr>
    </w:p>
    <w:p>
      <w:pPr>
        <w:ind w:left="1140" w:hanging="416"/>
        <w:spacing w:after="0"/>
        <w:tabs>
          <w:tab w:leader="none" w:pos="11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0" w:lineRule="exact"/>
        <w:rPr>
          <w:sz w:val="20"/>
          <w:szCs w:val="20"/>
          <w:color w:val="auto"/>
        </w:rPr>
      </w:pPr>
    </w:p>
    <w:p>
      <w:pPr>
        <w:jc w:val="both"/>
        <w:ind w:left="180" w:right="20"/>
        <w:spacing w:after="0" w:line="251" w:lineRule="auto"/>
        <w:rPr>
          <w:sz w:val="20"/>
          <w:szCs w:val="20"/>
          <w:color w:val="auto"/>
        </w:rPr>
      </w:pPr>
      <w:r>
        <w:rPr>
          <w:rFonts w:ascii="Times New Roman" w:cs="Times New Roman" w:eastAsia="Times New Roman" w:hAnsi="Times New Roman"/>
          <w:sz w:val="18"/>
          <w:szCs w:val="18"/>
          <w:color w:val="auto"/>
        </w:rPr>
        <w:t>provided that no such offer of shares of common stock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of common stock being offered to a financial intermediary as that term is used in the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of any shares of common stock to the public other than their offer or resale in a Member State to qualified investors as so defined or in circumstances in which the prior consent of the underwriters have been obtained to each such proposed offer or resale.</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080"/>
          </w:cols>
          <w:pgMar w:left="320" w:top="451" w:right="49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85" w:lineRule="auto"/>
        <w:rPr>
          <w:sz w:val="20"/>
          <w:szCs w:val="20"/>
          <w:color w:val="auto"/>
        </w:rPr>
      </w:pPr>
      <w:r>
        <w:rPr>
          <w:rFonts w:ascii="Times New Roman" w:cs="Times New Roman" w:eastAsia="Times New Roman" w:hAnsi="Times New Roman"/>
          <w:sz w:val="17"/>
          <w:szCs w:val="17"/>
          <w:color w:val="auto"/>
        </w:rPr>
        <w:t>For the purposes of this provision, the expression an “offer to the public” in relation to shares in any Member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No shares of common stock have been offered or will be offered pursuant to the offering to the public in the United Kingdom prior to the publication of a prospectus in relation to the common stock which has been approved by the Financial Conduct Authority, except that the common stock may be offered to the public in the United Kingdom at any time:</w:t>
      </w:r>
    </w:p>
    <w:p>
      <w:pPr>
        <w:spacing w:after="0" w:line="204" w:lineRule="exact"/>
        <w:rPr>
          <w:sz w:val="20"/>
          <w:szCs w:val="20"/>
          <w:color w:val="auto"/>
        </w:rPr>
      </w:pPr>
    </w:p>
    <w:p>
      <w:pPr>
        <w:ind w:left="1140" w:hanging="416"/>
        <w:spacing w:after="0"/>
        <w:tabs>
          <w:tab w:leader="none" w:pos="11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247" w:lineRule="exact"/>
        <w:rPr>
          <w:rFonts w:ascii="Times New Roman" w:cs="Times New Roman" w:eastAsia="Times New Roman" w:hAnsi="Times New Roman"/>
          <w:sz w:val="18"/>
          <w:szCs w:val="18"/>
          <w:color w:val="auto"/>
        </w:rPr>
      </w:pPr>
    </w:p>
    <w:p>
      <w:pPr>
        <w:ind w:left="1140" w:hanging="426"/>
        <w:spacing w:after="0" w:line="277" w:lineRule="auto"/>
        <w:tabs>
          <w:tab w:leader="none" w:pos="11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of the underwriters for any such offer; or</w:t>
      </w:r>
    </w:p>
    <w:p>
      <w:pPr>
        <w:spacing w:after="0" w:line="190" w:lineRule="exact"/>
        <w:rPr>
          <w:rFonts w:ascii="Times New Roman" w:cs="Times New Roman" w:eastAsia="Times New Roman" w:hAnsi="Times New Roman"/>
          <w:sz w:val="18"/>
          <w:szCs w:val="18"/>
          <w:color w:val="auto"/>
        </w:rPr>
      </w:pPr>
    </w:p>
    <w:p>
      <w:pPr>
        <w:ind w:left="1140" w:hanging="416"/>
        <w:spacing w:after="0"/>
        <w:tabs>
          <w:tab w:leader="none" w:pos="11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(the “FSMA”);</w:t>
      </w:r>
    </w:p>
    <w:p>
      <w:pPr>
        <w:spacing w:after="0" w:line="220" w:lineRule="exact"/>
        <w:rPr>
          <w:sz w:val="20"/>
          <w:szCs w:val="20"/>
          <w:color w:val="auto"/>
        </w:rPr>
      </w:pPr>
    </w:p>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provided that no such offer of the common stock shall require our company or any underwriter to publish a prospectus pursuant to Section 85 of the FSMA or supplement a prospectus pursuant to Article 23 of the U.K. Prospectus Regulation. For the purposes of this provision, the expression an “offer to the public” in relation to the common stock in the United Kingdom means the communication in any form and by any means of sufficient information on the terms of the offer and any shares of common stock to be offered so as to enable an investor to decide to purchase or subscribe for any shares of common stock and the expression “U.K. Prospectus Regulation” means Regulation (EU) 2017/1129 as it forms part of domestic law by virtue of the European Union (Withdrawal) Act 2018.</w:t>
      </w:r>
    </w:p>
    <w:p>
      <w:pPr>
        <w:spacing w:after="0" w:line="187"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or, all such persons together being referred to as relevant persons, or otherwise in circumstances which have not resulted and will not result in an offer to the public of the shares in the United Kingdom within the meaning of the FMSA.</w:t>
      </w:r>
    </w:p>
    <w:p>
      <w:pPr>
        <w:spacing w:after="0" w:line="187"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224"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The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common stock must be made</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080"/>
          </w:cols>
          <w:pgMar w:left="320" w:top="451" w:right="49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accordance with an exemption from, or in a transaction not subject to, the prospectus requirements of applicable securities laws.</w:t>
      </w:r>
    </w:p>
    <w:p>
      <w:pPr>
        <w:spacing w:after="0" w:line="220"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The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common stock or the offering may be publicly distributed or otherwise made publicly available in Switzerland.</w:t>
      </w:r>
    </w:p>
    <w:p>
      <w:pPr>
        <w:spacing w:after="0" w:line="187"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us or the common stock have been or will be filed with or approved by any Swiss regulatory authority. In particular, this document will not be filed with, and the offer of common stock will not be supervised by, the Swiss Financial Market Supervisory Authority (“FINMA”), and the offer of common stock has not been and will not be authorized under the Swiss Federal Act on Collective Investment Schemes (the “CISA”). The investor protection afforded to acquirers of interests in collective investment schemes under the CISA does not extend to acquirers of common stock.</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Centre (the “DIFC”)</w:t>
      </w:r>
    </w:p>
    <w:p>
      <w:pPr>
        <w:spacing w:after="0" w:line="224" w:lineRule="exact"/>
        <w:rPr>
          <w:sz w:val="20"/>
          <w:szCs w:val="20"/>
          <w:color w:val="auto"/>
        </w:rPr>
      </w:pPr>
    </w:p>
    <w:p>
      <w:pPr>
        <w:jc w:val="both"/>
        <w:ind w:left="180" w:right="20" w:firstLine="436"/>
        <w:spacing w:after="0" w:line="271" w:lineRule="auto"/>
        <w:rPr>
          <w:sz w:val="20"/>
          <w:szCs w:val="20"/>
          <w:color w:val="auto"/>
        </w:rPr>
      </w:pPr>
      <w:r>
        <w:rPr>
          <w:rFonts w:ascii="Times New Roman" w:cs="Times New Roman" w:eastAsia="Times New Roman" w:hAnsi="Times New Roman"/>
          <w:sz w:val="17"/>
          <w:szCs w:val="17"/>
          <w:color w:val="auto"/>
        </w:rPr>
        <w:t>This document relates to an Exempt Offer in accordance with the Markets Rules 2012 of the Dubai Financial Services Authority (the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72"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Arab Emirates</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shares of common stock have not been, and are not being, publicly offered, sold, promoted, or advertised in the United Arab Emirates (including the DIFC) other than in compliance with the laws of the</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080"/>
          </w:cols>
          <w:pgMar w:left="320" w:top="451" w:right="49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62" w:lineRule="auto"/>
        <w:rPr>
          <w:sz w:val="20"/>
          <w:szCs w:val="20"/>
          <w:color w:val="auto"/>
        </w:rPr>
      </w:pPr>
      <w:r>
        <w:rPr>
          <w:rFonts w:ascii="Times New Roman" w:cs="Times New Roman" w:eastAsia="Times New Roman" w:hAnsi="Times New Roman"/>
          <w:sz w:val="18"/>
          <w:szCs w:val="18"/>
          <w:color w:val="auto"/>
        </w:rPr>
        <w:t>United Arab Emirates (and the DIFC) governing the issue, offering, and sale of securities. Further, this prospectus does not constitute a public offer of securities in the United Arab Emirates (including the DIFC) and is not intended to be a public offer. This prospectus has not been approved by or filed with the Central Bank of the United Arab Emirates, the Securities and Commodities Authority, or the DFSA.</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Australia</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This prospectus:</w:t>
      </w:r>
    </w:p>
    <w:p>
      <w:pPr>
        <w:spacing w:after="0" w:line="247" w:lineRule="exact"/>
        <w:rPr>
          <w:sz w:val="20"/>
          <w:szCs w:val="20"/>
          <w:color w:val="auto"/>
        </w:rPr>
      </w:pPr>
    </w:p>
    <w:p>
      <w:pPr>
        <w:ind w:left="1140" w:right="20" w:hanging="539"/>
        <w:spacing w:after="0" w:line="277" w:lineRule="auto"/>
        <w:tabs>
          <w:tab w:leader="none" w:pos="11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 disclosure document or a prospectus under Chapter 6D.2 of the Corporations Act 2001 (Cth) (the “Corporations Act”);</w:t>
      </w:r>
    </w:p>
    <w:p>
      <w:pPr>
        <w:spacing w:after="0" w:line="190" w:lineRule="exact"/>
        <w:rPr>
          <w:rFonts w:ascii="Times New Roman" w:cs="Times New Roman" w:eastAsia="Times New Roman" w:hAnsi="Times New Roman"/>
          <w:sz w:val="18"/>
          <w:szCs w:val="18"/>
          <w:color w:val="auto"/>
        </w:rPr>
      </w:pPr>
    </w:p>
    <w:p>
      <w:pPr>
        <w:jc w:val="both"/>
        <w:ind w:left="1140" w:hanging="539"/>
        <w:spacing w:after="0" w:line="262" w:lineRule="auto"/>
        <w:tabs>
          <w:tab w:leader="none" w:pos="11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(the “ASIC”), as a disclosure document for the purposes of the Corporations Act and does not purport to include the information required of a disclosure document for the purposes of the Corporations Act; and</w:t>
      </w:r>
    </w:p>
    <w:p>
      <w:pPr>
        <w:spacing w:after="0" w:line="203"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6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common stock may not be directly or indirectly offered for subscription or purchased or sold, and no invitations to subscribe for or buy the common stock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common stock, you represent and warrant to us that you are an Exempt Investor.</w:t>
      </w:r>
    </w:p>
    <w:p>
      <w:pPr>
        <w:spacing w:after="0" w:line="18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As any offer of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common stock you undertake to us that you will not, for a period of 12 months from the date of issue of the common stock, offer, transfer, assign, or otherwise alienate those common stock to investors in Australia except in circumstances where disclosure to investors is not required under Chapter 6D.2 of the Corporations Act or where a compliant disclosure document is prepared and lodged with ASIC.</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The shares of common stock have not been and will not be registered pursuant to Article 4, Paragraph 1 of the Financial Instruments and Exchange Act. Accordingly, none of the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shares of common stock have not been offered or sold and will not be offered or sold in Hong Kong, by means of any document, other than</w:t>
      </w:r>
    </w:p>
    <w:p>
      <w:pPr>
        <w:spacing w:after="0" w:line="26" w:lineRule="exact"/>
        <w:rPr>
          <w:sz w:val="20"/>
          <w:szCs w:val="20"/>
          <w:color w:val="auto"/>
        </w:rPr>
      </w:pPr>
    </w:p>
    <w:p>
      <w:pPr>
        <w:jc w:val="both"/>
        <w:ind w:left="180" w:hanging="6"/>
        <w:spacing w:after="0" w:line="251" w:lineRule="auto"/>
        <w:tabs>
          <w:tab w:leader="none" w:pos="39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“professional investors” as defined in the Securities and Futures Ordinance (Cap. 571 of the Laws of Hong Kong) (the “SFO”) of Hong Kong and any rules made thereunder; or (ii) in other circumstances which do not result in the document being a “prospectus” as defined in the Companies (Winding Up</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080"/>
          </w:cols>
          <w:pgMar w:left="320" w:top="451" w:right="49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and Miscellaneous Provisions) Ordinance (Cap. 32) of Hong Kong) (the “CO”), or which do not constitute an offer to the public within the meaning of the CO. No advertisement, invitation, or document relating to the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SFO and any rules made thereunder.</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Singapore SFA Product Classification—In connection with Section 309B of the SFA and the CMP Regulations 2018, unless otherwise specified before an offer of shares of common stock, we have determined, and hereby notify all relevant persons (as defined in Section 309A(1) of the SFA), that the shares of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83" w:lineRule="exact"/>
        <w:rPr>
          <w:sz w:val="20"/>
          <w:szCs w:val="20"/>
          <w:color w:val="auto"/>
        </w:rPr>
      </w:pPr>
    </w:p>
    <w:p>
      <w:pPr>
        <w:jc w:val="both"/>
        <w:ind w:left="180" w:right="20" w:firstLine="436"/>
        <w:spacing w:after="0" w:line="253" w:lineRule="auto"/>
        <w:rPr>
          <w:sz w:val="20"/>
          <w:szCs w:val="20"/>
          <w:color w:val="auto"/>
        </w:rPr>
      </w:pPr>
      <w:r>
        <w:rPr>
          <w:rFonts w:ascii="Times New Roman" w:cs="Times New Roman" w:eastAsia="Times New Roman" w:hAnsi="Times New Roman"/>
          <w:sz w:val="18"/>
          <w:szCs w:val="18"/>
          <w:color w:val="auto"/>
        </w:rPr>
        <w:t>Each underwriter has acknowledged that this prospectus has not been registered as a prospectus with the Monetary Authority of Singapore. Accordingly, each underwriter has represented and agreed that it has not offered or sold any shares of common stock or caused the common stock to be made the subject of an invitation for subscription or purchase and will not offer or sell any shares of common stock or cause the common stock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common stock, whether directly or indirectly, to any person in Singapore other than:</w:t>
      </w:r>
    </w:p>
    <w:p>
      <w:pPr>
        <w:spacing w:after="0" w:line="214" w:lineRule="exact"/>
        <w:rPr>
          <w:sz w:val="20"/>
          <w:szCs w:val="20"/>
          <w:color w:val="auto"/>
        </w:rPr>
      </w:pPr>
    </w:p>
    <w:p>
      <w:pPr>
        <w:ind w:left="1140" w:right="20" w:hanging="539"/>
        <w:spacing w:after="0" w:line="277" w:lineRule="auto"/>
        <w:tabs>
          <w:tab w:leader="none" w:pos="11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and in accordance with the conditions specified in Section 275 of the SFA; or</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Where the shares of common stock are subscribed or purchased under Section 275 of the SFA by a relevant person which is:</w:t>
      </w:r>
    </w:p>
    <w:p>
      <w:pPr>
        <w:spacing w:after="0" w:line="247" w:lineRule="exact"/>
        <w:rPr>
          <w:sz w:val="20"/>
          <w:szCs w:val="20"/>
          <w:color w:val="auto"/>
        </w:rPr>
      </w:pPr>
    </w:p>
    <w:p>
      <w:pPr>
        <w:ind w:left="1140" w:right="20" w:hanging="539"/>
        <w:spacing w:after="0" w:line="277" w:lineRule="auto"/>
        <w:tabs>
          <w:tab w:leader="none" w:pos="11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90" w:lineRule="exact"/>
        <w:rPr>
          <w:rFonts w:ascii="Times New Roman" w:cs="Times New Roman" w:eastAsia="Times New Roman" w:hAnsi="Times New Roman"/>
          <w:sz w:val="18"/>
          <w:szCs w:val="18"/>
          <w:color w:val="auto"/>
        </w:rPr>
      </w:pPr>
    </w:p>
    <w:p>
      <w:pPr>
        <w:jc w:val="both"/>
        <w:ind w:left="1140" w:right="20" w:hanging="539"/>
        <w:spacing w:after="0" w:line="257" w:lineRule="auto"/>
        <w:tabs>
          <w:tab w:leader="none" w:pos="11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09" w:lineRule="exact"/>
        <w:rPr>
          <w:sz w:val="20"/>
          <w:szCs w:val="20"/>
          <w:color w:val="auto"/>
        </w:rPr>
      </w:pPr>
    </w:p>
    <w:p>
      <w:pPr>
        <w:ind w:left="1580" w:right="20" w:hanging="431"/>
        <w:spacing w:after="0" w:line="277" w:lineRule="auto"/>
        <w:tabs>
          <w:tab w:leader="none" w:pos="15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276(4)(i)(B) of the SFA,</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080"/>
          </w:cols>
          <w:pgMar w:left="320" w:top="451" w:right="49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580" w:hanging="431"/>
        <w:spacing w:after="0"/>
        <w:tabs>
          <w:tab w:leader="none" w:pos="15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247" w:lineRule="exact"/>
        <w:rPr>
          <w:rFonts w:ascii="Times New Roman" w:cs="Times New Roman" w:eastAsia="Times New Roman" w:hAnsi="Times New Roman"/>
          <w:sz w:val="18"/>
          <w:szCs w:val="18"/>
          <w:color w:val="auto"/>
        </w:rPr>
      </w:pPr>
    </w:p>
    <w:p>
      <w:pPr>
        <w:ind w:left="1580" w:hanging="431"/>
        <w:spacing w:after="0"/>
        <w:tabs>
          <w:tab w:leader="none" w:pos="15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247" w:lineRule="exact"/>
        <w:rPr>
          <w:rFonts w:ascii="Times New Roman" w:cs="Times New Roman" w:eastAsia="Times New Roman" w:hAnsi="Times New Roman"/>
          <w:sz w:val="18"/>
          <w:szCs w:val="18"/>
          <w:color w:val="auto"/>
        </w:rPr>
      </w:pPr>
    </w:p>
    <w:p>
      <w:pPr>
        <w:ind w:left="1580" w:hanging="431"/>
        <w:spacing w:after="0"/>
        <w:tabs>
          <w:tab w:leader="none" w:pos="15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247" w:lineRule="exact"/>
        <w:rPr>
          <w:rFonts w:ascii="Times New Roman" w:cs="Times New Roman" w:eastAsia="Times New Roman" w:hAnsi="Times New Roman"/>
          <w:sz w:val="18"/>
          <w:szCs w:val="18"/>
          <w:color w:val="auto"/>
        </w:rPr>
      </w:pPr>
    </w:p>
    <w:p>
      <w:pPr>
        <w:ind w:left="1580" w:hanging="431"/>
        <w:spacing w:after="0" w:line="277" w:lineRule="auto"/>
        <w:tabs>
          <w:tab w:leader="none" w:pos="15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Bermuda</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The shares of common stock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Saudi Arabia</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This document may not be distributed in the Kingdom of Saudi Arabia except to such persons as are permitted under the Offers of Securities Regulations as issued by the board of the Saudi Arabian Capital Market Authority (the “CMA”), pursuant to resolution number 2-11-2004 dated October 4, 2004, as amended by resolution number 1-28-2008,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British Virgin Islands</w:t>
      </w:r>
    </w:p>
    <w:p>
      <w:pPr>
        <w:spacing w:after="0" w:line="224"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The shares of common stock are not being, and may not be offered to the public or to any person in the British Virgin Islands for purchase or subscription by or on behalf of us. The common stock may be offered to companies incorporated under the BVI Business Companies Act, 2004 (British Virgin Islands) (“BVI Companies”), but only where the offer will be made to, and received by, the relevant BVI Company entirely outside of the British Virgin Islands.</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China</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This prospectus will not be circulated or distributed in the PRC and the common stock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Korea</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The shares of common stock have not been and will not be registered under the Financial Investments Services and Capital Markets Act of Korea (the “FSCMA”), and the decrees and regulations thereunder and the shares have been and will be offered in Korea as a private placement under the FSCMA. None of the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(the “FETL”), and the decrees and regulations thereunder. The common stock has not been listed on any of securities exchanges in the world including, without limitation, the Korea Exchange in Korea. Furthermore, the purchaser of the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248</w:t>
      </w:r>
    </w:p>
    <w:p>
      <w:pPr>
        <w:sectPr>
          <w:pgSz w:w="11900" w:h="16838" w:orient="portrait"/>
          <w:cols w:equalWidth="0" w:num="1">
            <w:col w:w="11080"/>
          </w:cols>
          <w:pgMar w:left="320" w:top="451" w:right="49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62" w:lineRule="auto"/>
        <w:rPr>
          <w:sz w:val="20"/>
          <w:szCs w:val="20"/>
          <w:color w:val="auto"/>
        </w:rPr>
      </w:pPr>
      <w:r>
        <w:rPr>
          <w:rFonts w:ascii="Times New Roman" w:cs="Times New Roman" w:eastAsia="Times New Roman" w:hAnsi="Times New Roman"/>
          <w:sz w:val="18"/>
          <w:szCs w:val="18"/>
          <w:color w:val="auto"/>
        </w:rPr>
        <w:t>common stock shall comply with all applicable regulatory requirements (including but not limited to requirements under the FETL) in connection with the purchase of the common stock. By the purchase of the common stock, the relevant holder thereof will be deemed to represent and warrant that if it is in Korea or is a resident of Korea, it purchased the common stock pursuant to the applicable laws and regulations of Korea.</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Taiwan</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common stock has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common stock in Taiwan.</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South Africa</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common stock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of common stock are not offered, and the offer shall not be transferred, sold, renounced, or delivered, in South Africa or to a person with an address in South Africa, unless one or other of the following exemptions stipulated in section 96 (1) applies:</w:t>
      </w:r>
    </w:p>
    <w:p>
      <w:pPr>
        <w:sectPr>
          <w:pgSz w:w="11900" w:h="16838" w:orient="portrait"/>
          <w:cols w:equalWidth="0" w:num="1">
            <w:col w:w="11080"/>
          </w:cols>
          <w:pgMar w:left="320" w:top="451" w:right="499" w:bottom="1440" w:gutter="0" w:footer="0" w:header="0"/>
        </w:sectPr>
      </w:pP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Section 96 (1)(a)</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offer, transfer, sale, renunciation or delivery is to:</w:t>
      </w:r>
    </w:p>
    <w:p>
      <w:pPr>
        <w:spacing w:after="0" w:line="125" w:lineRule="exact"/>
        <w:rPr>
          <w:sz w:val="20"/>
          <w:szCs w:val="20"/>
          <w:color w:val="auto"/>
        </w:rPr>
      </w:pPr>
    </w:p>
    <w:p>
      <w:pPr>
        <w:sectPr>
          <w:pgSz w:w="11900" w:h="16838" w:orient="portrait"/>
          <w:cols w:equalWidth="0" w:num="2">
            <w:col w:w="1640" w:space="720"/>
            <w:col w:w="8720"/>
          </w:cols>
          <w:pgMar w:left="320" w:top="451" w:right="499" w:bottom="1440" w:gutter="0" w:footer="0" w:header="0"/>
          <w:type w:val="continuous"/>
        </w:sectPr>
      </w:pPr>
    </w:p>
    <w:p>
      <w:pPr>
        <w:ind w:left="2360"/>
        <w:spacing w:after="0"/>
        <w:rPr>
          <w:sz w:val="20"/>
          <w:szCs w:val="20"/>
          <w:color w:val="auto"/>
        </w:rPr>
      </w:pPr>
      <w:r>
        <w:rPr>
          <w:rFonts w:ascii="Times New Roman" w:cs="Times New Roman" w:eastAsia="Times New Roman" w:hAnsi="Times New Roman"/>
          <w:sz w:val="18"/>
          <w:szCs w:val="18"/>
          <w:color w:val="auto"/>
        </w:rPr>
        <w:t xml:space="preserve">(i)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persons whose ordinary business, or part of whose ordinary business, is to deal in securities, as principal or agent;</w:t>
      </w:r>
    </w:p>
    <w:p>
      <w:pPr>
        <w:spacing w:after="0" w:line="125" w:lineRule="exact"/>
        <w:rPr>
          <w:sz w:val="20"/>
          <w:szCs w:val="20"/>
          <w:color w:val="auto"/>
        </w:rPr>
      </w:pPr>
    </w:p>
    <w:p>
      <w:pPr>
        <w:sectPr>
          <w:pgSz w:w="11900" w:h="16838" w:orient="portrait"/>
          <w:cols w:equalWidth="0" w:num="2">
            <w:col w:w="2580" w:space="140"/>
            <w:col w:w="8360"/>
          </w:cols>
          <w:pgMar w:left="320" w:top="451" w:right="499" w:bottom="1440" w:gutter="0" w:footer="0" w:header="0"/>
          <w:type w:val="continuous"/>
        </w:sectPr>
      </w:pPr>
    </w:p>
    <w:p>
      <w:pPr>
        <w:ind w:left="2360"/>
        <w:spacing w:after="0"/>
        <w:rPr>
          <w:sz w:val="20"/>
          <w:szCs w:val="20"/>
          <w:color w:val="auto"/>
        </w:rPr>
      </w:pPr>
      <w:r>
        <w:rPr>
          <w:rFonts w:ascii="Times New Roman" w:cs="Times New Roman" w:eastAsia="Times New Roman" w:hAnsi="Times New Roman"/>
          <w:sz w:val="18"/>
          <w:szCs w:val="18"/>
          <w:color w:val="auto"/>
        </w:rPr>
        <w:t>(ii)   the South African Public Investment Corporation;</w:t>
      </w:r>
    </w:p>
    <w:p>
      <w:pPr>
        <w:spacing w:after="0" w:line="11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(iii)  persons or entities regulated by the Reserve Bank of South Africa;</w:t>
      </w:r>
    </w:p>
    <w:p>
      <w:pPr>
        <w:spacing w:after="0" w:line="11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(iv)  authorized financial service providers under South African law;</w:t>
      </w:r>
    </w:p>
    <w:p>
      <w:pPr>
        <w:spacing w:after="0" w:line="11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(v)    financial institutions recognized as such under South African law;</w:t>
      </w:r>
    </w:p>
    <w:p>
      <w:pPr>
        <w:spacing w:after="0" w:line="114" w:lineRule="exact"/>
        <w:rPr>
          <w:sz w:val="20"/>
          <w:szCs w:val="20"/>
          <w:color w:val="auto"/>
        </w:rPr>
      </w:pPr>
    </w:p>
    <w:p>
      <w:pPr>
        <w:jc w:val="both"/>
        <w:ind w:left="2720" w:right="20" w:hanging="355"/>
        <w:spacing w:after="0" w:line="262" w:lineRule="auto"/>
        <w:rPr>
          <w:sz w:val="20"/>
          <w:szCs w:val="20"/>
          <w:color w:val="auto"/>
        </w:rPr>
      </w:pPr>
      <w:r>
        <w:rPr>
          <w:rFonts w:ascii="Times New Roman" w:cs="Times New Roman" w:eastAsia="Times New Roman" w:hAnsi="Times New Roman"/>
          <w:sz w:val="18"/>
          <w:szCs w:val="18"/>
          <w:color w:val="auto"/>
        </w:rPr>
        <w:t>(vi)  a wholly-owned subsidiary of any person or entity contemplated in (iii), (iv), or (v), acting as agent in the capacity of an authorized portfolio manager for a pension fund, or as manager for a collective investment scheme (in each case duly registered as such under South African law); or</w:t>
      </w:r>
    </w:p>
    <w:p>
      <w:pPr>
        <w:spacing w:after="0" w:line="7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(vii) any combination of the person in (i) to (vi), or</w:t>
      </w:r>
    </w:p>
    <w:p>
      <w:pPr>
        <w:sectPr>
          <w:pgSz w:w="11900" w:h="16838" w:orient="portrait"/>
          <w:cols w:equalWidth="0" w:num="1">
            <w:col w:w="11080"/>
          </w:cols>
          <w:pgMar w:left="320" w:top="451" w:right="499" w:bottom="1440" w:gutter="0" w:footer="0" w:header="0"/>
          <w:type w:val="continuous"/>
        </w:sectPr>
      </w:pP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Section 96 (1)(b)</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77" w:lineRule="exact"/>
        <w:rPr>
          <w:sz w:val="20"/>
          <w:szCs w:val="20"/>
          <w:color w:val="auto"/>
        </w:rPr>
      </w:pPr>
    </w:p>
    <w:p>
      <w:pPr>
        <w:sectPr>
          <w:pgSz w:w="11900" w:h="16838" w:orient="portrait"/>
          <w:cols w:equalWidth="0" w:num="2">
            <w:col w:w="1640" w:space="720"/>
            <w:col w:w="8720"/>
          </w:cols>
          <w:pgMar w:left="320" w:top="451" w:right="499" w:bottom="1440" w:gutter="0" w:footer="0" w:header="0"/>
          <w:type w:val="continuous"/>
        </w:sect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Information made available in this prospectus should not be considered as “advice” as defined in the South African Financial Advisory and Intermediary.</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249</w:t>
      </w:r>
    </w:p>
    <w:p>
      <w:pPr>
        <w:sectPr>
          <w:pgSz w:w="11900" w:h="16838" w:orient="portrait"/>
          <w:cols w:equalWidth="0" w:num="1">
            <w:col w:w="11080"/>
          </w:cols>
          <w:pgMar w:left="320" w:top="451" w:right="499" w:bottom="1440" w:gutter="0" w:footer="0" w:header="0"/>
          <w:type w:val="continuous"/>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The validity of the issuance of our common stock offered in this prospectus will be passed upon for us by Latham &amp; Watkins LLP, Menlo Park, California. Certain legal matters in connection with this offering will be passed upon for the underwriters by Davis Polk &amp; Wardwell LLP, Redwood City, California.</w:t>
      </w:r>
    </w:p>
    <w:p>
      <w:pPr>
        <w:spacing w:after="0" w:line="38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4" w:lineRule="exact"/>
        <w:rPr>
          <w:sz w:val="20"/>
          <w:szCs w:val="20"/>
          <w:color w:val="auto"/>
        </w:rPr>
      </w:pPr>
    </w:p>
    <w:p>
      <w:pPr>
        <w:jc w:val="both"/>
        <w:ind w:left="180" w:firstLine="436"/>
        <w:spacing w:after="0" w:line="259" w:lineRule="auto"/>
        <w:rPr>
          <w:sz w:val="20"/>
          <w:szCs w:val="20"/>
          <w:color w:val="auto"/>
        </w:rPr>
      </w:pPr>
      <w:r>
        <w:rPr>
          <w:rFonts w:ascii="Times New Roman" w:cs="Times New Roman" w:eastAsia="Times New Roman" w:hAnsi="Times New Roman"/>
          <w:sz w:val="18"/>
          <w:szCs w:val="18"/>
          <w:color w:val="auto"/>
        </w:rPr>
        <w:t>The financial statements of Omada Health, Inc. as of December 31, 2024 and 2023, and for each of the two years in the period ended December 31, 2024, included in this Prospectus have been audited by Deloitte &amp; Touche LLP, an independent registered public accounting firm, as stated in their report. Such financial statements are included in reliance upon the report of such firm given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CHANGE IN INDEPENDENT REGISTERED PUBLIC ACCOUNTING FIRM</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On January 25, 2024, PricewaterhouseCoopers LLP (“PwC”) resigned as our independent auditor because PwC was not independent under the applicable rules of the U.S. Securities and Exchange Commission (the “SEC”). On February 9, 2024, the Audit Committee approved the engagement of Deloitte &amp; Touche LLP (“Deloitte”) as our independent registered public accounting firm to audit our consolidated financial statements as of and for the years ended December 31, 2022 and 2023 under the standards of the Public Company Accounting Oversight Board.</w:t>
      </w:r>
    </w:p>
    <w:p>
      <w:pPr>
        <w:spacing w:after="0" w:line="182"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The report of PwC on our consolidated financial statements as of and for the year ended December 31, 2022 did not contain any adverse opinion or disclaimer of opinion, nor was such report qualified or modified as to uncertainty, audit scope, or accounting principles. PwC resigned prior to completing its audit of the consolidated financial statements for the year ended December 31, 2023.</w:t>
      </w:r>
    </w:p>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During the years ended December 31, 2022 and 2023 and the subsequent interim period through January 25, 2024, there were:</w:t>
      </w:r>
    </w:p>
    <w:p>
      <w:pPr>
        <w:spacing w:after="0" w:line="247" w:lineRule="exact"/>
        <w:rPr>
          <w:sz w:val="20"/>
          <w:szCs w:val="20"/>
          <w:color w:val="auto"/>
        </w:rPr>
      </w:pPr>
    </w:p>
    <w:p>
      <w:pPr>
        <w:jc w:val="both"/>
        <w:ind w:left="1140" w:right="20" w:hanging="539"/>
        <w:spacing w:after="0" w:line="257" w:lineRule="auto"/>
        <w:tabs>
          <w:tab w:leader="none" w:pos="11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“disagreements” (as such term is defined in Item 304(a)(1)(iv) of Regulation S-K and the related instructions thereto) with PwC on any matter of accounting principles or practices, financial statement disclosure, or auditing scope or procedure, which disagreement, if not resolved to the satisfaction of PwC, would have caused it to make reference to the subject matter of the disagreement in connection with its report on our consolidated financial statements, and</w:t>
      </w:r>
    </w:p>
    <w:p>
      <w:pPr>
        <w:spacing w:after="0" w:line="208"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“reportable events” (as such term is defined in Item 304(a)(1)(v) of Regulation S-K and the related instructions thereto).</w:t>
      </w:r>
    </w:p>
    <w:p>
      <w:pPr>
        <w:spacing w:after="0" w:line="220"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We have provided a copy of this disclosure to PwC and requested that they furnish a letter addressed to the SEC stating whether or not it agrees with the statements made herein. A copy of the letter will be filed as an exhibit to the registration statement of which this prospectus is a part.</w:t>
      </w:r>
    </w:p>
    <w:p>
      <w:pPr>
        <w:spacing w:after="0" w:line="16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During the years ended December 31, 2022 and 2023 and the subsequent interim period through February 9, 2024, when we engaged Deloitte, we did not consult with Deloitte with respect to: (i) the application of accounting principles to a specified transaction, either completed or proposed, or the type of audit opinion that might be rendered on the consolidated financial statements, and no written report or oral advice of Deloitte was provided that was an important factor considered by us in reaching a decision as to the accounting, auditing, or financial reporting issue; or (ii) any matter that was either the subject of a “disagreement” (as defined in Item 304(a)(1)(iv) of Regulation S-K and the related instructions thereto) or any “reportable event” (as defined in Item 304(a)(1)(v) of Regulation S-K and the related instructions thereto).</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250</w:t>
      </w:r>
    </w:p>
    <w:p>
      <w:pPr>
        <w:sectPr>
          <w:pgSz w:w="11900" w:h="16838" w:orient="portrait"/>
          <w:cols w:equalWidth="0" w:num="1">
            <w:col w:w="11080"/>
          </w:cols>
          <w:pgMar w:left="320" w:top="451" w:right="49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including exhibits and schedules,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us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87" w:lineRule="exact"/>
        <w:rPr>
          <w:sz w:val="20"/>
          <w:szCs w:val="20"/>
          <w:color w:val="auto"/>
        </w:rPr>
      </w:pPr>
    </w:p>
    <w:p>
      <w:pPr>
        <w:jc w:val="both"/>
        <w:ind w:left="180" w:firstLine="436"/>
        <w:spacing w:after="0" w:line="270" w:lineRule="auto"/>
        <w:rPr>
          <w:sz w:val="20"/>
          <w:szCs w:val="20"/>
          <w:color w:val="auto"/>
        </w:rPr>
      </w:pPr>
      <w:r>
        <w:rPr>
          <w:rFonts w:ascii="Times New Roman" w:cs="Times New Roman" w:eastAsia="Times New Roman" w:hAnsi="Times New Roman"/>
          <w:sz w:val="17"/>
          <w:szCs w:val="17"/>
          <w:color w:val="auto"/>
        </w:rPr>
        <w:t>You may read our SEC filings, including this registration statement, over the Internet at the SEC’s website at www.sec.gov. Upon the completion of this offering, we will be subject to the information reporting requirements of the Exchange Act, and we will file reports, proxy statements, and other information with the SEC. These reports, proxy statements, and other information will be available for review at the SEC’s website referred to above. We also maintain a website at www.omadahealth.com, at which, following the completion of this offering, you may access these materials free of charge as soon as reasonably practicable after they are electronically filed with, or furnished to, the SEC. Information contained on or accessible through our website is not a part of this prospectus or the registration statement of which it is a part, and the inclusion of our website address in this prospectus is an inactive textual reference only. You should not consider the contents of our website in making an investment decision with respect to our common stock.</w:t>
      </w:r>
    </w:p>
    <w:p>
      <w:pPr>
        <w:spacing w:after="0" w:line="1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251</w:t>
      </w:r>
    </w:p>
    <w:p>
      <w:pPr>
        <w:sectPr>
          <w:pgSz w:w="11900" w:h="16838" w:orient="portrait"/>
          <w:cols w:equalWidth="0" w:num="1">
            <w:col w:w="11080"/>
          </w:cols>
          <w:pgMar w:left="320" w:top="451" w:right="49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1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45"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1046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Annual Consolidated Financial Statements</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4"/>
        </w:trPr>
        <w:tc>
          <w:tcPr>
            <w:tcW w:w="10460" w:type="dxa"/>
            <w:vAlign w:val="bottom"/>
            <w:gridSpan w:val="15"/>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04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46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Consolidated Balance Sheets as of December 31, 2023 and 2024</w:t>
            </w:r>
          </w:p>
        </w:tc>
        <w:tc>
          <w:tcPr>
            <w:tcW w:w="586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301"/>
        </w:trPr>
        <w:tc>
          <w:tcPr>
            <w:tcW w:w="81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Consolidated Statements of Operations and Comprehensive Loss for the years ended December 31, 2023 and 2024</w:t>
            </w:r>
          </w:p>
        </w:tc>
        <w:tc>
          <w:tcPr>
            <w:tcW w:w="228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301"/>
        </w:trPr>
        <w:tc>
          <w:tcPr>
            <w:tcW w:w="104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Consolidated Statements of Redeemable Convertible Preferred Stock and Stockholders’ Deficit for the years ended December 31, 2023 and</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20" w:type="dxa"/>
            <w:vAlign w:val="bottom"/>
            <w:tcBorders>
              <w:top w:val="single" w:sz="8" w:color="0000EE"/>
            </w:tcBorders>
            <w:gridSpan w:val="2"/>
          </w:tcPr>
          <w:p>
            <w:pPr>
              <w:ind w:left="180"/>
              <w:spacing w:after="0" w:line="194" w:lineRule="exact"/>
              <w:rPr>
                <w:sz w:val="20"/>
                <w:szCs w:val="20"/>
                <w:color w:val="auto"/>
              </w:rPr>
            </w:pPr>
            <w:r>
              <w:rPr>
                <w:rFonts w:ascii="Times New Roman" w:cs="Times New Roman" w:eastAsia="Times New Roman" w:hAnsi="Times New Roman"/>
                <w:sz w:val="18"/>
                <w:szCs w:val="18"/>
                <w:color w:val="0000EE"/>
                <w:w w:val="88"/>
              </w:rPr>
              <w:t>2024</w:t>
            </w:r>
          </w:p>
        </w:tc>
        <w:tc>
          <w:tcPr>
            <w:tcW w:w="1960" w:type="dxa"/>
            <w:vAlign w:val="bottom"/>
            <w:tcBorders>
              <w:top w:val="single" w:sz="8" w:color="0000EE"/>
            </w:tcBorders>
          </w:tcPr>
          <w:p>
            <w:pPr>
              <w:spacing w:after="0"/>
              <w:rPr>
                <w:sz w:val="16"/>
                <w:szCs w:val="16"/>
                <w:color w:val="auto"/>
              </w:rPr>
            </w:pPr>
          </w:p>
        </w:tc>
        <w:tc>
          <w:tcPr>
            <w:tcW w:w="900" w:type="dxa"/>
            <w:vAlign w:val="bottom"/>
            <w:tcBorders>
              <w:top w:val="single" w:sz="8" w:color="0000EE"/>
            </w:tcBorders>
          </w:tcPr>
          <w:p>
            <w:pPr>
              <w:spacing w:after="0"/>
              <w:rPr>
                <w:sz w:val="16"/>
                <w:szCs w:val="16"/>
                <w:color w:val="auto"/>
              </w:rPr>
            </w:pPr>
          </w:p>
        </w:tc>
        <w:tc>
          <w:tcPr>
            <w:tcW w:w="78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46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080" w:type="dxa"/>
            <w:vAlign w:val="bottom"/>
            <w:tcBorders>
              <w:top w:val="single" w:sz="8" w:color="0000EE"/>
            </w:tcBorders>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110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04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and 2024</w:t>
            </w: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301"/>
        </w:trPr>
        <w:tc>
          <w:tcPr>
            <w:tcW w:w="338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Notes to the Consolidated Financial Statements</w:t>
            </w:r>
          </w:p>
        </w:tc>
        <w:tc>
          <w:tcPr>
            <w:tcW w:w="3040" w:type="dxa"/>
            <w:vAlign w:val="bottom"/>
            <w:tcBorders>
              <w:top w:val="single" w:sz="8" w:color="0000EE"/>
            </w:tcBorders>
            <w:gridSpan w:val="5"/>
          </w:tcPr>
          <w:p>
            <w:pPr>
              <w:spacing w:after="0"/>
              <w:rPr>
                <w:sz w:val="24"/>
                <w:szCs w:val="24"/>
                <w:color w:val="auto"/>
              </w:rPr>
            </w:pPr>
          </w:p>
        </w:tc>
        <w:tc>
          <w:tcPr>
            <w:tcW w:w="404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448"/>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40" w:type="dxa"/>
            <w:vAlign w:val="bottom"/>
            <w:gridSpan w:val="1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INDEX TO UNAUDITED CONDENSED CONSOLIDATED FINANCIAL STATEMENTS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046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Condensed Consolidated Financial Statements</w:t>
            </w: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4"/>
        </w:trPr>
        <w:tc>
          <w:tcPr>
            <w:tcW w:w="10460" w:type="dxa"/>
            <w:vAlign w:val="bottom"/>
            <w:gridSpan w:val="15"/>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04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December 31, 2024 and March 31, 2025</w:t>
            </w: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234"/>
        </w:trPr>
        <w:tc>
          <w:tcPr>
            <w:tcW w:w="18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960" w:type="dxa"/>
            <w:vAlign w:val="bottom"/>
            <w:tcBorders>
              <w:top w:val="single" w:sz="8" w:color="0000EE"/>
            </w:tcBorders>
          </w:tcPr>
          <w:p>
            <w:pPr>
              <w:spacing w:after="0"/>
              <w:rPr>
                <w:sz w:val="20"/>
                <w:szCs w:val="20"/>
                <w:color w:val="auto"/>
              </w:rPr>
            </w:pPr>
          </w:p>
        </w:tc>
        <w:tc>
          <w:tcPr>
            <w:tcW w:w="900" w:type="dxa"/>
            <w:vAlign w:val="bottom"/>
            <w:tcBorders>
              <w:top w:val="single" w:sz="8" w:color="0000EE"/>
            </w:tcBorders>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46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80"/>
        </w:trPr>
        <w:tc>
          <w:tcPr>
            <w:tcW w:w="104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for the three months ended March 31, 2024 and 2025</w:t>
            </w: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234"/>
        </w:trPr>
        <w:tc>
          <w:tcPr>
            <w:tcW w:w="18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960" w:type="dxa"/>
            <w:vAlign w:val="bottom"/>
            <w:tcBorders>
              <w:top w:val="single" w:sz="8" w:color="0000EE"/>
            </w:tcBorders>
          </w:tcPr>
          <w:p>
            <w:pPr>
              <w:spacing w:after="0"/>
              <w:rPr>
                <w:sz w:val="20"/>
                <w:szCs w:val="20"/>
                <w:color w:val="auto"/>
              </w:rPr>
            </w:pPr>
          </w:p>
        </w:tc>
        <w:tc>
          <w:tcPr>
            <w:tcW w:w="900" w:type="dxa"/>
            <w:vAlign w:val="bottom"/>
            <w:tcBorders>
              <w:top w:val="single" w:sz="8" w:color="0000EE"/>
            </w:tcBorders>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4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08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1100" w:type="dxa"/>
            <w:vAlign w:val="bottom"/>
            <w:tcBorders>
              <w:top w:val="single" w:sz="8" w:color="0000EE"/>
            </w:tcBorders>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80"/>
        </w:trPr>
        <w:tc>
          <w:tcPr>
            <w:tcW w:w="99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8"/>
              </w:rPr>
              <w:t>Condensed Consolidated Statements of Changes in Redeemable Convertible Preferred Stock and Stockholders’ Deficit for the three months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30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7"/>
              </w:rPr>
              <w:t>ended March 31, 2024 and 2025</w:t>
            </w:r>
          </w:p>
        </w:tc>
        <w:tc>
          <w:tcPr>
            <w:tcW w:w="7980" w:type="dxa"/>
            <w:vAlign w:val="bottom"/>
            <w:gridSpan w:val="12"/>
          </w:tcPr>
          <w:p>
            <w:pPr>
              <w:spacing w:after="0"/>
              <w:rPr>
                <w:sz w:val="16"/>
                <w:szCs w:val="16"/>
                <w:color w:val="auto"/>
              </w:rPr>
            </w:pPr>
          </w:p>
        </w:tc>
        <w:tc>
          <w:tcPr>
            <w:tcW w:w="3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301"/>
        </w:trPr>
        <w:tc>
          <w:tcPr>
            <w:tcW w:w="104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2024 and 2025</w:t>
            </w: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234"/>
        </w:trPr>
        <w:tc>
          <w:tcPr>
            <w:tcW w:w="18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960" w:type="dxa"/>
            <w:vAlign w:val="bottom"/>
            <w:tcBorders>
              <w:top w:val="single" w:sz="8" w:color="0000EE"/>
            </w:tcBorders>
          </w:tcPr>
          <w:p>
            <w:pPr>
              <w:spacing w:after="0"/>
              <w:rPr>
                <w:sz w:val="20"/>
                <w:szCs w:val="20"/>
                <w:color w:val="auto"/>
              </w:rPr>
            </w:pPr>
          </w:p>
        </w:tc>
        <w:tc>
          <w:tcPr>
            <w:tcW w:w="900" w:type="dxa"/>
            <w:vAlign w:val="bottom"/>
            <w:tcBorders>
              <w:top w:val="single" w:sz="8" w:color="0000EE"/>
            </w:tcBorders>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4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080" w:type="dxa"/>
            <w:vAlign w:val="bottom"/>
            <w:tcBorders>
              <w:top w:val="single" w:sz="8" w:color="0000EE"/>
            </w:tcBorders>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80"/>
        </w:trPr>
        <w:tc>
          <w:tcPr>
            <w:tcW w:w="104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234"/>
        </w:trPr>
        <w:tc>
          <w:tcPr>
            <w:tcW w:w="18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960" w:type="dxa"/>
            <w:vAlign w:val="bottom"/>
            <w:tcBorders>
              <w:top w:val="single" w:sz="8" w:color="0000EE"/>
            </w:tcBorders>
          </w:tcPr>
          <w:p>
            <w:pPr>
              <w:spacing w:after="0"/>
              <w:rPr>
                <w:sz w:val="20"/>
                <w:szCs w:val="20"/>
                <w:color w:val="auto"/>
              </w:rPr>
            </w:pPr>
          </w:p>
        </w:tc>
        <w:tc>
          <w:tcPr>
            <w:tcW w:w="900" w:type="dxa"/>
            <w:vAlign w:val="bottom"/>
            <w:tcBorders>
              <w:top w:val="single" w:sz="8" w:color="0000EE"/>
            </w:tcBorders>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20" w:type="dxa"/>
            <w:vAlign w:val="bottom"/>
            <w:gridSpan w:val="8"/>
          </w:tcPr>
          <w:p>
            <w:pPr>
              <w:jc w:val="center"/>
              <w:ind w:right="4320"/>
              <w:spacing w:after="0"/>
              <w:rPr>
                <w:sz w:val="20"/>
                <w:szCs w:val="20"/>
                <w:color w:val="auto"/>
              </w:rPr>
            </w:pPr>
            <w:r>
              <w:rPr>
                <w:rFonts w:ascii="Times New Roman" w:cs="Times New Roman" w:eastAsia="Times New Roman" w:hAnsi="Times New Roman"/>
                <w:sz w:val="18"/>
                <w:szCs w:val="18"/>
                <w:color w:val="auto"/>
                <w:w w:val="95"/>
              </w:rPr>
              <w:t>F-1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1" w:right="55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 the stockholders and the Board of Directors of Omada Health, Inc.</w:t>
      </w: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4" w:lineRule="exact"/>
        <w:rPr>
          <w:sz w:val="20"/>
          <w:szCs w:val="20"/>
          <w:color w:val="auto"/>
        </w:rPr>
      </w:pPr>
    </w:p>
    <w:p>
      <w:pPr>
        <w:jc w:val="both"/>
        <w:ind w:left="180" w:right="20" w:firstLine="436"/>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Omada Health, Inc. and its subsidiary (the “Company”) as of December 31, 2024 and 2023, the related consolidated statements of operations and comprehensive loss, convertible preferred stock and stockholders’ deficit,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U.S. Securities and Exchange Commission and the PCAOB.</w:t>
      </w:r>
    </w:p>
    <w:p>
      <w:pPr>
        <w:spacing w:after="0" w:line="182"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March 14, 2025 (May 29, 2025, as to the effects of the reverse stock split described in Notes 2 and 17).</w:t>
      </w:r>
    </w:p>
    <w:p>
      <w:pPr>
        <w:spacing w:after="0" w:line="2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80"/>
          </w:cols>
          <w:pgMar w:left="320" w:top="451" w:right="49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except per-share data)</w:t>
      </w:r>
    </w:p>
    <w:p>
      <w:pPr>
        <w:spacing w:after="0" w:line="230" w:lineRule="exact"/>
        <w:rPr>
          <w:sz w:val="20"/>
          <w:szCs w:val="20"/>
          <w:color w:val="auto"/>
        </w:rPr>
      </w:pPr>
    </w:p>
    <w:tbl>
      <w:tblPr>
        <w:tblLayout w:type="fixed"/>
        <w:tblInd w:w="180" w:type="dxa"/>
        <w:tblCellMar>
          <w:top w:w="0" w:type="dxa"/>
          <w:left w:w="0" w:type="dxa"/>
          <w:bottom w:w="0" w:type="dxa"/>
          <w:right w:w="0" w:type="dxa"/>
        </w:tblCellMar>
      </w:tblPr>
      <w:tr>
        <w:trPr>
          <w:trHeight w:val="164"/>
        </w:trPr>
        <w:tc>
          <w:tcPr>
            <w:tcW w:w="8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6"/>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0" w:type="dxa"/>
            <w:vAlign w:val="bottom"/>
          </w:tcPr>
          <w:p>
            <w:pPr>
              <w:spacing w:after="0"/>
              <w:rPr>
                <w:sz w:val="1"/>
                <w:szCs w:val="1"/>
                <w:color w:val="auto"/>
              </w:rPr>
            </w:pPr>
          </w:p>
        </w:tc>
      </w:tr>
      <w:tr>
        <w:trPr>
          <w:trHeight w:val="140"/>
        </w:trPr>
        <w:tc>
          <w:tcPr>
            <w:tcW w:w="8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880" w:type="dxa"/>
            <w:vAlign w:val="bottom"/>
            <w:tcBorders>
              <w:top w:val="single" w:sz="8" w:color="auto"/>
            </w:tcBorders>
            <w:gridSpan w:val="2"/>
          </w:tcPr>
          <w:p>
            <w:pPr>
              <w:jc w:val="right"/>
              <w:ind w:right="380"/>
              <w:spacing w:after="0" w:line="141" w:lineRule="exact"/>
              <w:rPr>
                <w:sz w:val="20"/>
                <w:szCs w:val="20"/>
                <w:color w:val="auto"/>
              </w:rPr>
            </w:pPr>
            <w:r>
              <w:rPr>
                <w:rFonts w:ascii="Times New Roman" w:cs="Times New Roman" w:eastAsia="Times New Roman" w:hAnsi="Times New Roman"/>
                <w:sz w:val="13"/>
                <w:szCs w:val="13"/>
                <w:b w:val="1"/>
                <w:bCs w:val="1"/>
                <w:color w:val="auto"/>
              </w:rPr>
              <w:t xml:space="preserve">2023    </w:t>
            </w:r>
          </w:p>
        </w:tc>
        <w:tc>
          <w:tcPr>
            <w:tcW w:w="440" w:type="dxa"/>
            <w:vAlign w:val="bottom"/>
            <w:tcBorders>
              <w:top w:val="single" w:sz="8" w:color="auto"/>
            </w:tcBorders>
            <w:gridSpan w:val="2"/>
          </w:tcPr>
          <w:p>
            <w:pPr>
              <w:ind w:left="240"/>
              <w:spacing w:after="0" w:line="141"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600" w:type="dxa"/>
            <w:vAlign w:val="bottom"/>
            <w:tcBorders>
              <w:top w:val="single" w:sz="8" w:color="auto"/>
            </w:tcBorders>
          </w:tcPr>
          <w:p>
            <w:pPr>
              <w:jc w:val="right"/>
              <w:ind w:right="20"/>
              <w:spacing w:after="0" w:line="141" w:lineRule="exact"/>
              <w:rPr>
                <w:sz w:val="20"/>
                <w:szCs w:val="20"/>
                <w:color w:val="auto"/>
              </w:rPr>
            </w:pPr>
            <w:r>
              <w:rPr>
                <w:rFonts w:ascii="Times New Roman" w:cs="Times New Roman" w:eastAsia="Times New Roman" w:hAnsi="Times New Roman"/>
                <w:sz w:val="13"/>
                <w:szCs w:val="13"/>
                <w:b w:val="1"/>
                <w:bCs w:val="1"/>
                <w:color w:val="auto"/>
              </w:rPr>
              <w:t xml:space="preserve">2024 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44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Assets</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115,643</w:t>
            </w:r>
          </w:p>
        </w:tc>
        <w:tc>
          <w:tcPr>
            <w:tcW w:w="2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40" w:type="dxa"/>
            <w:vAlign w:val="bottom"/>
          </w:tcPr>
          <w:p>
            <w:pPr>
              <w:ind w:left="320"/>
              <w:spacing w:after="0" w:line="200" w:lineRule="exact"/>
              <w:rPr>
                <w:sz w:val="20"/>
                <w:szCs w:val="20"/>
                <w:color w:val="auto"/>
              </w:rPr>
            </w:pPr>
            <w:r>
              <w:rPr>
                <w:rFonts w:ascii="Times New Roman" w:cs="Times New Roman" w:eastAsia="Times New Roman" w:hAnsi="Times New Roman"/>
                <w:sz w:val="15"/>
                <w:szCs w:val="15"/>
                <w:color w:val="auto"/>
              </w:rPr>
              <w:t>Accounts receivable, net</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Inventory</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3,614</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commissions, current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5,084</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4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142,879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4,423</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commissions, non-current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6,462</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13,240</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4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assets</w:t>
            </w: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175,080</w:t>
            </w:r>
          </w:p>
        </w:tc>
        <w:tc>
          <w:tcPr>
            <w:tcW w:w="2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Liabilities, Redeemable Convertible Preferred Stock and Stockholders’ Deficit</w:t>
            </w: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4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8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3,621</w:t>
            </w:r>
          </w:p>
        </w:tc>
        <w:tc>
          <w:tcPr>
            <w:tcW w:w="280" w:type="dxa"/>
            <w:vAlign w:val="bottom"/>
          </w:tcPr>
          <w:p>
            <w:pPr>
              <w:spacing w:after="0"/>
              <w:rPr>
                <w:sz w:val="17"/>
                <w:szCs w:val="17"/>
                <w:color w:val="auto"/>
              </w:rPr>
            </w:pP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40" w:type="dxa"/>
            <w:vAlign w:val="bottom"/>
            <w:shd w:val="clear" w:color="auto" w:fill="CCEEFF"/>
          </w:tcPr>
          <w:p>
            <w:pPr>
              <w:ind w:left="320"/>
              <w:spacing w:after="0" w:line="200" w:lineRule="exact"/>
              <w:rPr>
                <w:sz w:val="20"/>
                <w:szCs w:val="20"/>
                <w:color w:val="auto"/>
              </w:rPr>
            </w:pPr>
            <w:r>
              <w:rPr>
                <w:rFonts w:ascii="Times New Roman" w:cs="Times New Roman" w:eastAsia="Times New Roman" w:hAnsi="Times New Roman"/>
                <w:sz w:val="15"/>
                <w:szCs w:val="15"/>
                <w:color w:val="auto"/>
              </w:rPr>
              <w:t>Accrued expenses and other current liabilities</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24,497</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liability, current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40" w:type="dxa"/>
            <w:vAlign w:val="bottom"/>
            <w:shd w:val="clear" w:color="auto" w:fill="CCEEFF"/>
          </w:tcPr>
          <w:p>
            <w:pPr>
              <w:ind w:left="320"/>
              <w:spacing w:after="0" w:line="200" w:lineRule="exact"/>
              <w:rPr>
                <w:sz w:val="20"/>
                <w:szCs w:val="20"/>
                <w:color w:val="auto"/>
              </w:rPr>
            </w:pPr>
            <w:r>
              <w:rPr>
                <w:rFonts w:ascii="Times New Roman" w:cs="Times New Roman" w:eastAsia="Times New Roman" w:hAnsi="Times New Roman"/>
                <w:sz w:val="15"/>
                <w:szCs w:val="15"/>
                <w:color w:val="auto"/>
              </w:rPr>
              <w:t>Deferred revenue</w:t>
            </w:r>
            <w:r>
              <w:rPr>
                <w:rFonts w:ascii="Times New Roman" w:cs="Times New Roman" w:eastAsia="Times New Roman" w:hAnsi="Times New Roman"/>
                <w:sz w:val="23"/>
                <w:szCs w:val="23"/>
                <w:color w:val="auto"/>
                <w:vertAlign w:val="superscript"/>
              </w:rPr>
              <w:t>(3)</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14,885</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4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43,790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 term debt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29,382</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liabilities, non-current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liability, non-current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 non-current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4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76,158</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Redeemable convertible preferred stock, $0.001 par value; 120,689 shares authorized as of December 31, 2023 and 2024;</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118,219 shares issued and outstanding as of December 31, 2023 and 2024; aggregate liquidation preference of $455,588 as of</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December 31, 2023 and 2024, net of issuance costs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449,034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deficit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Common stock, $0.001 par value; 181,500 shares authorized as of December 31, 2023 and 2024; 7,388 and 8,157 shares</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issued and outstanding as of December 31, 2023 and 2024, respectively</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46,710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(396,829)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(443,966)</w:t>
            </w:r>
          </w:p>
        </w:tc>
        <w:tc>
          <w:tcPr>
            <w:tcW w:w="0" w:type="dxa"/>
            <w:vAlign w:val="bottom"/>
          </w:tcPr>
          <w:p>
            <w:pPr>
              <w:spacing w:after="0"/>
              <w:rPr>
                <w:sz w:val="1"/>
                <w:szCs w:val="1"/>
                <w:color w:val="auto"/>
              </w:rPr>
            </w:pPr>
          </w:p>
        </w:tc>
      </w:tr>
      <w:tr>
        <w:trPr>
          <w:trHeight w:val="214"/>
        </w:trPr>
        <w:tc>
          <w:tcPr>
            <w:tcW w:w="84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2"/>
              </w:rPr>
              <w:t>(350,112)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2"/>
              </w:rPr>
              <w:t>(384,403)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liabilities, redeemable convertible preferred stock and stockholders’ deficit</w:t>
            </w: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175,080</w:t>
            </w:r>
          </w:p>
        </w:tc>
        <w:tc>
          <w:tcPr>
            <w:tcW w:w="2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93345</wp:posOffset>
            </wp:positionV>
            <wp:extent cx="75501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58" w:lineRule="exact"/>
        <w:rPr>
          <w:sz w:val="20"/>
          <w:szCs w:val="20"/>
          <w:color w:val="auto"/>
        </w:rPr>
      </w:pPr>
    </w:p>
    <w:p>
      <w:pPr>
        <w:ind w:left="600" w:hanging="426"/>
        <w:spacing w:after="0"/>
        <w:tabs>
          <w:tab w:leader="none" w:pos="60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$8.1 million and $13.2 million as of December 31, 2023 and 2024, respectively.</w:t>
      </w:r>
    </w:p>
    <w:p>
      <w:pPr>
        <w:spacing w:after="0" w:line="1" w:lineRule="exact"/>
        <w:rPr>
          <w:rFonts w:ascii="Times New Roman" w:cs="Times New Roman" w:eastAsia="Times New Roman" w:hAnsi="Times New Roman"/>
          <w:sz w:val="14"/>
          <w:szCs w:val="14"/>
          <w:color w:val="auto"/>
        </w:rPr>
      </w:pPr>
    </w:p>
    <w:p>
      <w:pPr>
        <w:ind w:left="600" w:hanging="426"/>
        <w:spacing w:after="0" w:line="219" w:lineRule="auto"/>
        <w:tabs>
          <w:tab w:leader="none" w:pos="60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$1.5 million and $2.2 million as of December 31, 2023 and 2024, respectively.</w:t>
      </w:r>
    </w:p>
    <w:p>
      <w:pPr>
        <w:ind w:left="600" w:hanging="426"/>
        <w:spacing w:after="0"/>
        <w:tabs>
          <w:tab w:leader="none" w:pos="60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$9.2 million and $13.2 million as of December 31, 2023 and 2024, respectively.</w:t>
      </w:r>
    </w:p>
    <w:p>
      <w:pPr>
        <w:spacing w:after="0" w:line="1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80"/>
          </w:cols>
          <w:pgMar w:left="320" w:top="451" w:right="49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except per-share data)</w:t>
      </w:r>
    </w:p>
    <w:p>
      <w:pPr>
        <w:spacing w:after="0" w:line="22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6"/>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920" w:type="dxa"/>
            <w:vAlign w:val="bottom"/>
            <w:tcBorders>
              <w:top w:val="single" w:sz="8" w:color="auto"/>
            </w:tcBorders>
            <w:gridSpan w:val="2"/>
          </w:tcPr>
          <w:p>
            <w:pPr>
              <w:jc w:val="right"/>
              <w:ind w:right="322"/>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460" w:type="dxa"/>
            <w:vAlign w:val="bottom"/>
            <w:tcBorders>
              <w:top w:val="single" w:sz="8" w:color="auto"/>
            </w:tcBorders>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40" w:type="dxa"/>
            <w:vAlign w:val="bottom"/>
            <w:tcBorders>
              <w:top w:val="single" w:sz="8" w:color="auto"/>
            </w:tcBorders>
          </w:tcPr>
          <w:p>
            <w:pPr>
              <w:jc w:val="right"/>
              <w:ind w:right="32"/>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Revenue</w:t>
            </w:r>
          </w:p>
        </w:tc>
        <w:tc>
          <w:tcPr>
            <w:tcW w:w="2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tcPr>
          <w:p>
            <w:pPr>
              <w:ind w:left="340"/>
              <w:spacing w:after="0" w:line="213" w:lineRule="exact"/>
              <w:rPr>
                <w:sz w:val="20"/>
                <w:szCs w:val="20"/>
                <w:color w:val="auto"/>
              </w:rPr>
            </w:pPr>
            <w:r>
              <w:rPr>
                <w:rFonts w:ascii="Times New Roman" w:cs="Times New Roman" w:eastAsia="Times New Roman" w:hAnsi="Times New Roman"/>
                <w:sz w:val="17"/>
                <w:szCs w:val="17"/>
                <w:color w:val="auto"/>
              </w:rPr>
              <w:t>Services</w:t>
            </w:r>
            <w:r>
              <w:rPr>
                <w:rFonts w:ascii="Times New Roman" w:cs="Times New Roman" w:eastAsia="Times New Roman" w:hAnsi="Times New Roman"/>
                <w:sz w:val="24"/>
                <w:szCs w:val="24"/>
                <w:color w:val="auto"/>
                <w:vertAlign w:val="superscript"/>
              </w:rPr>
              <w:t>(1)</w:t>
            </w:r>
          </w:p>
        </w:tc>
        <w:tc>
          <w:tcPr>
            <w:tcW w:w="248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114,531</w:t>
            </w:r>
          </w:p>
        </w:tc>
        <w:tc>
          <w:tcPr>
            <w:tcW w:w="280" w:type="dxa"/>
            <w:vAlign w:val="bottom"/>
          </w:tcPr>
          <w:p>
            <w:pPr>
              <w:spacing w:after="0"/>
              <w:rPr>
                <w:sz w:val="18"/>
                <w:szCs w:val="18"/>
                <w:color w:val="auto"/>
              </w:rPr>
            </w:pPr>
          </w:p>
        </w:tc>
        <w:tc>
          <w:tcPr>
            <w:tcW w:w="46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line="213" w:lineRule="exact"/>
              <w:rPr>
                <w:sz w:val="20"/>
                <w:szCs w:val="20"/>
                <w:color w:val="auto"/>
              </w:rPr>
            </w:pPr>
            <w:r>
              <w:rPr>
                <w:rFonts w:ascii="Times New Roman" w:cs="Times New Roman" w:eastAsia="Times New Roman" w:hAnsi="Times New Roman"/>
                <w:sz w:val="17"/>
                <w:szCs w:val="17"/>
                <w:color w:val="auto"/>
              </w:rPr>
              <w:t>Hardware</w:t>
            </w:r>
            <w:r>
              <w:rPr>
                <w:rFonts w:ascii="Times New Roman" w:cs="Times New Roman" w:eastAsia="Times New Roman" w:hAnsi="Times New Roman"/>
                <w:sz w:val="24"/>
                <w:szCs w:val="24"/>
                <w:color w:val="auto"/>
                <w:vertAlign w:val="superscript"/>
              </w:rPr>
              <w:t>(2)</w:t>
            </w:r>
          </w:p>
        </w:tc>
        <w:tc>
          <w:tcPr>
            <w:tcW w:w="2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122,784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tcPr>
          <w:p>
            <w:pPr>
              <w:ind w:left="340"/>
              <w:spacing w:after="0" w:line="213" w:lineRule="exact"/>
              <w:rPr>
                <w:sz w:val="20"/>
                <w:szCs w:val="20"/>
                <w:color w:val="auto"/>
              </w:rPr>
            </w:pPr>
            <w:r>
              <w:rPr>
                <w:rFonts w:ascii="Times New Roman" w:cs="Times New Roman" w:eastAsia="Times New Roman" w:hAnsi="Times New Roman"/>
                <w:sz w:val="17"/>
                <w:szCs w:val="17"/>
                <w:color w:val="auto"/>
              </w:rPr>
              <w:t>Services</w:t>
            </w:r>
            <w:r>
              <w:rPr>
                <w:rFonts w:ascii="Times New Roman" w:cs="Times New Roman" w:eastAsia="Times New Roman" w:hAnsi="Times New Roman"/>
                <w:sz w:val="24"/>
                <w:szCs w:val="24"/>
                <w:color w:val="auto"/>
                <w:vertAlign w:val="superscript"/>
              </w:rPr>
              <w:t>(3)</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Hardware</w:t>
            </w:r>
          </w:p>
        </w:tc>
        <w:tc>
          <w:tcPr>
            <w:tcW w:w="2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cost of revenue</w:t>
            </w:r>
          </w:p>
        </w:tc>
        <w:tc>
          <w:tcPr>
            <w:tcW w:w="2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Gross profit</w:t>
            </w:r>
          </w:p>
        </w:tc>
        <w:tc>
          <w:tcPr>
            <w:tcW w:w="2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line="213"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4"/>
                <w:szCs w:val="24"/>
                <w:color w:val="auto"/>
                <w:vertAlign w:val="superscript"/>
              </w:rPr>
              <w:t>(4)</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tcPr>
          <w:p>
            <w:pPr>
              <w:ind w:left="340"/>
              <w:spacing w:after="0" w:line="213" w:lineRule="exact"/>
              <w:rPr>
                <w:sz w:val="20"/>
                <w:szCs w:val="20"/>
                <w:color w:val="auto"/>
              </w:rPr>
            </w:pPr>
            <w:r>
              <w:rPr>
                <w:rFonts w:ascii="Times New Roman" w:cs="Times New Roman" w:eastAsia="Times New Roman" w:hAnsi="Times New Roman"/>
                <w:sz w:val="17"/>
                <w:szCs w:val="17"/>
                <w:color w:val="auto"/>
              </w:rPr>
              <w:t>Sales and marketing</w:t>
            </w:r>
            <w:r>
              <w:rPr>
                <w:rFonts w:ascii="Times New Roman" w:cs="Times New Roman" w:eastAsia="Times New Roman" w:hAnsi="Times New Roman"/>
                <w:sz w:val="24"/>
                <w:szCs w:val="24"/>
                <w:color w:val="auto"/>
                <w:vertAlign w:val="superscript"/>
              </w:rPr>
              <w:t>(5)</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line="213"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4"/>
                <w:szCs w:val="24"/>
                <w:color w:val="auto"/>
                <w:vertAlign w:val="superscript"/>
              </w:rPr>
              <w:t>(6)</w:t>
            </w:r>
          </w:p>
        </w:tc>
        <w:tc>
          <w:tcPr>
            <w:tcW w:w="2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135,968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(65,997)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(43,654)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(5,775)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6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(67,511</w:t>
            </w:r>
          </w:p>
        </w:tc>
        <w:tc>
          <w:tcPr>
            <w:tcW w:w="28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(47,137</w:t>
            </w:r>
          </w:p>
        </w:tc>
        <w:tc>
          <w:tcPr>
            <w:tcW w:w="100" w:type="dxa"/>
            <w:vAlign w:val="bottom"/>
          </w:tcPr>
          <w:p>
            <w:pPr>
              <w:jc w:val="right"/>
              <w:ind w:right="2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2480" w:type="dxa"/>
            <w:vAlign w:val="bottom"/>
            <w:gridSpan w:val="2"/>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(9.52)</w:t>
            </w:r>
          </w:p>
        </w:tc>
        <w:tc>
          <w:tcPr>
            <w:tcW w:w="46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outstanding—basic and diluted</w:t>
            </w:r>
          </w:p>
        </w:tc>
        <w:tc>
          <w:tcPr>
            <w:tcW w:w="2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300" w:type="dxa"/>
            <w:vAlign w:val="bottom"/>
            <w:gridSpan w:val="2"/>
            <w:vMerge w:val="continue"/>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93345</wp:posOffset>
            </wp:positionV>
            <wp:extent cx="75501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58" w:lineRule="exact"/>
        <w:rPr>
          <w:sz w:val="20"/>
          <w:szCs w:val="20"/>
          <w:color w:val="auto"/>
        </w:rPr>
      </w:pPr>
    </w:p>
    <w:p>
      <w:pPr>
        <w:ind w:left="600" w:hanging="426"/>
        <w:spacing w:after="0"/>
        <w:tabs>
          <w:tab w:leader="none" w:pos="60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$62.9 million and $88.0 million for the years ended December 31, 2023 and 2024, respectively.</w:t>
      </w:r>
    </w:p>
    <w:p>
      <w:pPr>
        <w:spacing w:after="0" w:line="1" w:lineRule="exact"/>
        <w:rPr>
          <w:rFonts w:ascii="Times New Roman" w:cs="Times New Roman" w:eastAsia="Times New Roman" w:hAnsi="Times New Roman"/>
          <w:sz w:val="14"/>
          <w:szCs w:val="14"/>
          <w:color w:val="auto"/>
        </w:rPr>
      </w:pPr>
    </w:p>
    <w:p>
      <w:pPr>
        <w:ind w:left="600" w:hanging="426"/>
        <w:spacing w:after="0" w:line="219" w:lineRule="auto"/>
        <w:tabs>
          <w:tab w:leader="none" w:pos="60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$4.4 million and $6.5 million for the years ended December 31, 2023 and 2024, respectively.</w:t>
      </w:r>
    </w:p>
    <w:p>
      <w:pPr>
        <w:ind w:left="600" w:hanging="426"/>
        <w:spacing w:after="0" w:line="219" w:lineRule="auto"/>
        <w:tabs>
          <w:tab w:leader="none" w:pos="60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$2.8 million and $3.4 million for the years ended December 31, 2023 and 2024, respectively.</w:t>
      </w:r>
    </w:p>
    <w:p>
      <w:pPr>
        <w:ind w:left="600" w:hanging="426"/>
        <w:spacing w:after="0" w:line="219" w:lineRule="auto"/>
        <w:tabs>
          <w:tab w:leader="none" w:pos="60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$1.5 million and $1.7 million for the years ended December 31, 2023 and 2024, respectively.</w:t>
      </w:r>
    </w:p>
    <w:p>
      <w:pPr>
        <w:ind w:left="600" w:hanging="426"/>
        <w:spacing w:after="0" w:line="219" w:lineRule="auto"/>
        <w:tabs>
          <w:tab w:leader="none" w:pos="60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$10.8 million and $15.2 million for the years ended December 31, 2023 and 2024, respectively.</w:t>
      </w:r>
    </w:p>
    <w:p>
      <w:pPr>
        <w:ind w:left="600" w:hanging="426"/>
        <w:spacing w:after="0"/>
        <w:tabs>
          <w:tab w:leader="none" w:pos="60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$1.1 million and $1.1 million for the years ended December 31, 2023 and 2024, respectively.</w:t>
      </w:r>
    </w:p>
    <w:p>
      <w:pPr>
        <w:spacing w:after="0" w:line="200" w:lineRule="exact"/>
        <w:rPr>
          <w:sz w:val="20"/>
          <w:szCs w:val="20"/>
          <w:color w:val="auto"/>
        </w:rPr>
      </w:pPr>
    </w:p>
    <w:p>
      <w:pPr>
        <w:spacing w:after="0" w:line="2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080"/>
          </w:cols>
          <w:pgMar w:left="320" w:top="451" w:right="49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 STOCKHOLDERS’ DEFICIT</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w:t>
      </w:r>
    </w:p>
    <w:p>
      <w:pPr>
        <w:spacing w:after="0" w:line="219" w:lineRule="exact"/>
        <w:rPr>
          <w:sz w:val="20"/>
          <w:szCs w:val="20"/>
          <w:color w:val="auto"/>
        </w:rPr>
      </w:pPr>
    </w:p>
    <w:tbl>
      <w:tblPr>
        <w:tblLayout w:type="fixed"/>
        <w:tblInd w:w="180" w:type="dxa"/>
        <w:tblCellMar>
          <w:top w:w="0" w:type="dxa"/>
          <w:left w:w="0" w:type="dxa"/>
          <w:bottom w:w="0" w:type="dxa"/>
          <w:right w:w="0" w:type="dxa"/>
        </w:tblCellMar>
      </w:tblPr>
      <w:tr>
        <w:trPr>
          <w:trHeight w:val="27"/>
        </w:trPr>
        <w:tc>
          <w:tcPr>
            <w:tcW w:w="4020" w:type="dxa"/>
            <w:vAlign w:val="bottom"/>
          </w:tcPr>
          <w:p>
            <w:pPr>
              <w:spacing w:after="0"/>
              <w:rPr>
                <w:sz w:val="2"/>
                <w:szCs w:val="2"/>
                <w:color w:val="auto"/>
              </w:rPr>
            </w:pPr>
          </w:p>
        </w:tc>
        <w:tc>
          <w:tcPr>
            <w:tcW w:w="15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gridSpan w:val="4"/>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8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34"/>
        </w:trPr>
        <w:tc>
          <w:tcPr>
            <w:tcW w:w="4020" w:type="dxa"/>
            <w:vAlign w:val="bottom"/>
          </w:tcPr>
          <w:p>
            <w:pPr>
              <w:spacing w:after="0"/>
              <w:rPr>
                <w:sz w:val="11"/>
                <w:szCs w:val="11"/>
                <w:color w:val="auto"/>
              </w:rPr>
            </w:pPr>
          </w:p>
        </w:tc>
        <w:tc>
          <w:tcPr>
            <w:tcW w:w="1560" w:type="dxa"/>
            <w:vAlign w:val="bottom"/>
            <w:gridSpan w:val="3"/>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1560" w:type="dxa"/>
            <w:vAlign w:val="bottom"/>
            <w:tcBorders>
              <w:bottom w:val="single" w:sz="8" w:color="auto"/>
            </w:tcBorders>
            <w:gridSpan w:val="3"/>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4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Borders>
              <w:bottom w:val="single" w:sz="8" w:color="auto"/>
            </w:tcBorders>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280" w:type="dxa"/>
            <w:vAlign w:val="bottom"/>
            <w:gridSpan w:val="4"/>
            <w:vMerge w:val="continue"/>
          </w:tcPr>
          <w:p>
            <w:pPr>
              <w:spacing w:after="0"/>
              <w:rPr>
                <w:sz w:val="13"/>
                <w:szCs w:val="13"/>
                <w:color w:val="auto"/>
              </w:rPr>
            </w:pPr>
          </w:p>
        </w:tc>
        <w:tc>
          <w:tcPr>
            <w:tcW w:w="10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0"/>
        </w:trPr>
        <w:tc>
          <w:tcPr>
            <w:tcW w:w="4020" w:type="dxa"/>
            <w:vAlign w:val="bottom"/>
          </w:tcPr>
          <w:p>
            <w:pPr>
              <w:spacing w:after="0"/>
              <w:rPr>
                <w:sz w:val="12"/>
                <w:szCs w:val="12"/>
                <w:color w:val="auto"/>
              </w:rPr>
            </w:pPr>
          </w:p>
        </w:tc>
        <w:tc>
          <w:tcPr>
            <w:tcW w:w="660" w:type="dxa"/>
            <w:vAlign w:val="bottom"/>
          </w:tcPr>
          <w:p>
            <w:pPr>
              <w:jc w:val="right"/>
              <w:ind w:right="55"/>
              <w:spacing w:after="0" w:line="141"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740" w:type="dxa"/>
            <w:vAlign w:val="bottom"/>
          </w:tcPr>
          <w:p>
            <w:pPr>
              <w:jc w:val="right"/>
              <w:ind w:right="33"/>
              <w:spacing w:after="0" w:line="141"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760" w:type="dxa"/>
            <w:vAlign w:val="bottom"/>
            <w:gridSpan w:val="3"/>
          </w:tcPr>
          <w:p>
            <w:pPr>
              <w:ind w:left="2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0" w:type="dxa"/>
            <w:vAlign w:val="bottom"/>
            <w:gridSpan w:val="3"/>
          </w:tcPr>
          <w:p>
            <w:pPr>
              <w:ind w:left="2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Paid-in Capital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61"/>
              <w:spacing w:after="0" w:line="141"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301"/>
              <w:spacing w:after="0" w:line="141"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7"/>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118,129</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$ 448,777</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(329,318)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(293,172)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Issuance of Series A redeemable convertible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upon exercise of warrants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5"/>
        </w:trPr>
        <w:tc>
          <w:tcPr>
            <w:tcW w:w="40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(67,511)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(67,511)</w:t>
            </w:r>
          </w:p>
        </w:tc>
        <w:tc>
          <w:tcPr>
            <w:tcW w:w="0" w:type="dxa"/>
            <w:vAlign w:val="bottom"/>
          </w:tcPr>
          <w:p>
            <w:pPr>
              <w:spacing w:after="0"/>
              <w:rPr>
                <w:sz w:val="1"/>
                <w:szCs w:val="1"/>
                <w:color w:val="auto"/>
              </w:rPr>
            </w:pPr>
          </w:p>
        </w:tc>
      </w:tr>
      <w:tr>
        <w:trPr>
          <w:trHeight w:val="220"/>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118,219</w:t>
            </w:r>
          </w:p>
        </w:tc>
        <w:tc>
          <w:tcPr>
            <w:tcW w:w="1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$ 449,034</w:t>
            </w:r>
          </w:p>
        </w:tc>
        <w:tc>
          <w:tcPr>
            <w:tcW w:w="14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46,710</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(396,829)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(350,112)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0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(47,137)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(47,137)</w:t>
            </w:r>
          </w:p>
        </w:tc>
        <w:tc>
          <w:tcPr>
            <w:tcW w:w="0" w:type="dxa"/>
            <w:vAlign w:val="bottom"/>
          </w:tcPr>
          <w:p>
            <w:pPr>
              <w:spacing w:after="0"/>
              <w:rPr>
                <w:sz w:val="1"/>
                <w:szCs w:val="1"/>
                <w:color w:val="auto"/>
              </w:rPr>
            </w:pPr>
          </w:p>
        </w:tc>
      </w:tr>
      <w:tr>
        <w:trPr>
          <w:trHeight w:val="220"/>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118,219</w:t>
            </w: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$ 449,034</w:t>
            </w:r>
          </w:p>
        </w:tc>
        <w:tc>
          <w:tcPr>
            <w:tcW w:w="14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59,555</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(443,966</w:t>
            </w:r>
          </w:p>
        </w:tc>
        <w:tc>
          <w:tcPr>
            <w:tcW w:w="180" w:type="dxa"/>
            <w:vAlign w:val="bottom"/>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(384,403</w:t>
            </w:r>
          </w:p>
        </w:tc>
        <w:tc>
          <w:tcPr>
            <w:tcW w:w="100" w:type="dxa"/>
            <w:vAlign w:val="bottom"/>
          </w:tcPr>
          <w:p>
            <w:pPr>
              <w:jc w:val="right"/>
              <w:ind w:right="2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080"/>
          </w:cols>
          <w:pgMar w:left="320" w:top="451" w:right="49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w:t>
      </w:r>
    </w:p>
    <w:p>
      <w:pPr>
        <w:spacing w:after="0" w:line="230" w:lineRule="exact"/>
        <w:rPr>
          <w:sz w:val="20"/>
          <w:szCs w:val="20"/>
          <w:color w:val="auto"/>
        </w:rPr>
      </w:pPr>
    </w:p>
    <w:tbl>
      <w:tblPr>
        <w:tblLayout w:type="fixed"/>
        <w:tblInd w:w="1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40"/>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800" w:type="dxa"/>
            <w:vAlign w:val="bottom"/>
            <w:tcBorders>
              <w:top w:val="single" w:sz="8" w:color="auto"/>
            </w:tcBorders>
            <w:gridSpan w:val="2"/>
          </w:tcPr>
          <w:p>
            <w:pPr>
              <w:jc w:val="right"/>
              <w:ind w:right="260"/>
              <w:spacing w:after="0" w:line="141" w:lineRule="exact"/>
              <w:rPr>
                <w:sz w:val="20"/>
                <w:szCs w:val="20"/>
                <w:color w:val="auto"/>
              </w:rPr>
            </w:pPr>
            <w:r>
              <w:rPr>
                <w:rFonts w:ascii="Times New Roman" w:cs="Times New Roman" w:eastAsia="Times New Roman" w:hAnsi="Times New Roman"/>
                <w:sz w:val="13"/>
                <w:szCs w:val="13"/>
                <w:b w:val="1"/>
                <w:bCs w:val="1"/>
                <w:color w:val="auto"/>
              </w:rPr>
              <w:t xml:space="preserve">  2023    </w:t>
            </w:r>
          </w:p>
        </w:tc>
        <w:tc>
          <w:tcPr>
            <w:tcW w:w="2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58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 xml:space="preserve">  2024    </w:t>
            </w:r>
          </w:p>
        </w:tc>
        <w:tc>
          <w:tcPr>
            <w:tcW w:w="100" w:type="dxa"/>
            <w:vAlign w:val="bottom"/>
          </w:tcPr>
          <w:p>
            <w:pPr>
              <w:spacing w:after="0"/>
              <w:rPr>
                <w:sz w:val="12"/>
                <w:szCs w:val="12"/>
                <w:color w:val="auto"/>
              </w:rPr>
            </w:pPr>
          </w:p>
        </w:tc>
      </w:tr>
      <w:tr>
        <w:trPr>
          <w:trHeight w:val="194"/>
        </w:trPr>
        <w:tc>
          <w:tcPr>
            <w:tcW w:w="20" w:type="dxa"/>
            <w:vAlign w:val="bottom"/>
          </w:tcPr>
          <w:p>
            <w:pPr>
              <w:spacing w:after="0"/>
              <w:rPr>
                <w:sz w:val="16"/>
                <w:szCs w:val="16"/>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300" w:type="dxa"/>
            <w:vAlign w:val="bottom"/>
            <w:gridSpan w:val="2"/>
          </w:tcPr>
          <w:p>
            <w:pPr>
              <w:ind w:left="22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(67,511)</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(47,137)</w:t>
            </w: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4,803</w:t>
            </w:r>
          </w:p>
        </w:tc>
        <w:tc>
          <w:tcPr>
            <w:tcW w:w="10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Share-based compensation</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9,420</w:t>
            </w:r>
          </w:p>
        </w:tc>
        <w:tc>
          <w:tcPr>
            <w:tcW w:w="10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Change in fair value of warrants</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(218)</w:t>
            </w: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ind w:left="300"/>
              <w:spacing w:after="0" w:line="200" w:lineRule="exact"/>
              <w:rPr>
                <w:sz w:val="20"/>
                <w:szCs w:val="20"/>
                <w:color w:val="auto"/>
              </w:rPr>
            </w:pPr>
            <w:r>
              <w:rPr>
                <w:rFonts w:ascii="Times New Roman" w:cs="Times New Roman" w:eastAsia="Times New Roman" w:hAnsi="Times New Roman"/>
                <w:sz w:val="15"/>
                <w:szCs w:val="15"/>
                <w:color w:val="auto"/>
              </w:rPr>
              <w:t>Provision for credit losses</w:t>
            </w:r>
            <w:r>
              <w:rPr>
                <w:rFonts w:ascii="Times New Roman" w:cs="Times New Roman" w:eastAsia="Times New Roman" w:hAnsi="Times New Roman"/>
                <w:sz w:val="23"/>
                <w:szCs w:val="23"/>
                <w:color w:val="auto"/>
                <w:vertAlign w:val="superscript"/>
              </w:rPr>
              <w:t>(1)</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10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 of deferred commissions</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2,643</w:t>
            </w:r>
          </w:p>
        </w:tc>
        <w:tc>
          <w:tcPr>
            <w:tcW w:w="10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tcPr>
          <w:p>
            <w:pPr>
              <w:ind w:left="620"/>
              <w:spacing w:after="0" w:line="200" w:lineRule="exact"/>
              <w:rPr>
                <w:sz w:val="20"/>
                <w:szCs w:val="20"/>
                <w:color w:val="auto"/>
              </w:rPr>
            </w:pPr>
            <w:r>
              <w:rPr>
                <w:rFonts w:ascii="Times New Roman" w:cs="Times New Roman" w:eastAsia="Times New Roman" w:hAnsi="Times New Roman"/>
                <w:sz w:val="15"/>
                <w:szCs w:val="15"/>
                <w:color w:val="auto"/>
              </w:rPr>
              <w:t>Accounts receivable</w:t>
            </w:r>
            <w:r>
              <w:rPr>
                <w:rFonts w:ascii="Times New Roman" w:cs="Times New Roman" w:eastAsia="Times New Roman" w:hAnsi="Times New Roman"/>
                <w:sz w:val="23"/>
                <w:szCs w:val="23"/>
                <w:color w:val="auto"/>
                <w:vertAlign w:val="superscript"/>
              </w:rPr>
              <w:t>(2)</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(5,337)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(8,805)</w:t>
            </w: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Inventory</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(1,490)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(1,853)</w:t>
            </w: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Deferred commissions</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(3,699)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(6,422)</w:t>
            </w:r>
          </w:p>
        </w:tc>
      </w:tr>
      <w:tr>
        <w:trPr>
          <w:trHeight w:val="200"/>
        </w:trPr>
        <w:tc>
          <w:tcPr>
            <w:tcW w:w="20" w:type="dxa"/>
            <w:vAlign w:val="bottom"/>
          </w:tcPr>
          <w:p>
            <w:pPr>
              <w:spacing w:after="0"/>
              <w:rPr>
                <w:sz w:val="17"/>
                <w:szCs w:val="17"/>
                <w:color w:val="auto"/>
              </w:rPr>
            </w:pPr>
          </w:p>
        </w:tc>
        <w:tc>
          <w:tcPr>
            <w:tcW w:w="68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Accounts payable</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(286)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(716)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(783)</w:t>
            </w: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ind w:left="620"/>
              <w:spacing w:after="0" w:line="200" w:lineRule="exact"/>
              <w:rPr>
                <w:sz w:val="20"/>
                <w:szCs w:val="20"/>
                <w:color w:val="auto"/>
              </w:rPr>
            </w:pPr>
            <w:r>
              <w:rPr>
                <w:rFonts w:ascii="Times New Roman" w:cs="Times New Roman" w:eastAsia="Times New Roman" w:hAnsi="Times New Roman"/>
                <w:sz w:val="15"/>
                <w:szCs w:val="15"/>
                <w:color w:val="auto"/>
              </w:rPr>
              <w:t>Accrued expenses and other current liabilities</w:t>
            </w:r>
            <w:r>
              <w:rPr>
                <w:rFonts w:ascii="Times New Roman" w:cs="Times New Roman" w:eastAsia="Times New Roman" w:hAnsi="Times New Roman"/>
                <w:sz w:val="23"/>
                <w:szCs w:val="23"/>
                <w:color w:val="auto"/>
                <w:vertAlign w:val="superscript"/>
              </w:rPr>
              <w:t>(3)</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5,343</w:t>
            </w:r>
          </w:p>
        </w:tc>
        <w:tc>
          <w:tcPr>
            <w:tcW w:w="10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tcPr>
          <w:p>
            <w:pPr>
              <w:ind w:left="620"/>
              <w:spacing w:after="0" w:line="200" w:lineRule="exact"/>
              <w:rPr>
                <w:sz w:val="20"/>
                <w:szCs w:val="20"/>
                <w:color w:val="auto"/>
              </w:rPr>
            </w:pPr>
            <w:r>
              <w:rPr>
                <w:rFonts w:ascii="Times New Roman" w:cs="Times New Roman" w:eastAsia="Times New Roman" w:hAnsi="Times New Roman"/>
                <w:sz w:val="15"/>
                <w:szCs w:val="15"/>
                <w:color w:val="auto"/>
              </w:rPr>
              <w:t>Deferred revenue</w:t>
            </w:r>
            <w:r>
              <w:rPr>
                <w:rFonts w:ascii="Times New Roman" w:cs="Times New Roman" w:eastAsia="Times New Roman" w:hAnsi="Times New Roman"/>
                <w:sz w:val="23"/>
                <w:szCs w:val="23"/>
                <w:color w:val="auto"/>
                <w:vertAlign w:val="superscript"/>
              </w:rPr>
              <w:t>(4)</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4,645</w:t>
            </w:r>
          </w:p>
        </w:tc>
        <w:tc>
          <w:tcPr>
            <w:tcW w:w="10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68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(49,738)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(34,179)</w:t>
            </w:r>
          </w:p>
        </w:tc>
        <w:tc>
          <w:tcPr>
            <w:tcW w:w="10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(416)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(596)</w:t>
            </w: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Capitalized internal-use software costs</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(2,505)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(3,267)</w:t>
            </w:r>
          </w:p>
        </w:tc>
      </w:tr>
      <w:tr>
        <w:trPr>
          <w:trHeight w:val="214"/>
        </w:trPr>
        <w:tc>
          <w:tcPr>
            <w:tcW w:w="20" w:type="dxa"/>
            <w:vAlign w:val="bottom"/>
          </w:tcPr>
          <w:p>
            <w:pPr>
              <w:spacing w:after="0"/>
              <w:rPr>
                <w:sz w:val="18"/>
                <w:szCs w:val="18"/>
                <w:color w:val="auto"/>
              </w:rPr>
            </w:pPr>
          </w:p>
        </w:tc>
        <w:tc>
          <w:tcPr>
            <w:tcW w:w="68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(3,863)</w:t>
            </w:r>
          </w:p>
        </w:tc>
        <w:tc>
          <w:tcPr>
            <w:tcW w:w="10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of long term debt financing</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(30,000)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2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(1,805)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of debt extinguishment costs</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(623)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2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3,329</w:t>
            </w:r>
          </w:p>
        </w:tc>
        <w:tc>
          <w:tcPr>
            <w:tcW w:w="10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of deferred offering costs</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(4,538)</w:t>
            </w:r>
          </w:p>
        </w:tc>
      </w:tr>
      <w:tr>
        <w:trPr>
          <w:trHeight w:val="214"/>
        </w:trPr>
        <w:tc>
          <w:tcPr>
            <w:tcW w:w="20" w:type="dxa"/>
            <w:vAlign w:val="bottom"/>
          </w:tcPr>
          <w:p>
            <w:pPr>
              <w:spacing w:after="0"/>
              <w:rPr>
                <w:sz w:val="18"/>
                <w:szCs w:val="18"/>
                <w:color w:val="auto"/>
              </w:rPr>
            </w:pPr>
          </w:p>
        </w:tc>
        <w:tc>
          <w:tcPr>
            <w:tcW w:w="68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10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(52,480)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(39,251)</w:t>
            </w:r>
          </w:p>
        </w:tc>
      </w:tr>
      <w:tr>
        <w:trPr>
          <w:trHeight w:val="207"/>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168,123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115,643</w:t>
            </w:r>
          </w:p>
        </w:tc>
        <w:tc>
          <w:tcPr>
            <w:tcW w:w="10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300" w:type="dxa"/>
            <w:vAlign w:val="bottom"/>
            <w:gridSpan w:val="2"/>
            <w:shd w:val="clear" w:color="auto" w:fill="CCEEFF"/>
          </w:tcPr>
          <w:p>
            <w:pPr>
              <w:ind w:left="220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115,643</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76,392</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93345</wp:posOffset>
            </wp:positionV>
            <wp:extent cx="75501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58" w:lineRule="exact"/>
        <w:rPr>
          <w:sz w:val="20"/>
          <w:szCs w:val="20"/>
          <w:color w:val="auto"/>
        </w:rPr>
      </w:pPr>
    </w:p>
    <w:p>
      <w:pPr>
        <w:ind w:left="600" w:hanging="426"/>
        <w:spacing w:after="0"/>
        <w:tabs>
          <w:tab w:leader="none" w:pos="60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changes in related party balances of $0.2 million and $0.2 million for the years ended December 31, 2023 and 2024, respectively.</w:t>
      </w:r>
    </w:p>
    <w:p>
      <w:pPr>
        <w:spacing w:after="0" w:line="1" w:lineRule="exact"/>
        <w:rPr>
          <w:rFonts w:ascii="Times New Roman" w:cs="Times New Roman" w:eastAsia="Times New Roman" w:hAnsi="Times New Roman"/>
          <w:sz w:val="14"/>
          <w:szCs w:val="14"/>
          <w:color w:val="auto"/>
        </w:rPr>
      </w:pPr>
    </w:p>
    <w:p>
      <w:pPr>
        <w:ind w:left="600" w:hanging="426"/>
        <w:spacing w:after="0" w:line="219" w:lineRule="auto"/>
        <w:tabs>
          <w:tab w:leader="none" w:pos="60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changes in related party balances of $3.8 million and $5.3 million for the years ended December 31, 2023 and 2024, respectively.</w:t>
      </w:r>
    </w:p>
    <w:p>
      <w:pPr>
        <w:ind w:left="600" w:hanging="426"/>
        <w:spacing w:after="0" w:line="219" w:lineRule="auto"/>
        <w:tabs>
          <w:tab w:leader="none" w:pos="60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changes in related party balances of $0.5 million and $0.7 million for the years ended December 31, 2023 and 2024, respectively.</w:t>
      </w:r>
    </w:p>
    <w:p>
      <w:pPr>
        <w:ind w:left="600" w:hanging="426"/>
        <w:spacing w:after="0"/>
        <w:tabs>
          <w:tab w:leader="none" w:pos="60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changes in related party balances of $2.2 million and $3.9 million for the years ended December 31, 2023 and 2024, respectively.</w:t>
      </w:r>
    </w:p>
    <w:p>
      <w:pPr>
        <w:spacing w:after="0" w:line="1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080"/>
          </w:cols>
          <w:pgMar w:left="320" w:top="451" w:right="49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6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8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0"/>
        </w:trPr>
        <w:tc>
          <w:tcPr>
            <w:tcW w:w="84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540" w:type="dxa"/>
            <w:vAlign w:val="bottom"/>
            <w:tcBorders>
              <w:top w:val="single" w:sz="8" w:color="auto"/>
              <w:bottom w:val="single" w:sz="8" w:color="auto"/>
            </w:tcBorders>
          </w:tcPr>
          <w:p>
            <w:pPr>
              <w:jc w:val="right"/>
              <w:ind w:right="96"/>
              <w:spacing w:after="0" w:line="141" w:lineRule="exact"/>
              <w:rPr>
                <w:sz w:val="20"/>
                <w:szCs w:val="20"/>
                <w:color w:val="auto"/>
              </w:rPr>
            </w:pPr>
            <w:r>
              <w:rPr>
                <w:rFonts w:ascii="Times New Roman" w:cs="Times New Roman" w:eastAsia="Times New Roman" w:hAnsi="Times New Roman"/>
                <w:sz w:val="14"/>
                <w:szCs w:val="14"/>
                <w:b w:val="1"/>
                <w:bCs w:val="1"/>
                <w:color w:val="auto"/>
                <w:w w:val="80"/>
              </w:rPr>
              <w:t>2023 </w:t>
            </w:r>
          </w:p>
        </w:tc>
        <w:tc>
          <w:tcPr>
            <w:tcW w:w="5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560" w:type="dxa"/>
            <w:vAlign w:val="bottom"/>
            <w:tcBorders>
              <w:top w:val="single" w:sz="8" w:color="auto"/>
              <w:bottom w:val="single" w:sz="8" w:color="auto"/>
            </w:tcBorders>
          </w:tcPr>
          <w:p>
            <w:pPr>
              <w:jc w:val="right"/>
              <w:ind w:right="94"/>
              <w:spacing w:after="0" w:line="141" w:lineRule="exact"/>
              <w:rPr>
                <w:sz w:val="20"/>
                <w:szCs w:val="20"/>
                <w:color w:val="auto"/>
              </w:rPr>
            </w:pPr>
            <w:r>
              <w:rPr>
                <w:rFonts w:ascii="Times New Roman" w:cs="Times New Roman" w:eastAsia="Times New Roman" w:hAnsi="Times New Roman"/>
                <w:sz w:val="14"/>
                <w:szCs w:val="14"/>
                <w:b w:val="1"/>
                <w:bCs w:val="1"/>
                <w:color w:val="auto"/>
                <w:w w:val="85"/>
              </w:rPr>
              <w:t>2024 </w:t>
            </w:r>
          </w:p>
        </w:tc>
        <w:tc>
          <w:tcPr>
            <w:tcW w:w="60" w:type="dxa"/>
            <w:vAlign w:val="bottom"/>
            <w:tcBorders>
              <w:bottom w:val="single" w:sz="8" w:color="CCEEFF"/>
            </w:tcBorders>
          </w:tcPr>
          <w:p>
            <w:pPr>
              <w:spacing w:after="0"/>
              <w:rPr>
                <w:sz w:val="12"/>
                <w:szCs w:val="12"/>
                <w:color w:val="auto"/>
              </w:rPr>
            </w:pPr>
          </w:p>
        </w:tc>
      </w:tr>
      <w:tr>
        <w:trPr>
          <w:trHeight w:val="194"/>
        </w:trPr>
        <w:tc>
          <w:tcPr>
            <w:tcW w:w="84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5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74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60" w:type="dxa"/>
            <w:vAlign w:val="bottom"/>
            <w:shd w:val="clear" w:color="auto" w:fill="CCEEFF"/>
          </w:tcPr>
          <w:p>
            <w:pPr>
              <w:spacing w:after="0"/>
              <w:rPr>
                <w:sz w:val="18"/>
                <w:szCs w:val="18"/>
                <w:color w:val="auto"/>
              </w:rPr>
            </w:pPr>
          </w:p>
        </w:tc>
      </w:tr>
      <w:tr>
        <w:trPr>
          <w:trHeight w:val="21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activities: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Unpaid property and equipment included in accounts payable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shd w:val="clear" w:color="auto" w:fill="CCEEFF"/>
          </w:tcPr>
          <w:p>
            <w:pPr>
              <w:spacing w:after="0"/>
              <w:rPr>
                <w:sz w:val="18"/>
                <w:szCs w:val="18"/>
                <w:color w:val="auto"/>
              </w:rPr>
            </w:pPr>
          </w:p>
        </w:tc>
      </w:tr>
      <w:tr>
        <w:trPr>
          <w:trHeight w:val="195"/>
        </w:trPr>
        <w:tc>
          <w:tcPr>
            <w:tcW w:w="8440" w:type="dxa"/>
            <w:vAlign w:val="bottom"/>
          </w:tcPr>
          <w:p>
            <w:pPr>
              <w:ind w:left="360"/>
              <w:spacing w:after="0" w:line="195" w:lineRule="exact"/>
              <w:rPr>
                <w:sz w:val="20"/>
                <w:szCs w:val="20"/>
                <w:color w:val="auto"/>
              </w:rPr>
            </w:pPr>
            <w:r>
              <w:rPr>
                <w:rFonts w:ascii="Times New Roman" w:cs="Times New Roman" w:eastAsia="Times New Roman" w:hAnsi="Times New Roman"/>
                <w:sz w:val="18"/>
                <w:szCs w:val="18"/>
                <w:color w:val="auto"/>
              </w:rPr>
              <w:t>Net share settlement of redeemable convertible preferred stock warrant in connection with Series A warrant</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2"/>
        </w:trPr>
        <w:tc>
          <w:tcPr>
            <w:tcW w:w="8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exercise</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Unpaid deferred offering costs included in accounts payable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60" w:type="dxa"/>
            <w:vAlign w:val="bottom"/>
            <w:shd w:val="clear" w:color="auto" w:fill="CCEEFF"/>
          </w:tcPr>
          <w:p>
            <w:pPr>
              <w:spacing w:after="0"/>
              <w:rPr>
                <w:sz w:val="18"/>
                <w:szCs w:val="18"/>
                <w:color w:val="auto"/>
              </w:rPr>
            </w:pPr>
          </w:p>
        </w:tc>
      </w:tr>
      <w:tr>
        <w:trPr>
          <w:trHeight w:val="233"/>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 capitalized in internal-use software</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080"/>
          </w:cols>
          <w:pgMar w:left="320" w:top="451" w:right="49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Omada Health, Inc.’s (together with its subsidiary and consolidated professional corporation, the “Company” or “Omada”) mission is to bend disease curves. As part of that mission, the Company strives to inspire and enable people to make lasting health changes on their own terms. The Company delivers virtual care between doctor’s visits, providing an engaging, personalized, and integrated experience for its members that is designed to improve their health while delivering value for its customers and channel partners, including employers, health plans, health systems, and pharmacy benefits managers (“PBMs”). The Company offers cardiometabolic programs for prediabetes, diabetes, and hypertension; a physical therapy program to address musculoskeletal (“MSK”) conditions; additional support for members taking glucagon-like peptide-1 agonists (“GLP-1”) in our cardiometabolic programs (“GLP-1 Care Tracks”); and behavioral health support across all programs. The Company was incorporated in the State of Delaware in April 2011 and is headquartered in San Francisco, California.</w:t>
      </w:r>
    </w:p>
    <w:p>
      <w:pPr>
        <w:spacing w:after="0" w:line="181" w:lineRule="exact"/>
        <w:rPr>
          <w:sz w:val="20"/>
          <w:szCs w:val="20"/>
          <w:color w:val="auto"/>
        </w:rPr>
      </w:pPr>
    </w:p>
    <w:p>
      <w:pPr>
        <w:ind w:left="600" w:right="7380" w:hanging="426"/>
        <w:spacing w:after="0" w:line="497" w:lineRule="auto"/>
        <w:tabs>
          <w:tab w:leader="none" w:pos="342" w:val="left"/>
        </w:tabs>
        <w:numPr>
          <w:ilvl w:val="0"/>
          <w:numId w:val="1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spacing w:after="0" w:line="2"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accounting principles generally accepted in the United States of America (“U.S. GAAP”). The consolidated financial statements include the accounts of Omada Health, Inc., its subsidiary, Physera, Inc., and a professional corporation, Physera Physical Therapy Group, PC (“PPTG” or the “professional corporation”), which was determined to be a variable interest entity (“VIE”) for which Omada is the primary beneficiary. All intercompany balances and transactions have been eliminated in consolidation.</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On May 27, 2025, the Company amended its restated certificate of incorporation, as amended, to effect a reverse stock split of shares of the Company’s common stock on a one-for-three basis (the “Reverse Stock Split”). The common stock warrants and options to purchase common stock were subsequently adjusted as a result of the Reverse Stock Split. All impacted share and per-share information included in these consolidated financial statements and notes thereto have been retroactively adjusted to give effect to the Reverse Stock Split.</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Entity</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Some jurisdictions have laws that prohibit business entities, such as Omada, from practicing physical therapy, employing physical therapists, exercising control over certain decisions by physical therapists (collectively known as the corporate practice of physical therapy), or engaging in certain arrangements with physical therapists, such as fee-splitting. The Company operates in accordance with these restrictions by holding a variable interest through a long-term management agreement in a professional corporation, which is owned and operated by physical therapists and which engages in provision of physical therapy and contracts with physical therapists and other healthcare practitioners duly licensed to practice and provide physical therapy services and treatment. The most recent long-term management agreement commenced in January 2022, has an initial term of ten years, and is automatically renewable for successive periods of five-year terms unless terminated by either party for cause.</w:t>
      </w:r>
    </w:p>
    <w:p>
      <w:pPr>
        <w:spacing w:after="0" w:line="189"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The management agreement is not terminable by the professional corporation during the initial term, except in the case of material breach or bankruptcy of Omada. The professional corporation is considered a VIE since it does not have sufficient equity to finance its activities without additional subordinated financial support. An</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080"/>
          </w:cols>
          <w:pgMar w:left="320" w:top="451" w:right="49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jc w:val="both"/>
        <w:ind w:left="180"/>
        <w:spacing w:after="0" w:line="268" w:lineRule="auto"/>
        <w:rPr>
          <w:sz w:val="20"/>
          <w:szCs w:val="20"/>
          <w:color w:val="auto"/>
        </w:rPr>
      </w:pPr>
      <w:r>
        <w:rPr>
          <w:rFonts w:ascii="Times New Roman" w:cs="Times New Roman" w:eastAsia="Times New Roman" w:hAnsi="Times New Roman"/>
          <w:sz w:val="17"/>
          <w:szCs w:val="17"/>
          <w:color w:val="auto"/>
        </w:rPr>
        <w:t>enterprise having a controlling financial interest in a VIE must consolidate the VIE if it is considered the primary beneficiary, which is described as having both (1) the power to direct the activities of a VIE that most significantly impact the VIE’s economic performance and (2) the obligation to absorb losses of the VIE that potentially could be significant to the VIE or the right to receive benefits from the VIE that potentially could be significant to the VIE. Through the management agreement and the Company’s relationship with the stockholders of the professional corporation, the Company has exclusive authority over all non-medical decision making related to the ongoing business operations of the professional corporation. Based on the provisions of the agreements with the professional corporation, the Company consolidated the VIE at inception, and upon reconsideration events, as the Company is considered the primary beneficiary as the Company has control over the operations of the VIE, provides full financial and management support, and takes all residual benefits and bears all residual losses from its operations. The Company will perform on-going reassessments of the VIE based on any reconsideration events to reevaluate whether a change to the consolidation conclusion is required each reporting period.</w:t>
      </w:r>
    </w:p>
    <w:p>
      <w:pPr>
        <w:spacing w:after="0" w:line="173"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The consolidated balance sheets as of December 31, 2023 and 2024 include assets of the consolidated VIE, which can only be used to settle obligations of the VIE, and liabilities of the consolidated VIE. As of December 31, 2023, after the elimination of intercompany transaction balances, assets of the consolidated VIE totaled $1.0 million, and liabilities of the consolidated VIE totaled $1.6 million. As of December 31, 2024, after the elimination of intercompany transaction balances, assets of the consolidated VIE totaled $0.9 million, and liabilities of the consolidated VIE totaled $0.2 million.</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4" w:lineRule="exact"/>
        <w:rPr>
          <w:sz w:val="20"/>
          <w:szCs w:val="20"/>
          <w:color w:val="auto"/>
        </w:rPr>
      </w:pPr>
    </w:p>
    <w:p>
      <w:pPr>
        <w:jc w:val="both"/>
        <w:ind w:left="180" w:firstLine="436"/>
        <w:spacing w:after="0" w:line="267"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income and expense during the reporting period. The Company’s significant estimates and assumptions made in the accompanying consolidated financial statements include, but are not limited to, determining standalone selling price for performance obligations in contracts with customers and variable consideration, the period of benefit for deferred commissions, the fair value of common stock warrants, the fair value of redeemable convertible preferred stock warrants, the valuation and assumptions underlying share-based compensation including the per-share fair value of the Company’s common stock, the assessment of useful life and recoverability of long-lived assets, the valuation of deferred tax assets, reserves for uncertain tax positions, and the incremental borrowing rate used in the Company’s operating lease calculations. By their nature, estimates are subject to an inherent degree of uncertainty and actual results could differ from those estimates. The Company bases its estimates on historical experience and on various other assumptions that are believed to be reasonable. Actual results may differ from those estimates or assumptions.</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Company considers operating segments to be components of the Company in which separate financial information is available and is evaluated regularly by the Company’s chief operating decision maker (“CODM”) in deciding how to allocate resources and in assessing performance. The CODM for the Company is the Chief Executive Officer. The CODM reviews financial information on a consolidated basis to make decisions about how to allocate resources and how to measure the Company’s performance. The Company has determined that it has one operating and reportable segment (refer to Note 14 for additional information).</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80"/>
          </w:cols>
          <w:pgMar w:left="320" w:top="451" w:right="49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Significant Customers and Channel Partners</w:t>
      </w:r>
    </w:p>
    <w:p>
      <w:pPr>
        <w:spacing w:after="0" w:line="224"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and accounts receivable. The Company holds cash at major financial institutions that often exceed Federal Deposit Insurance Corporation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w:t>
      </w:r>
    </w:p>
    <w:p>
      <w:pPr>
        <w:spacing w:after="0" w:line="183"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Concentrations of credit risk with respect to accounts receivable are primarily limited to certain customers and channel partners to which the Company makes substantial sales. Significant customers and channel partners are those which represent 10% or more of the accounts receivable balance or revenue for the periods presented. Customers and channel partners that accounted for 10% or more of accounts receivable, net or revenue as of and for the years ended December 31, 2023 and 2024 were as follows:</w:t>
      </w:r>
    </w:p>
    <w:p>
      <w:pPr>
        <w:spacing w:after="0" w:line="20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5140" w:type="dxa"/>
            <w:vAlign w:val="bottom"/>
          </w:tcPr>
          <w:p>
            <w:pPr>
              <w:spacing w:after="0"/>
              <w:rPr>
                <w:sz w:val="14"/>
                <w:szCs w:val="14"/>
                <w:color w:val="auto"/>
              </w:rPr>
            </w:pPr>
          </w:p>
        </w:tc>
        <w:tc>
          <w:tcPr>
            <w:tcW w:w="31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Accounts Receivable, net</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3"/>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Revenue</w:t>
            </w:r>
          </w:p>
        </w:tc>
      </w:tr>
      <w:tr>
        <w:trPr>
          <w:trHeight w:val="140"/>
        </w:trPr>
        <w:tc>
          <w:tcPr>
            <w:tcW w:w="5140" w:type="dxa"/>
            <w:vAlign w:val="bottom"/>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480" w:type="dxa"/>
            <w:vAlign w:val="bottom"/>
            <w:tcBorders>
              <w:top w:val="single" w:sz="8" w:color="auto"/>
              <w:bottom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2400" w:type="dxa"/>
            <w:vAlign w:val="bottom"/>
            <w:tcBorders>
              <w:top w:val="single" w:sz="8" w:color="auto"/>
              <w:bottom w:val="single" w:sz="8" w:color="auto"/>
            </w:tcBorders>
            <w:gridSpan w:val="4"/>
          </w:tcPr>
          <w:p>
            <w:pPr>
              <w:jc w:val="right"/>
              <w:ind w:right="300"/>
              <w:spacing w:after="0" w:line="141" w:lineRule="exact"/>
              <w:rPr>
                <w:sz w:val="20"/>
                <w:szCs w:val="20"/>
                <w:color w:val="auto"/>
              </w:rPr>
            </w:pPr>
            <w:r>
              <w:rPr>
                <w:rFonts w:ascii="Times New Roman" w:cs="Times New Roman" w:eastAsia="Times New Roman" w:hAnsi="Times New Roman"/>
                <w:sz w:val="14"/>
                <w:szCs w:val="14"/>
                <w:b w:val="1"/>
                <w:bCs w:val="1"/>
                <w:color w:val="auto"/>
              </w:rPr>
              <w:t>  Year Ended December 31, </w:t>
            </w:r>
          </w:p>
        </w:tc>
        <w:tc>
          <w:tcPr>
            <w:tcW w:w="200" w:type="dxa"/>
            <w:vAlign w:val="bottom"/>
          </w:tcPr>
          <w:p>
            <w:pPr>
              <w:spacing w:after="0"/>
              <w:rPr>
                <w:sz w:val="12"/>
                <w:szCs w:val="12"/>
                <w:color w:val="auto"/>
              </w:rPr>
            </w:pPr>
          </w:p>
        </w:tc>
      </w:tr>
      <w:tr>
        <w:trPr>
          <w:trHeight w:val="140"/>
        </w:trPr>
        <w:tc>
          <w:tcPr>
            <w:tcW w:w="51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40"/>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80"/>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100"/>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r>
      <w:tr>
        <w:trPr>
          <w:trHeight w:val="207"/>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 A</w:t>
            </w:r>
          </w:p>
        </w:tc>
        <w:tc>
          <w:tcPr>
            <w:tcW w:w="1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29%</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9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r>
      <w:tr>
        <w:trPr>
          <w:trHeight w:val="23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Partner B</w:t>
            </w:r>
          </w:p>
        </w:tc>
        <w:tc>
          <w:tcPr>
            <w:tcW w:w="1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0"/>
                <w:szCs w:val="20"/>
                <w:color w:val="auto"/>
              </w:rPr>
            </w:pPr>
          </w:p>
        </w:tc>
        <w:tc>
          <w:tcPr>
            <w:tcW w:w="14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28%</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bl>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Partner A and Partner B are each affiliates of The Cigna Group (refer to Note 13 for additional information).</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Supply Risk</w:t>
      </w:r>
    </w:p>
    <w:p>
      <w:pPr>
        <w:spacing w:after="0" w:line="224"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The Company’s hardware consists primarily of finished goods that are sourced from various vendors. Additionally, the Company utilizes a limited number of suppliers to provide the data connectivity for its connected devices. Quality, performance, or connectivity failures of the products or changes in the vendors’ financial or business condition could disrupt the Company’s ability to supply quality products to its members and thereby have a material adverse impact on its business, financial condition, and results of operations.</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Cash and cash equivalents consist of cash on deposit in banks and highly liquid investments, including money market funds, purchased with an original maturity of three months or less.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Certain financial instruments are required to be recorded at fair value. Other financial instruments, including cash and cash equivalents are recorded at cost, which approximates fair value. Additionally, the carrying amounts of accounts receivable, prepaid expenses and other current assets, accounts payable, accrued expenses, and other current liabilities approximate fair value due to their short-term nature.</w:t>
      </w:r>
    </w:p>
    <w:p>
      <w:pPr>
        <w:spacing w:after="0" w:line="177"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Level 1 inputs: Quoted prices for identical assets and liabilities in active markets.</w:t>
      </w:r>
    </w:p>
    <w:p>
      <w:pPr>
        <w:spacing w:after="0" w:line="15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080"/>
          </w:cols>
          <w:pgMar w:left="320" w:top="451" w:right="49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ind w:left="1160" w:right="20"/>
        <w:spacing w:after="0" w:line="277" w:lineRule="auto"/>
        <w:rPr>
          <w:sz w:val="20"/>
          <w:szCs w:val="20"/>
          <w:color w:val="auto"/>
        </w:rPr>
      </w:pPr>
      <w:r>
        <w:rPr>
          <w:rFonts w:ascii="Times New Roman" w:cs="Times New Roman" w:eastAsia="Times New Roman" w:hAnsi="Times New Roman"/>
          <w:sz w:val="18"/>
          <w:szCs w:val="18"/>
          <w:color w:val="auto"/>
        </w:rPr>
        <w:t>Level 2 inputs: Assets and liabilities based on observable market data for similar instruments, such as quoted prices for similar assets or liabilities or other inputs that are observable or can be corroborated by observable market data.</w:t>
      </w:r>
    </w:p>
    <w:p>
      <w:pPr>
        <w:spacing w:after="0" w:line="57" w:lineRule="exact"/>
        <w:rPr>
          <w:sz w:val="20"/>
          <w:szCs w:val="20"/>
          <w:color w:val="auto"/>
        </w:rPr>
      </w:pPr>
    </w:p>
    <w:p>
      <w:pPr>
        <w:ind w:left="1160" w:right="20"/>
        <w:spacing w:after="0" w:line="277" w:lineRule="auto"/>
        <w:rPr>
          <w:sz w:val="20"/>
          <w:szCs w:val="20"/>
          <w:color w:val="auto"/>
        </w:rPr>
      </w:pPr>
      <w:r>
        <w:rPr>
          <w:rFonts w:ascii="Times New Roman" w:cs="Times New Roman" w:eastAsia="Times New Roman" w:hAnsi="Times New Roman"/>
          <w:sz w:val="18"/>
          <w:szCs w:val="18"/>
          <w:color w:val="auto"/>
        </w:rPr>
        <w:t>Level 3 inputs: Unobservable inputs reflecting the Company’s assumptions, consistent with reasonably available assumptions made by other market participants. These valuations require judgment.</w:t>
      </w:r>
    </w:p>
    <w:p>
      <w:pPr>
        <w:spacing w:after="0" w:line="163"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fair value hierarchy also requires an entity to maximize the use of observable inputs and minimizes the use of unobservable inputs when measuring fair value.</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The Company’s accounts receivable are uncollateralized and are derived from customers and channel partners within the United States (“U.S.”), most of which are large self-insured enterprises, health plans, or PBMs. Accounts receivable are recorded at the invoiced amount, net of an allowance for credit losses. Accounts receivable includes amounts unbilled related to services provided during the period but not billed until subsequent to period end.</w:t>
      </w:r>
    </w:p>
    <w:p>
      <w:pPr>
        <w:spacing w:after="0" w:line="182"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The Company regularly monitors collections and payments from customers and channel partners and maintains an allowance for credit losses for estimated losses resulting from the inability of customers or channel partners to make required payments. Management estimates its allowance for credit losses by considering factors such as historical credit loss experience and current conditions, such as the length of time accounts receivable are past due, customer and channel partner payment histories, and any specific customer or channel partner collection issues identified, current market conditions which may affect customer or channel partner financial condition, and reasonable and supportable forecasts of future credit losses. The Company writes off accounts receivable against the allowance when management determines a balance is uncollectible and no longer actively pursues collection of the receivable.</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Inventory consists of purchased connected third-party devices, including scales, blood glucose monitors, and blood pressure monitors. Inventory is stated at the lower-of-cost or net realizable value. Inventory cost is determined on a weighted-average cost method, which approximates the actual cost on a first-in first-out basis. Net realizable value is the estimated selling price of the Company’s products in the ordinary course of business, less reasonably predictable costs of disposal and transportation. The carrying value of inventory is reduced for estimated excess and obsolete inventory. Excess and obsolete inventory reductions are determined based on assumptions about market and economic conditions, technology changes, new product introductions, and changes in strategic direction and are included in hardware cost of revenue in the accompanying consolidated statements of operations and comprehensive loss.</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Property and equipment is stated at cost less accumulated depreciation and amortization. Depreciation expense is recorded on a straight-line basis over the estimated useful lives of the respective assets, which is generally three years. Leasehold improvements are depreciated over the shorter of the estimated useful lives of the assets or the lease term.</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Internal-Use Software Costs</w:t>
      </w:r>
    </w:p>
    <w:p>
      <w:pPr>
        <w:spacing w:after="0" w:line="224"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Costs related to software acquired, developed, or modified solely to meet the Company’s internal requirements, with no substantive plans to market such software at the time of development, and costs related to</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080"/>
          </w:cols>
          <w:pgMar w:left="320" w:top="451" w:right="49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jc w:val="both"/>
        <w:ind w:left="180" w:right="20"/>
        <w:spacing w:after="0" w:line="253" w:lineRule="auto"/>
        <w:rPr>
          <w:sz w:val="20"/>
          <w:szCs w:val="20"/>
          <w:color w:val="auto"/>
        </w:rPr>
      </w:pPr>
      <w:r>
        <w:rPr>
          <w:rFonts w:ascii="Times New Roman" w:cs="Times New Roman" w:eastAsia="Times New Roman" w:hAnsi="Times New Roman"/>
          <w:sz w:val="18"/>
          <w:szCs w:val="18"/>
          <w:color w:val="auto"/>
        </w:rPr>
        <w:t>development of web-based products are capitalized. Costs incurred during the preliminary planning and evaluation stage of the project and during the post-implementation operational stage are expensed as incurred. Costs incurred during the application development stage of the project are capitalized. Capitalized internal-use software costs are amortized on a straight-line basis over an expected useful life of three years and are included in property and equipment, net, on the consolidated balance sheets. For the years ended December 31, 2023 and 2024, the Company capitalized $2.6 million and $3.4 million, respectively, for software acquired, developed, and modified to meet internal requirements. Amortization expense related to capitalized internal-use software was $1.7 million and $2.2 million during the years ended December 31, 2023 and 2024, respectively.</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Business combinations are accounted for under the acquisition method of accounting, which requires the acquired assets, including separately identifiable intangible assets, and assumed liabilities to be recorded as of the acquisition date at their respective estimated fair values. Any excess of the purchase price over the fair value of the assets acquired, including separately identifiable intangible assets and liabilities assumed, is recorded as goodwill.</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Long-Lived Assets</w:t>
      </w:r>
    </w:p>
    <w:p>
      <w:pPr>
        <w:spacing w:after="0" w:line="224"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estimated fair value of net assets of businesses acquired in a business combination. Goodwill amounts are not amortized. Goodwill is tested for impairment annually on the last day of each fiscal year or whenever events or changes in circumstances indicate the carrying amount of goodwill may not be recoverable. The Company operates as a single operating segment which is deemed to be its only reporting unit.</w:t>
      </w:r>
    </w:p>
    <w:p>
      <w:pPr>
        <w:spacing w:after="0" w:line="182"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Management has the option to first perform a qualitative assessment to determine whether it is more likely than not that the fair value of the Company is less than the carrying amount, including goodwill. If it is determined that it is more likely than not that the fair value of the Company is less than the carrying amount, a quantitative assessment is performed by comparing the fair value of a reporting unit with its carrying amount. An impairment charge is recognized for the amount by which the carrying amount exceeds the reporting unit’s fair value, not to exceed the total amount of goodwill allocated to that reporting unit. The Company also has the option to bypass the qualitative assessment and perform the quantitative assessment. No goodwill impairments were recorded in the years ended December 31, 2023 and 2024.</w:t>
      </w:r>
    </w:p>
    <w:p>
      <w:pPr>
        <w:spacing w:after="0" w:line="187"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Long-lived assets, such as property and equipment, right-of-use assets, and finite-lived intangible assets subject to amortization are reviewed for impairment whenever events or changes in circumstances indicate that the carrying amount of such assets may not be recoverable. Recoverability of assets to be held and used is measured by comparing the carrying amount to the estimated undiscounted future cash flows expected to be generated. If the carrying amount exceeds the undiscounted cash flows, an impairment charge is recognized as the amount by which the carrying amount exceeds its fair value. Intangible assets with finite lives are amortized on a straight-line basis over their estimated useful lives. No long-lived assets were determined to be impaired in the years ended December 31, 2023 and 2024.</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4"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The Company determines at contract inception whether an arrangement is a lease based on its ability to control a physically distinct asset and determines the classification of the lease as either operating or finance. The Company’s operating lease right-of-use (“ROU”) assets represent the Company’s right to use an underlying asset for the lease term, and lease liabilities represent the Company’s obligation to make lease payments related to the lease. The Company has elected to account for lease and non-lease components as a single lease component and</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80"/>
          </w:cols>
          <w:pgMar w:left="320" w:top="451" w:right="49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jc w:val="both"/>
        <w:ind w:left="180" w:right="20"/>
        <w:spacing w:after="0" w:line="255" w:lineRule="auto"/>
        <w:rPr>
          <w:sz w:val="20"/>
          <w:szCs w:val="20"/>
          <w:color w:val="auto"/>
        </w:rPr>
      </w:pPr>
      <w:r>
        <w:rPr>
          <w:rFonts w:ascii="Times New Roman" w:cs="Times New Roman" w:eastAsia="Times New Roman" w:hAnsi="Times New Roman"/>
          <w:sz w:val="18"/>
          <w:szCs w:val="18"/>
          <w:color w:val="auto"/>
        </w:rPr>
        <w:t>also elected not to recognize operating lease ROU assets and operating lease liabilities for leases with an initial term of twelve months or less. The Company does not have any finance leases. Operating lease ROU assets and liabilities are recognized at the commencement date based on the present value of future minimum lease payments over the lease term. Operating lease ROU assets also include any initial direct costs and prepayments less lease incentives. As the Company’s leases do not provide an implicit rate, the Company uses its collateralized incremental borrowing rate based on the information available at the lease commencement date, including lease term, in determining the present value of lease payments.</w:t>
      </w:r>
    </w:p>
    <w:p>
      <w:pPr>
        <w:spacing w:after="0" w:line="183"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Lease terms may include options to extend or terminate the lease when the Company is reasonably certain that it will exercise the option. Lease expense is recognized on a straight-line basis over the lease term in the consolidated statement of operations and comprehensive loss. Certain lease agreements may contain variable costs such as utilities and common area maintenance. Variable lease costs are expensed when the cost is incurred.</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The Company records shares of redeemable convertible preferred stock at their respective fair values on the dates of issuance, net of issuance costs. The redeemable convertible preferred stock is recorded outside of permanent equity because while it is not mandatorily redeemable, redemption is contingent upon the occurrence of certain events that are not solely within the Company’s control. The Company has not adjusted the carrying values of the redeemable convertible preferred stock to the liquidation preferences of such shares because it is uncertain whether or when a deemed liquidation event would occur that would obligate the Company to pay the liquidation preferences to holders of shares of redeemable convertible preferred stock. Subsequent adjustments of the carrying values to the liquidation preferences will be made only when it becomes probable that such a deemed liquidation event will occur.</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 and Common Stock Warrants</w:t>
      </w:r>
    </w:p>
    <w:p>
      <w:pPr>
        <w:spacing w:after="0" w:line="224" w:lineRule="exact"/>
        <w:rPr>
          <w:sz w:val="20"/>
          <w:szCs w:val="20"/>
          <w:color w:val="auto"/>
        </w:rPr>
      </w:pPr>
    </w:p>
    <w:p>
      <w:pPr>
        <w:jc w:val="both"/>
        <w:ind w:left="180" w:firstLine="436"/>
        <w:spacing w:after="0" w:line="268" w:lineRule="auto"/>
        <w:rPr>
          <w:sz w:val="20"/>
          <w:szCs w:val="20"/>
          <w:color w:val="auto"/>
        </w:rPr>
      </w:pPr>
      <w:r>
        <w:rPr>
          <w:rFonts w:ascii="Times New Roman" w:cs="Times New Roman" w:eastAsia="Times New Roman" w:hAnsi="Times New Roman"/>
          <w:sz w:val="17"/>
          <w:szCs w:val="17"/>
          <w:color w:val="auto"/>
        </w:rPr>
        <w:t xml:space="preserve">The Company accounts for warrants as either equity-classified or liability-classified instruments based on an assessment of the warrant’s specific terms and applicable authoritative guidance in Accounting Standards Codification (“ASC”) 480, </w:t>
      </w:r>
      <w:r>
        <w:rPr>
          <w:rFonts w:ascii="Times New Roman" w:cs="Times New Roman" w:eastAsia="Times New Roman" w:hAnsi="Times New Roman"/>
          <w:sz w:val="17"/>
          <w:szCs w:val="17"/>
          <w:i w:val="1"/>
          <w:iCs w:val="1"/>
          <w:color w:val="auto"/>
        </w:rPr>
        <w:t>Distinguishing Liabilities from Equity</w:t>
      </w:r>
      <w:r>
        <w:rPr>
          <w:rFonts w:ascii="Times New Roman" w:cs="Times New Roman" w:eastAsia="Times New Roman" w:hAnsi="Times New Roman"/>
          <w:sz w:val="17"/>
          <w:szCs w:val="17"/>
          <w:color w:val="auto"/>
        </w:rPr>
        <w:t xml:space="preserve">, and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The Company has issued redeemable convertible preferred stock and common stock warrants which are classified as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liability on the consolidated balance sheets because the redeemable convertible preferred stock warrants are freestanding financial instruments that may require the Company to transfer assets upon exercise, and the common stock warrants contain a term that may require adjustment to the exercise price. The liability associated with each of these warrants was initially recorded at fair value upon the issuance date of each warrant and is subsequently remeasured to fair value at each reporting date. Changes in the fair value of the warrant liabilities are recognized in the consolidated statements of operations and comprehensive loss. The warrant fair values will continue to be adjusted until the earlier of the expiration or exercise of the warrants.</w:t>
      </w:r>
    </w:p>
    <w:p>
      <w:pPr>
        <w:spacing w:after="0" w:line="177"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Company uses the Black-Scholes option-pricing model, which incorporates assumptions and estimates, to value the redeemable convertible preferred stock and common stock warrants. Stock volatility is estimated based on the historical volatility of publicly traded peer companies for a term equal to the remaining contractual term of the warrants. The risk-free interest rate is determined by reference to the U.S. Treasury yield curve for time periods approximately equal to the remaining contractual term of the warrants. The dividend yield is estimated at 0% based on the expected dividend yield as the Company does not anticipate paying any cash dividends in the foreseeable future.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080"/>
          </w:cols>
          <w:pgMar w:left="320" w:top="451" w:right="49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24"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7"/>
          <w:szCs w:val="17"/>
          <w:color w:val="auto"/>
        </w:rPr>
        <w:t>Deferred offering costs, consisting of legal, accounting, and other fees and costs relating to the Company’s planned initial public offering (“IPO”) are capitalized within other long-term assets on the consolidated balance sheets. The deferred offering costs will be offset against the proceeds received by the Company upon the closing of the planned IPO. In the event the planned IPO is terminated, all of the deferred offering costs will be expensed within operating loss. The Company deferred $0.1 million and $4.8 million of planned IPO costs as of December 31, 2023 and 2024, respectively.</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4"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penalties, and other sources are recorded when it is probable that a liability has been incurred and the amount of loss can be reasonably estimated. The Company does not accrue for contingent losses that, in its judgment, are considered to be reasonably possible. However, if the Company determines that a contingent loss is reasonably possible and the loss or range of loss can be estimated, the Company discloses the possible loss in the consolidated financial statements. Legal costs incurred in connection with loss contingencies are expensed as incurred.</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Company recognizes revenue upon transfer of control of promised goods and services in an amount that reflects the consideration it expects to be entitled to receive in exchange for those goods and services. Under ASC 606, Revenue from Contracts with Customers (“ASC 606”), the Company applies the following five-step approach: (1) identify the contract with a customer, (2) identify the performance obligations in the contract, (3) determine the transaction price, (4) allocate the transaction price to the performance obligations in the contract, and (5) recognize revenue when, or as, a performance obligation is satisfied.</w:t>
      </w:r>
    </w:p>
    <w:p>
      <w:pPr>
        <w:spacing w:after="0" w:line="183"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The Company generates revenue primarily by providing access to virtual care programs to customers’ members, which is referred to as services revenue. The services revenue is recognized over the period the Company is obligated to perform services for that member. The Company’s customers are business entities, such as health plans and self-insured employers, that have contracted with the Company to offer the virtual care programs to their covered lives. Covered lives, such as employees or their covered dependents, that are enrolled in a program are referred to as members. In the virtual care programs, Care Teams implement clinically validated behavior change protocols over the term of the program for individuals living with chronic conditions, such as cardiometabolic conditions, or living with MSK conditions. Cardiometabolic virtual care programs are also supported by one or more connected third-party devices, which are provided to the members upon enrollment in the programs. The Company accounts for each member enrollment as a separate contract under ASC 606. The Company’s agreements typically provide a termination for convenience by either party, with a notice period generally ranging from 30 to 180 days. The Company typically bills for its services monthly, in arrears, and the transaction price is net of sales tax collected.</w:t>
      </w:r>
    </w:p>
    <w:p>
      <w:pPr>
        <w:spacing w:after="0" w:line="186"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The Company sells to its customers through its direct sales force and through its channel partners. Channel partners include PBMs and health plans that have commercial relationships with the Company’s customers. Pursuant to the Company’s agreements with channel partners, some channel partners receive an administrative or marketing fee for their services, and the Company engages directly with its customers with respect to the provision of its services. The Company’s customer acquisition teams work directly with customers on onboarding and enrollment processes for new members. While health plans are customers for their fully insured populations, they also serve as distribution channels to self-insured entities that contract with the Company through its relationship with the health plan.</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80"/>
          </w:cols>
          <w:pgMar w:left="320" w:top="451" w:right="49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jc w:val="both"/>
        <w:ind w:left="180" w:right="20" w:firstLine="436"/>
        <w:spacing w:after="0" w:line="252" w:lineRule="auto"/>
        <w:rPr>
          <w:sz w:val="20"/>
          <w:szCs w:val="20"/>
          <w:color w:val="auto"/>
        </w:rPr>
      </w:pPr>
      <w:r>
        <w:rPr>
          <w:rFonts w:ascii="Times New Roman" w:cs="Times New Roman" w:eastAsia="Times New Roman" w:hAnsi="Times New Roman"/>
          <w:sz w:val="18"/>
          <w:szCs w:val="18"/>
          <w:color w:val="auto"/>
        </w:rPr>
        <w:t>For cardiometabolic programs, the transaction price includes monthly fees which are either activity-, outcome-, or milestone-based fees, as applicable, for the respective member service period and may include an upfront member enrollment fee. Variable consideration related to the activity-, outcome-, or milestone-based fees is estimated at contract inception for the non-cancelable term (ranging from 30 to 180 days) to the extent a significant reversal in revenue will not occur. The Company uses the expected value method, primarily relying on its history, to estimate variable consideration, including service-level agreements and performance guarantees based on clinical outcomes. Changes to estimated variable consideration were not material for the periods presented given the relatively short non-cancelable term. Reassessments of variable consideration may occur as historical information changes.</w:t>
      </w:r>
    </w:p>
    <w:p>
      <w:pPr>
        <w:spacing w:after="0" w:line="189"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The estimated transaction price allocated to services is recognized over time during the non-cancelable term as a stand-ready obligation. Contracts that include upfront enrollment fees generally contain a material right related to the discounted renewal option. The allocated value for that right is recognized upon exercise over the estimated benefit period, typically 12 months.</w:t>
      </w:r>
    </w:p>
    <w:p>
      <w:pPr>
        <w:spacing w:after="0" w:line="177"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Monthly service fees earned after the non-cancelable contract term are recognized over the period for which the Company is obligated to perform services for that member.</w:t>
      </w:r>
    </w:p>
    <w:p>
      <w:pPr>
        <w:spacing w:after="0" w:line="163"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The Company recognizes the sale of third-party connected devices associated with its services as a separate performance obligation when control transfers, which is generally upon shipment to the member. Associated shipping and handling fees are included in cost of revenue and are recognized as activities to fulfill the promise to transfer the good.</w:t>
      </w:r>
    </w:p>
    <w:p>
      <w:pPr>
        <w:spacing w:after="0" w:line="177"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Some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(“SSP”) basis.</w:t>
      </w:r>
    </w:p>
    <w:p>
      <w:pPr>
        <w:spacing w:after="0" w:line="177"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The Company determines SSP based on observable, if available, prices for those related services when sold separately. When such observable prices are not available, the Company determines SSP based on information such as pricing objectives and strategies, taking into consideration market conditions and other factors, including customer size, volume purchased, market and industry conditions, product-specific factors, and historical sales of the deliverables.</w:t>
      </w:r>
    </w:p>
    <w:p>
      <w:pPr>
        <w:spacing w:after="0" w:line="18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Company applies the practical expedient to not disclose the value of unsatisfied performance obligations for contracts with an original expected length of one year or less.</w:t>
      </w:r>
    </w:p>
    <w:p>
      <w:pPr>
        <w:spacing w:after="0" w:line="16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of December 31, 2023 and 2024, the Company’s future performance obligations beyond one year were not material.</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Contract assets include amounts related to the Company’s enforceable right to consideration for completed performance obligations that cannot be invoiced yet under the terms of the contract. Contract assets relate primarily to hardware revenue that is recognized upon shipment and has not yet been invoiced. The contract assets are transferred to accounts receivable, net when the rights become unconditional. As of December 31, 2023 and 2024, the Company had $0.1 million and $0.5 million short-term contract assets, respectively, included in prepaid expenses and other current assets on the consolidated balance sheets.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080"/>
          </w:cols>
          <w:pgMar w:left="320" w:top="451" w:right="49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Deferred Commissions</w:t>
      </w:r>
    </w:p>
    <w:p>
      <w:pPr>
        <w:spacing w:after="0" w:line="224"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Sales commissions are generally considered incremental and recoverable costs of obtaining a contract with a customer or channel partner. Capitalized commissions are amortized based on the transfer of goods or services to which they relate, typically over five years. The Company determined the period of benefit by taking into consideration the terms of contracts with customers and channel partners, contract renewal rates, its technology, and other factors. Amortization of deferred commissions is recorded as sales and marketing expense in the consolidated statements of operations and comprehensive loss.</w:t>
      </w:r>
    </w:p>
    <w:p>
      <w:pPr>
        <w:spacing w:after="0" w:line="183"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Deferred commissions as of December 31, 2023 and 2024 were $8.6 million and $12.2 million, respectively, consisting of costs to obtain contracts net of accumulated amortization. The Company recorded amortization expense for deferred commissions of $1.8 million and $2.6 million during the years ended December 31, 2023 and 2024, respectively.</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Deferred revenue consists primarily of payments received and accounts receivable recorded in advance of the delivery or completion of the services. Deferred revenue associated with upfront payments for enrollment is generally recognized over the estimated benefit period to the member of twelve months. As of December 31, 2023 and 2024, deferred revenue was classified as a current liability based on the anticipated recognition period of twelve months or less.</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 summary of the activity impacting deferred revenue balances is presented below (in thousands):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080" w:type="dxa"/>
            <w:vAlign w:val="bottom"/>
            <w:tcBorders>
              <w:top w:val="single" w:sz="8" w:color="auto"/>
            </w:tcBorders>
            <w:gridSpan w:val="2"/>
          </w:tcPr>
          <w:p>
            <w:pPr>
              <w:jc w:val="right"/>
              <w:ind w:right="440"/>
              <w:spacing w:after="0" w:line="141" w:lineRule="exact"/>
              <w:rPr>
                <w:sz w:val="20"/>
                <w:szCs w:val="20"/>
                <w:color w:val="auto"/>
              </w:rPr>
            </w:pPr>
            <w:r>
              <w:rPr>
                <w:rFonts w:ascii="Times New Roman" w:cs="Times New Roman" w:eastAsia="Times New Roman" w:hAnsi="Times New Roman"/>
                <w:sz w:val="14"/>
                <w:szCs w:val="14"/>
                <w:b w:val="1"/>
                <w:bCs w:val="1"/>
                <w:color w:val="auto"/>
                <w:w w:val="98"/>
              </w:rPr>
              <w:t xml:space="preserve">   2023    </w:t>
            </w:r>
          </w:p>
        </w:tc>
        <w:tc>
          <w:tcPr>
            <w:tcW w:w="480" w:type="dxa"/>
            <w:vAlign w:val="bottom"/>
            <w:tcBorders>
              <w:top w:val="single" w:sz="8" w:color="auto"/>
            </w:tcBorders>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60" w:type="dxa"/>
            <w:vAlign w:val="bottom"/>
            <w:tcBorders>
              <w:top w:val="single" w:sz="8" w:color="auto"/>
            </w:tcBorders>
          </w:tcPr>
          <w:p>
            <w:pPr>
              <w:jc w:val="right"/>
              <w:ind w:right="34"/>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13,443</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Additional amounts deferred</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124,226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from the beginning balance</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(13,443)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from contracts invoiced during the period</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(109,341)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(154,915)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Cost of revenue consists of expenses that are directly related to or closely correlated to the delivery of our virtual care programs and member support. Cost of services revenue include salaries, share-based compensation expense, employee bonus and benefits, data server management expense, hosting costs, connectivity fees for cellular devices, and the amortization of capitalized internal-use software and developed technology. Costs of hardware include salaries, share-based compensation expense, employee bonuses and benefits, equipment costs, shipping and logistics costs, and provisions for excess and obsolete inventory.</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Research and development costs consist of costs incurred in performing research and development activities and include salaries, share-based compensation expense, employee bonus and benefits, hosting costs, and allocation of shared general corporate expenses primarily related to technology. Research and development costs are expensed as incurred.</w:t>
      </w:r>
    </w:p>
    <w:p>
      <w:pPr>
        <w:spacing w:after="0" w:line="1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80"/>
          </w:cols>
          <w:pgMar w:left="320" w:top="451" w:right="49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Sales and marketing expenses consist of personnel costs including salaries, share-based compensation expense, employee bonuses and benefits, commissions for the Company’s sales and marketing teams, reseller fees, promotional marketing materials, and advertising costs. Sales and marketing expenses also include costs for third-party consulting services and the allocation of shared general corporate expenses primarily related to technology. Advertising costs are expensed as incurred and are included in sales and marketing expense in the accompanying consolidated statements of operations and comprehensive loss. Advertising costs during the years ended December 31, 2023 and 2024 were $0.8 million and $0.5 million, respectively.</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General and administrative expenses consist of personnel costs including salaries, share-based compensation expense, employee bonuses and benefits related to the Company’s finance, legal, compliance, human resources, and administrative teams, software and infrastructure costs, professional fees, and the allocation of shared general corporate expenses primarily related to technology.</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4" w:lineRule="exact"/>
        <w:rPr>
          <w:sz w:val="20"/>
          <w:szCs w:val="20"/>
          <w:color w:val="auto"/>
        </w:rPr>
      </w:pPr>
    </w:p>
    <w:p>
      <w:pPr>
        <w:jc w:val="both"/>
        <w:ind w:left="180" w:right="20" w:firstLine="436"/>
        <w:spacing w:after="0" w:line="252" w:lineRule="auto"/>
        <w:rPr>
          <w:sz w:val="20"/>
          <w:szCs w:val="20"/>
          <w:color w:val="auto"/>
        </w:rPr>
      </w:pPr>
      <w:r>
        <w:rPr>
          <w:rFonts w:ascii="Times New Roman" w:cs="Times New Roman" w:eastAsia="Times New Roman" w:hAnsi="Times New Roman"/>
          <w:sz w:val="18"/>
          <w:szCs w:val="18"/>
          <w:color w:val="auto"/>
        </w:rPr>
        <w:t>The Company measures compensation expense for all share-based awards based on the estimated fair value of the award on the grant date. The Company’s equity incentive plan provides for the granting of stock options, restricted stock units, and restricted stock awards to employees, consultants, officers, and directors. Share-based compensation expense is recognized on a straight-line basis over the period during which an employee is required to provide services in exchange for the award (generally the vesting period of the award). The Company determines the fair value of stock options issued to employees on the date of grant using the Black-Scholes option pricing model which is impacted by the estimated fair value of the Company’s common stock, as well as changes in assumptions regarding a number of highly complex and subjective variables. These variables are summarized as follows:</w:t>
      </w:r>
    </w:p>
    <w:p>
      <w:pPr>
        <w:spacing w:after="0" w:line="187"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 Due to the absence of an active market for the Company’s common stock, the fair value of the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underlying the Company’s share-based awards is determined by the Company’s board of directors, with input from management and the assistance of a third-party valuation firm. Because there is no public market for the Company’s stock, the independent third-party valuations have generally been performed annually in accordance with the guidance outlined in the AICPA Practice Aid, Valuation of Privately-Held Company Equity Securities Issued as compensation (“AICPA’s Practice Aid”). In conducting the valuations, the independent third-party valuation specialist considered all objective and subjective factors that it believed to be relevant for each valuation conducted in accordance with AICPA’s Practice Aid, including the price paid by investors for the Company’s common and redeemable convertible preferred stock, actual and forecasted operating and financial performance, market conditions, performance of comparable publicly-traded companies and transactions of comparable companies, developments and milestones within the Company, the rights, preferences, and privileges of the Company’s common and redeemable convertible preferred stock, and the likelihood and timing of achieving a liquidity event.</w:t>
      </w:r>
    </w:p>
    <w:p>
      <w:pPr>
        <w:spacing w:after="0" w:line="188"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In determining the fair value of the Company’s common stock, the fair value of the Company’s business was determined using various valuation methods, including combinations of the income approach (discounted cash flow method) and the market approach (public company market-multiple method) with input from the Company. The income approach involves applying an appropriate risk-adjusted discount rate to projected cash flows based on forecasted revenue and costs. The market approach estimates value based on a comparison of the Company to comparable public companies in a similar line of business. From the comparable companies, a representative market-value multiple was determined, which was applied to the Company’s operating results to estimate the enterprise value of the Company.</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080"/>
          </w:cols>
          <w:pgMar w:left="320" w:top="451" w:right="49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Once the enterprise value was determined under the market approach, the Company derived the equity value of the Company and used the option-pricing model to allocate that value across the various classes of securities to arrive at the fair value of the common stock.</w:t>
      </w:r>
    </w:p>
    <w:p>
      <w:pPr>
        <w:spacing w:after="0" w:line="161" w:lineRule="exact"/>
        <w:rPr>
          <w:sz w:val="20"/>
          <w:szCs w:val="20"/>
          <w:color w:val="auto"/>
        </w:rPr>
      </w:pPr>
    </w:p>
    <w:p>
      <w:pPr>
        <w:jc w:val="both"/>
        <w:ind w:left="180" w:right="20" w:firstLine="436"/>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Expected volatility is a measure of the amount by which the stock price is expected to fluctuate. Since the Company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sufficient trading history of its common stock, it estimates the expected volatility of its stock options at their grant date by taking the weighted-average historical volatility of a group of comparable publicly traded companies over a period equal to the expected life of the options.</w:t>
      </w:r>
    </w:p>
    <w:p>
      <w:pPr>
        <w:spacing w:after="0" w:line="17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Expected term represents the period over which the Company anticipates share-based awards to be outstanding. For awards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standard 90-day exercise period, the Company uses the simplified method to calculate the expected term estimate based on the options’ vesting term and contractual terms. Under the simplified method, the expected life is equal to the average of the share-based award’s weighted-average vesting period and its contractual term. For those awards with an extended post-termination exercise period, the Company calculates the expected term based on the options’ vesting term, tenure of the employee upon grant, and contractual terms.</w:t>
      </w:r>
    </w:p>
    <w:p>
      <w:pPr>
        <w:spacing w:after="0" w:line="183" w:lineRule="exact"/>
        <w:rPr>
          <w:sz w:val="20"/>
          <w:szCs w:val="20"/>
          <w:color w:val="auto"/>
        </w:rPr>
      </w:pPr>
    </w:p>
    <w:p>
      <w:pPr>
        <w:jc w:val="both"/>
        <w:ind w:left="180" w:right="20" w:firstLine="436"/>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used is based on the implied yield in effect at the time of grant of U.S. Treasury securities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maturities similar to the expected term of the stock options.</w:t>
      </w:r>
    </w:p>
    <w:p>
      <w:pPr>
        <w:spacing w:after="0" w:line="160" w:lineRule="exact"/>
        <w:rPr>
          <w:sz w:val="20"/>
          <w:szCs w:val="20"/>
          <w:color w:val="auto"/>
        </w:rPr>
      </w:pPr>
    </w:p>
    <w:p>
      <w:pPr>
        <w:jc w:val="both"/>
        <w:ind w:left="180" w:right="20" w:firstLine="436"/>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The dividend yield is zero as the Company has not declared or paid any dividends to date and does not currently expect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do so in the future.</w:t>
      </w:r>
    </w:p>
    <w:p>
      <w:pPr>
        <w:spacing w:after="0" w:line="162"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The Company accounts for forfeitures when they occur. For share-based awards that are modified, a modification of the terms of a share-based award is treated as an exchange of the original award for a new award with total compensation cost equal to the grant-date fair value of the original award plus any incremental value of the modification to the award.</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4"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7"/>
          <w:szCs w:val="17"/>
          <w:color w:val="auto"/>
        </w:rPr>
        <w:t>Comprehensive loss is defined as the change in equity of a business during a period from transactions and other events and circumstances from non-owner sources. Comprehensive loss includes net loss as well as other changes in stockholders’ deficit which includes certain changes in equity that are excluded from net loss. To date, the Company has not had any transactions that are required to be reported in comprehensive loss other than the net loss incurred from operations. For the years ended December 31, 2023 and 2024, there was no difference between comprehensive loss and net loss.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Company is subject to income taxes in the U.S. Significant judgment is required in determining the Company’s provision for income taxes and income tax assets and liabilities, including evaluating uncertainties in the application of accounting principles and complex tax laws.</w:t>
      </w:r>
    </w:p>
    <w:p>
      <w:pPr>
        <w:spacing w:after="0" w:line="16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The Company uses the asset and liability method to account for income taxes. Current income tax expense or benefit represents the amount of income taxes expected to be payable or refundable for the current year. Under this method, deferred income tax assets and liabilities are determined based on differences between the financial statement reporting and tax bases of assets and liabilities and net operating loss and credit carryforwards. Deferred tax assets and liabilities are measured using enacted tax rates applied to taxable income in the years in which those temporary differences are expected to be recovered or settled. A valuation allowance is established when necessary to reduce deferred tax assets to the amount expected to be realized.</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080"/>
          </w:cols>
          <w:pgMar w:left="320" w:top="451" w:right="49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ASC 740-10, Accounting for Uncertainty in Income Taxes. The Company recognizes the tax effects of an uncertain tax position only if such position is more likely than not to be sustained based solely on its technical merits as of the reporting date and only in an amount more likely than not to be sustained upon review by the tax authorities.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under its ASC or other standard-setting bodies.</w:t>
      </w:r>
    </w:p>
    <w:p>
      <w:pPr>
        <w:spacing w:after="0" w:line="163" w:lineRule="exact"/>
        <w:rPr>
          <w:sz w:val="20"/>
          <w:szCs w:val="20"/>
          <w:color w:val="auto"/>
        </w:rPr>
      </w:pPr>
    </w:p>
    <w:p>
      <w:pPr>
        <w:jc w:val="both"/>
        <w:ind w:left="180" w:firstLine="436"/>
        <w:spacing w:after="0" w:line="271" w:lineRule="auto"/>
        <w:rPr>
          <w:sz w:val="20"/>
          <w:szCs w:val="20"/>
          <w:color w:val="auto"/>
        </w:rPr>
      </w:pPr>
      <w:r>
        <w:rPr>
          <w:rFonts w:ascii="Times New Roman" w:cs="Times New Roman" w:eastAsia="Times New Roman" w:hAnsi="Times New Roman"/>
          <w:sz w:val="17"/>
          <w:szCs w:val="17"/>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Adopted</w:t>
      </w:r>
    </w:p>
    <w:p>
      <w:pPr>
        <w:spacing w:after="0" w:line="224" w:lineRule="exact"/>
        <w:rPr>
          <w:sz w:val="20"/>
          <w:szCs w:val="20"/>
          <w:color w:val="auto"/>
        </w:rPr>
      </w:pPr>
    </w:p>
    <w:p>
      <w:pPr>
        <w:jc w:val="both"/>
        <w:ind w:left="180" w:firstLine="436"/>
        <w:spacing w:after="0" w:line="266" w:lineRule="auto"/>
        <w:rPr>
          <w:sz w:val="20"/>
          <w:szCs w:val="20"/>
          <w:color w:val="auto"/>
        </w:rPr>
      </w:pPr>
      <w:r>
        <w:rPr>
          <w:rFonts w:ascii="Times New Roman" w:cs="Times New Roman" w:eastAsia="Times New Roman" w:hAnsi="Times New Roman"/>
          <w:sz w:val="17"/>
          <w:szCs w:val="17"/>
          <w:color w:val="auto"/>
        </w:rPr>
        <w:t>In November 2023, the FASB issued ASU 2023-07, Segment Reporting (Topic 280): Improvements to Reportable Segment Disclosures (“ASU 2023-07”), to improve the disclosures about a public entity’s reportable segments and address requests from investors for additional disclosures and more detailed information about a reportable segment’s expenses. These new requirements include: disclosure of significant segment expenses regularly reviewed by the CODM, the title and position of the CODM including an explanation of how the CODM uses the reported measures of segment profit or loss in assessing segment performance and deciding how to allocate resources, the extension of certain annual disclosures to interim periods, and permitting the disclosure of multiple measures of segment profit or loss, provided that certain criteria are met. ASU 2023-07 also clarifies that entities with a single reportable segment are subject to new and existing segment reporting requirements. ASU 2023-07 does not change how a public entity identifies its operating segments, aggregates them, or applies the quantitative thresholds to determine its reportable segments. ASU 2023-07 will be effective for fiscal years beginning after December 15, 2023 and interim periods within fiscal years beginning after December 15, 2024. Early adoption is permitted. The Company has adopted the standard as of January 1, 2024 using retrospective application to all prior periods presented in the consolidated financial statements. The requirements of ASU 2023-07 are disclosure-related and did not have an impact on the Company’s consolidated financial position and results of operations. Refer to Note 14 for the segment disclosure, which was updated as a result of adopting ASU 2023-07.</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requires disaggregated information about a reporting entity’s effective tax rate reconciliation as well as information on income taxes paid. The updates in this ASU may be applied on a prospective or retrospective application basis and are effective for annual periods beginning after December 15, 2025. Early adoption is permitted. The Company is currently evaluating the impact of the new standard on its consolidated financial statements.</w:t>
      </w:r>
    </w:p>
    <w:p>
      <w:pPr>
        <w:spacing w:after="0" w:line="183"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which requires disclosures about specific types of expenses included in the expense captions presented on the face of</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080"/>
          </w:cols>
          <w:pgMar w:left="320" w:top="451" w:right="49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jc w:val="both"/>
        <w:ind w:left="180" w:right="20"/>
        <w:spacing w:after="0" w:line="257" w:lineRule="auto"/>
        <w:rPr>
          <w:sz w:val="20"/>
          <w:szCs w:val="20"/>
          <w:color w:val="auto"/>
        </w:rPr>
      </w:pPr>
      <w:r>
        <w:rPr>
          <w:rFonts w:ascii="Times New Roman" w:cs="Times New Roman" w:eastAsia="Times New Roman" w:hAnsi="Times New Roman"/>
          <w:sz w:val="18"/>
          <w:szCs w:val="18"/>
          <w:color w:val="auto"/>
        </w:rPr>
        <w:t>the income statement as well as disclosures about selling expenses. The new guidance is effective for annual reporting periods beginning after December 15, 2026, and interim reporting periods beginning after December 15, 2027. Early adoption is permitted. The requirements will be applied prospectively with the option for retrospective application. The Company is currently evaluating the impact of the new standard on its consolidated financial statement disclosures.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measured at fair value on a recurring basis based on the fair value hierarchy as follows (in thousands):</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4340" w:type="dxa"/>
            <w:vAlign w:val="bottom"/>
            <w:tcBorders>
              <w:bottom w:val="single" w:sz="8" w:color="CCEEFF"/>
            </w:tcBorders>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5"/>
              <w:spacing w:after="0" w:line="141"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3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2"/>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5"/>
              <w:spacing w:after="0" w:line="141"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5"/>
              <w:spacing w:after="0" w:line="141"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Borders>
              <w:bottom w:val="single" w:sz="8" w:color="CCEEFF"/>
            </w:tcBorders>
          </w:tcPr>
          <w:p>
            <w:pPr>
              <w:spacing w:after="0"/>
              <w:rPr>
                <w:sz w:val="12"/>
                <w:szCs w:val="12"/>
                <w:color w:val="auto"/>
              </w:rPr>
            </w:pPr>
          </w:p>
        </w:tc>
      </w:tr>
      <w:tr>
        <w:trPr>
          <w:trHeight w:val="194"/>
        </w:trPr>
        <w:tc>
          <w:tcPr>
            <w:tcW w:w="20" w:type="dxa"/>
            <w:vAlign w:val="bottom"/>
          </w:tcPr>
          <w:p>
            <w:pPr>
              <w:spacing w:after="0"/>
              <w:rPr>
                <w:sz w:val="16"/>
                <w:szCs w:val="16"/>
                <w:color w:val="auto"/>
              </w:rPr>
            </w:pPr>
          </w:p>
        </w:tc>
        <w:tc>
          <w:tcPr>
            <w:tcW w:w="43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Assets</w:t>
            </w:r>
          </w:p>
        </w:tc>
        <w:tc>
          <w:tcPr>
            <w:tcW w:w="2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43,565</w:t>
            </w:r>
          </w:p>
        </w:tc>
        <w:tc>
          <w:tcPr>
            <w:tcW w:w="60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 xml:space="preserve">$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43,565</w:t>
            </w:r>
          </w:p>
        </w:tc>
        <w:tc>
          <w:tcPr>
            <w:tcW w:w="60" w:type="dxa"/>
            <w:vAlign w:val="bottom"/>
            <w:shd w:val="clear" w:color="auto" w:fill="CCEEFF"/>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43,565</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43,565</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 liabilities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   2,470</w:t>
            </w:r>
          </w:p>
        </w:tc>
        <w:tc>
          <w:tcPr>
            <w:tcW w:w="58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5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0"/>
        </w:trPr>
        <w:tc>
          <w:tcPr>
            <w:tcW w:w="20" w:type="dxa"/>
            <w:vAlign w:val="bottom"/>
          </w:tcPr>
          <w:p>
            <w:pPr>
              <w:spacing w:after="0"/>
              <w:rPr>
                <w:sz w:val="12"/>
                <w:szCs w:val="12"/>
                <w:color w:val="auto"/>
              </w:rPr>
            </w:pPr>
          </w:p>
        </w:tc>
        <w:tc>
          <w:tcPr>
            <w:tcW w:w="4340" w:type="dxa"/>
            <w:vAlign w:val="bottom"/>
            <w:tcBorders>
              <w:bottom w:val="single" w:sz="8" w:color="CCEEFF"/>
            </w:tcBorders>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5"/>
              <w:spacing w:after="0" w:line="141"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3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2"/>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5"/>
              <w:spacing w:after="0" w:line="141"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5"/>
              <w:spacing w:after="0" w:line="141"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Borders>
              <w:bottom w:val="single" w:sz="8" w:color="CCEEFF"/>
            </w:tcBorders>
          </w:tcPr>
          <w:p>
            <w:pPr>
              <w:spacing w:after="0"/>
              <w:rPr>
                <w:sz w:val="12"/>
                <w:szCs w:val="12"/>
                <w:color w:val="auto"/>
              </w:rPr>
            </w:pPr>
          </w:p>
        </w:tc>
      </w:tr>
      <w:tr>
        <w:trPr>
          <w:trHeight w:val="194"/>
        </w:trPr>
        <w:tc>
          <w:tcPr>
            <w:tcW w:w="20" w:type="dxa"/>
            <w:vAlign w:val="bottom"/>
          </w:tcPr>
          <w:p>
            <w:pPr>
              <w:spacing w:after="0"/>
              <w:rPr>
                <w:sz w:val="16"/>
                <w:szCs w:val="16"/>
                <w:color w:val="auto"/>
              </w:rPr>
            </w:pPr>
          </w:p>
        </w:tc>
        <w:tc>
          <w:tcPr>
            <w:tcW w:w="43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Assets</w:t>
            </w:r>
          </w:p>
        </w:tc>
        <w:tc>
          <w:tcPr>
            <w:tcW w:w="2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64,501</w:t>
            </w:r>
          </w:p>
        </w:tc>
        <w:tc>
          <w:tcPr>
            <w:tcW w:w="6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64,501</w:t>
            </w:r>
          </w:p>
        </w:tc>
        <w:tc>
          <w:tcPr>
            <w:tcW w:w="60" w:type="dxa"/>
            <w:vAlign w:val="bottom"/>
            <w:shd w:val="clear" w:color="auto" w:fill="CCEEFF"/>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64,501</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64,501</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 liabilities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58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5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Level 3 liabilities that are measured at fair value on a recurring basis consist of redeemable convertible preferred stock warrant liabilities and common stock warrant liabilities associated with warrants issued in connection with the Company’s financing arrangements (refer to Note 6 and Note 11 for additional information). The fair values of the outstanding warrants are measured using the Black-Scholes option-pricing model. Inputs used to determine estimated fair value include the estimated fair value of the underlying stock at the valuation measurement date, the remaining contractual term of the warrants, risk-free interest rates, expected dividends, and the expected volatility of the underlying stock. The carrying value of long-term debt approximates its fair value based on Level 2 inputs as the principal amounts outstanding are subject to variable interest rates that are based on market rates (see Note 6, “Financing Arrangements”).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080"/>
          </w:cols>
          <w:pgMar w:left="320" w:top="451" w:right="49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presents the quantitative information regarding Level 3 fair value measurements of the warrant liabilities: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4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0"/>
        </w:trPr>
        <w:tc>
          <w:tcPr>
            <w:tcW w:w="41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020" w:type="dxa"/>
            <w:vAlign w:val="bottom"/>
            <w:gridSpan w:val="2"/>
          </w:tcPr>
          <w:p>
            <w:pPr>
              <w:jc w:val="right"/>
              <w:ind w:right="460"/>
              <w:spacing w:after="0" w:line="141" w:lineRule="exact"/>
              <w:rPr>
                <w:sz w:val="20"/>
                <w:szCs w:val="20"/>
                <w:color w:val="auto"/>
              </w:rPr>
            </w:pPr>
            <w:r>
              <w:rPr>
                <w:rFonts w:ascii="Times New Roman" w:cs="Times New Roman" w:eastAsia="Times New Roman" w:hAnsi="Times New Roman"/>
                <w:sz w:val="14"/>
                <w:szCs w:val="14"/>
                <w:b w:val="1"/>
                <w:bCs w:val="1"/>
                <w:color w:val="auto"/>
                <w:w w:val="86"/>
              </w:rPr>
              <w:t>Series B </w:t>
            </w:r>
          </w:p>
        </w:tc>
        <w:tc>
          <w:tcPr>
            <w:tcW w:w="64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w:t>
            </w:r>
          </w:p>
        </w:tc>
        <w:tc>
          <w:tcPr>
            <w:tcW w:w="1320" w:type="dxa"/>
            <w:vAlign w:val="bottom"/>
            <w:gridSpan w:val="2"/>
          </w:tcPr>
          <w:p>
            <w:pPr>
              <w:jc w:val="center"/>
              <w:ind w:right="720"/>
              <w:spacing w:after="0" w:line="141" w:lineRule="exact"/>
              <w:rPr>
                <w:sz w:val="20"/>
                <w:szCs w:val="20"/>
                <w:color w:val="auto"/>
              </w:rPr>
            </w:pPr>
            <w:r>
              <w:rPr>
                <w:rFonts w:ascii="Times New Roman" w:cs="Times New Roman" w:eastAsia="Times New Roman" w:hAnsi="Times New Roman"/>
                <w:sz w:val="14"/>
                <w:szCs w:val="14"/>
                <w:b w:val="1"/>
                <w:bCs w:val="1"/>
                <w:color w:val="auto"/>
                <w:w w:val="81"/>
              </w:rPr>
              <w:t>Series D </w:t>
            </w:r>
          </w:p>
        </w:tc>
        <w:tc>
          <w:tcPr>
            <w:tcW w:w="360" w:type="dxa"/>
            <w:vAlign w:val="bottom"/>
            <w:gridSpan w:val="2"/>
          </w:tcPr>
          <w:p>
            <w:pPr>
              <w:ind w:left="24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40" w:type="dxa"/>
            <w:vAlign w:val="bottom"/>
          </w:tcPr>
          <w:p>
            <w:pPr>
              <w:jc w:val="right"/>
              <w:ind w:right="34"/>
              <w:spacing w:after="0" w:line="141" w:lineRule="exact"/>
              <w:rPr>
                <w:sz w:val="20"/>
                <w:szCs w:val="20"/>
                <w:color w:val="auto"/>
              </w:rPr>
            </w:pPr>
            <w:r>
              <w:rPr>
                <w:rFonts w:ascii="Times New Roman" w:cs="Times New Roman" w:eastAsia="Times New Roman" w:hAnsi="Times New Roman"/>
                <w:sz w:val="14"/>
                <w:szCs w:val="14"/>
                <w:b w:val="1"/>
                <w:bCs w:val="1"/>
                <w:color w:val="auto"/>
                <w:w w:val="86"/>
              </w:rPr>
              <w:t>Common </w:t>
            </w:r>
          </w:p>
        </w:tc>
        <w:tc>
          <w:tcPr>
            <w:tcW w:w="200" w:type="dxa"/>
            <w:vAlign w:val="bottom"/>
          </w:tcPr>
          <w:p>
            <w:pPr>
              <w:spacing w:after="0"/>
              <w:rPr>
                <w:sz w:val="12"/>
                <w:szCs w:val="12"/>
                <w:color w:val="auto"/>
              </w:rPr>
            </w:pPr>
          </w:p>
        </w:tc>
      </w:tr>
      <w:tr>
        <w:trPr>
          <w:trHeight w:val="207"/>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00" w:type="dxa"/>
            <w:vAlign w:val="bottom"/>
            <w:tcBorders>
              <w:top w:val="single" w:sz="8" w:color="CCEEFF"/>
            </w:tcBorders>
            <w:shd w:val="clear" w:color="auto" w:fill="CCEEFF"/>
          </w:tcPr>
          <w:p>
            <w:pPr>
              <w:spacing w:after="0"/>
              <w:rPr>
                <w:sz w:val="18"/>
                <w:szCs w:val="18"/>
                <w:color w:val="auto"/>
              </w:rPr>
            </w:pPr>
          </w:p>
        </w:tc>
      </w:tr>
      <w:tr>
        <w:trPr>
          <w:trHeight w:val="21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44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64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0" w:type="dxa"/>
            <w:vAlign w:val="bottom"/>
          </w:tcPr>
          <w:p>
            <w:pPr>
              <w:spacing w:after="0"/>
              <w:rPr>
                <w:sz w:val="18"/>
                <w:szCs w:val="18"/>
                <w:color w:val="auto"/>
              </w:rPr>
            </w:pPr>
          </w:p>
        </w:tc>
      </w:tr>
      <w:tr>
        <w:trPr>
          <w:trHeight w:val="21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spacing w:after="0"/>
              <w:rPr>
                <w:sz w:val="18"/>
                <w:szCs w:val="18"/>
                <w:color w:val="auto"/>
              </w:rPr>
            </w:pPr>
          </w:p>
        </w:tc>
      </w:tr>
      <w:tr>
        <w:trPr>
          <w:trHeight w:val="21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3.93%</w:t>
            </w:r>
          </w:p>
        </w:tc>
      </w:tr>
      <w:tr>
        <w:trPr>
          <w:trHeight w:val="21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r>
      <w:tr>
        <w:trPr>
          <w:trHeight w:val="23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368"/>
        </w:trPr>
        <w:tc>
          <w:tcPr>
            <w:tcW w:w="41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40"/>
        </w:trPr>
        <w:tc>
          <w:tcPr>
            <w:tcW w:w="41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020" w:type="dxa"/>
            <w:vAlign w:val="bottom"/>
            <w:gridSpan w:val="2"/>
          </w:tcPr>
          <w:p>
            <w:pPr>
              <w:jc w:val="right"/>
              <w:ind w:right="460"/>
              <w:spacing w:after="0" w:line="141" w:lineRule="exact"/>
              <w:rPr>
                <w:sz w:val="20"/>
                <w:szCs w:val="20"/>
                <w:color w:val="auto"/>
              </w:rPr>
            </w:pPr>
            <w:r>
              <w:rPr>
                <w:rFonts w:ascii="Times New Roman" w:cs="Times New Roman" w:eastAsia="Times New Roman" w:hAnsi="Times New Roman"/>
                <w:sz w:val="14"/>
                <w:szCs w:val="14"/>
                <w:b w:val="1"/>
                <w:bCs w:val="1"/>
                <w:color w:val="auto"/>
                <w:w w:val="86"/>
              </w:rPr>
              <w:t>Series B </w:t>
            </w:r>
          </w:p>
        </w:tc>
        <w:tc>
          <w:tcPr>
            <w:tcW w:w="64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w:t>
            </w:r>
          </w:p>
        </w:tc>
        <w:tc>
          <w:tcPr>
            <w:tcW w:w="1320" w:type="dxa"/>
            <w:vAlign w:val="bottom"/>
            <w:gridSpan w:val="2"/>
          </w:tcPr>
          <w:p>
            <w:pPr>
              <w:jc w:val="center"/>
              <w:ind w:right="720"/>
              <w:spacing w:after="0" w:line="141" w:lineRule="exact"/>
              <w:rPr>
                <w:sz w:val="20"/>
                <w:szCs w:val="20"/>
                <w:color w:val="auto"/>
              </w:rPr>
            </w:pPr>
            <w:r>
              <w:rPr>
                <w:rFonts w:ascii="Times New Roman" w:cs="Times New Roman" w:eastAsia="Times New Roman" w:hAnsi="Times New Roman"/>
                <w:sz w:val="14"/>
                <w:szCs w:val="14"/>
                <w:b w:val="1"/>
                <w:bCs w:val="1"/>
                <w:color w:val="auto"/>
                <w:w w:val="81"/>
              </w:rPr>
              <w:t>Series D </w:t>
            </w:r>
          </w:p>
        </w:tc>
        <w:tc>
          <w:tcPr>
            <w:tcW w:w="360" w:type="dxa"/>
            <w:vAlign w:val="bottom"/>
            <w:gridSpan w:val="2"/>
          </w:tcPr>
          <w:p>
            <w:pPr>
              <w:ind w:left="24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40" w:type="dxa"/>
            <w:vAlign w:val="bottom"/>
          </w:tcPr>
          <w:p>
            <w:pPr>
              <w:jc w:val="right"/>
              <w:ind w:right="34"/>
              <w:spacing w:after="0" w:line="141" w:lineRule="exact"/>
              <w:rPr>
                <w:sz w:val="20"/>
                <w:szCs w:val="20"/>
                <w:color w:val="auto"/>
              </w:rPr>
            </w:pPr>
            <w:r>
              <w:rPr>
                <w:rFonts w:ascii="Times New Roman" w:cs="Times New Roman" w:eastAsia="Times New Roman" w:hAnsi="Times New Roman"/>
                <w:sz w:val="14"/>
                <w:szCs w:val="14"/>
                <w:b w:val="1"/>
                <w:bCs w:val="1"/>
                <w:color w:val="auto"/>
                <w:w w:val="86"/>
              </w:rPr>
              <w:t>Common </w:t>
            </w:r>
          </w:p>
        </w:tc>
        <w:tc>
          <w:tcPr>
            <w:tcW w:w="200" w:type="dxa"/>
            <w:vAlign w:val="bottom"/>
          </w:tcPr>
          <w:p>
            <w:pPr>
              <w:spacing w:after="0"/>
              <w:rPr>
                <w:sz w:val="12"/>
                <w:szCs w:val="12"/>
                <w:color w:val="auto"/>
              </w:rPr>
            </w:pPr>
          </w:p>
        </w:tc>
      </w:tr>
      <w:tr>
        <w:trPr>
          <w:trHeight w:val="207"/>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44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64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0" w:type="dxa"/>
            <w:vAlign w:val="bottom"/>
          </w:tcPr>
          <w:p>
            <w:pPr>
              <w:spacing w:after="0"/>
              <w:rPr>
                <w:sz w:val="18"/>
                <w:szCs w:val="18"/>
                <w:color w:val="auto"/>
              </w:rPr>
            </w:pPr>
          </w:p>
        </w:tc>
      </w:tr>
      <w:tr>
        <w:trPr>
          <w:trHeight w:val="21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8"/>
                <w:szCs w:val="18"/>
                <w:color w:val="auto"/>
              </w:rPr>
            </w:pPr>
          </w:p>
        </w:tc>
      </w:tr>
      <w:tr>
        <w:trPr>
          <w:trHeight w:val="21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4.38%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4.27%</w:t>
            </w:r>
          </w:p>
        </w:tc>
      </w:tr>
      <w:tr>
        <w:trPr>
          <w:trHeight w:val="21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r>
      <w:tr>
        <w:trPr>
          <w:trHeight w:val="23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a summary of changes in fair value of Level 3 liabilities (in thousands):</w:t>
      </w:r>
    </w:p>
    <w:p>
      <w:pPr>
        <w:sectPr>
          <w:pgSz w:w="11900" w:h="16838" w:orient="portrait"/>
          <w:cols w:equalWidth="0" w:num="1">
            <w:col w:w="11080"/>
          </w:cols>
          <w:pgMar w:left="320" w:top="451" w:right="499" w:bottom="1440" w:gutter="0" w:footer="0" w:header="0"/>
        </w:sectPr>
      </w:pP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Balance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-111760</wp:posOffset>
            </wp:positionV>
            <wp:extent cx="6921500" cy="135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921500" cy="135890"/>
                    </a:xfrm>
                    <a:prstGeom prst="rect">
                      <a:avLst/>
                    </a:prstGeom>
                    <a:noFill/>
                  </pic:spPr>
                </pic:pic>
              </a:graphicData>
            </a:graphic>
          </wp:anchor>
        </w:drawing>
      </w: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Remeasurement of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3810</wp:posOffset>
            </wp:positionV>
            <wp:extent cx="6921500" cy="135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921500" cy="13589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Warrant exercise</w:t>
      </w:r>
    </w:p>
    <w:p>
      <w:pPr>
        <w:spacing w:after="0" w:line="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Balance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23495</wp:posOffset>
            </wp:positionV>
            <wp:extent cx="6921500" cy="135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921500" cy="135890"/>
                    </a:xfrm>
                    <a:prstGeom prst="rect">
                      <a:avLst/>
                    </a:prstGeom>
                    <a:noFill/>
                  </pic:spPr>
                </pic:pic>
              </a:graphicData>
            </a:graphic>
          </wp:anchor>
        </w:drawing>
      </w: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Remeasurement of warrant</w:t>
      </w:r>
    </w:p>
    <w:p>
      <w:pPr>
        <w:spacing w:after="0" w:line="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Balance as of December 31, 2024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261" w:hanging="261"/>
        <w:spacing w:after="0"/>
        <w:tabs>
          <w:tab w:leader="none" w:pos="26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1,679</w:t>
      </w:r>
    </w:p>
    <w:p>
      <w:pPr>
        <w:spacing w:after="0" w:line="25" w:lineRule="exact"/>
        <w:rPr>
          <w:rFonts w:ascii="Times New Roman" w:cs="Times New Roman" w:eastAsia="Times New Roman" w:hAnsi="Times New Roman"/>
          <w:sz w:val="18"/>
          <w:szCs w:val="18"/>
          <w:color w:val="auto"/>
        </w:rPr>
      </w:pPr>
    </w:p>
    <w:p>
      <w:pPr>
        <w:ind w:left="26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1,048</w:t>
      </w:r>
    </w:p>
    <w:p>
      <w:pPr>
        <w:spacing w:after="0" w:line="6" w:lineRule="exact"/>
        <w:rPr>
          <w:rFonts w:ascii="Times New Roman" w:cs="Times New Roman" w:eastAsia="Times New Roman" w:hAnsi="Times New Roman"/>
          <w:sz w:val="18"/>
          <w:szCs w:val="18"/>
          <w:color w:val="auto"/>
        </w:rPr>
      </w:pPr>
    </w:p>
    <w:p>
      <w:pPr>
        <w:ind w:left="3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(257)</w:t>
      </w:r>
    </w:p>
    <w:p>
      <w:pPr>
        <w:spacing w:after="0" w:line="26" w:lineRule="exact"/>
        <w:rPr>
          <w:rFonts w:ascii="Times New Roman" w:cs="Times New Roman" w:eastAsia="Times New Roman" w:hAnsi="Times New Roman"/>
          <w:sz w:val="18"/>
          <w:szCs w:val="18"/>
          <w:color w:val="auto"/>
        </w:rPr>
      </w:pPr>
    </w:p>
    <w:p>
      <w:pPr>
        <w:ind w:left="26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2,470</w:t>
      </w:r>
    </w:p>
    <w:p>
      <w:pPr>
        <w:spacing w:after="0" w:line="25" w:lineRule="exact"/>
        <w:rPr>
          <w:rFonts w:ascii="Times New Roman" w:cs="Times New Roman" w:eastAsia="Times New Roman" w:hAnsi="Times New Roman"/>
          <w:sz w:val="18"/>
          <w:szCs w:val="18"/>
          <w:color w:val="auto"/>
        </w:rPr>
      </w:pPr>
    </w:p>
    <w:p>
      <w:pPr>
        <w:ind w:left="3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-276225</wp:posOffset>
            </wp:positionV>
            <wp:extent cx="4241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241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11430</wp:posOffset>
            </wp:positionV>
            <wp:extent cx="4241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24180" cy="8255"/>
                    </a:xfrm>
                    <a:prstGeom prst="rect">
                      <a:avLst/>
                    </a:prstGeom>
                    <a:noFill/>
                  </pic:spPr>
                </pic:pic>
              </a:graphicData>
            </a:graphic>
          </wp:anchor>
        </w:drawing>
      </w:r>
    </w:p>
    <w:p>
      <w:pPr>
        <w:spacing w:after="0" w:line="6" w:lineRule="exact"/>
        <w:rPr>
          <w:sz w:val="20"/>
          <w:szCs w:val="20"/>
          <w:color w:val="auto"/>
        </w:rPr>
      </w:pPr>
    </w:p>
    <w:p>
      <w:pPr>
        <w:ind w:left="481"/>
        <w:spacing w:after="0"/>
        <w:rPr>
          <w:sz w:val="20"/>
          <w:szCs w:val="20"/>
          <w:color w:val="auto"/>
        </w:rPr>
      </w:pPr>
      <w:r>
        <w:rPr>
          <w:rFonts w:ascii="Times New Roman" w:cs="Times New Roman" w:eastAsia="Times New Roman" w:hAnsi="Times New Roman"/>
          <w:sz w:val="18"/>
          <w:szCs w:val="18"/>
          <w:color w:val="auto"/>
        </w:rPr>
        <w:t> </w:t>
      </w:r>
    </w:p>
    <w:p>
      <w:pPr>
        <w:spacing w:after="0" w:line="26" w:lineRule="exact"/>
        <w:rPr>
          <w:sz w:val="20"/>
          <w:szCs w:val="20"/>
          <w:color w:val="auto"/>
        </w:rPr>
      </w:pPr>
    </w:p>
    <w:p>
      <w:pPr>
        <w:ind w:left="261" w:hanging="261"/>
        <w:spacing w:after="0"/>
        <w:tabs>
          <w:tab w:leader="none" w:pos="261" w:val="left"/>
        </w:tabs>
        <w:numPr>
          <w:ilvl w:val="0"/>
          <w:numId w:val="14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2,252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4241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241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79" w:space="720"/>
            <w:col w:w="781"/>
          </w:cols>
          <w:pgMar w:left="320" w:top="451" w:right="499" w:bottom="1440" w:gutter="0" w:footer="0" w:header="0"/>
          <w:type w:val="continuous"/>
        </w:sectPr>
      </w:pPr>
    </w:p>
    <w:p>
      <w:pPr>
        <w:spacing w:after="0" w:line="55"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The Company recognizes transfers among Level 1, Level 2, and Level 3 classifications as of the actual date of the events or change in circumstances that caused the transfers. During the years ended December 31, 2023 and 2024, the Company had no transfers of financial assets or liabilities between levels of the fair value hierarchy.</w:t>
      </w:r>
    </w:p>
    <w:p>
      <w:pPr>
        <w:spacing w:after="0" w:line="173" w:lineRule="exact"/>
        <w:rPr>
          <w:sz w:val="20"/>
          <w:szCs w:val="20"/>
          <w:color w:val="auto"/>
        </w:rPr>
      </w:pPr>
    </w:p>
    <w:p>
      <w:pPr>
        <w:ind w:left="600" w:right="8360" w:hanging="426"/>
        <w:spacing w:after="0" w:line="497" w:lineRule="auto"/>
        <w:tabs>
          <w:tab w:leader="none" w:pos="342"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b w:val="1"/>
          <w:bCs w:val="1"/>
          <w:i w:val="1"/>
          <w:iCs w:val="1"/>
          <w:color w:val="auto"/>
        </w:rPr>
        <w:t>Goodwill</w:t>
      </w:r>
    </w:p>
    <w:p>
      <w:pPr>
        <w:spacing w:after="0" w:line="2"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As of December 31, 2023 and 2024, goodwill was $13.2 million. No goodwill impairments were recorded during the years ended December 31, 2023 and 2024 or to date.</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080"/>
          </w:cols>
          <w:pgMar w:left="320" w:top="451" w:right="499" w:bottom="1440" w:gutter="0" w:footer="0" w:header="0"/>
          <w:type w:val="continuous"/>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Intangible assets with finite lives consisted of the following as of December 31, 2023 and 2024 (in thousands):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0"/>
        </w:trPr>
        <w:tc>
          <w:tcPr>
            <w:tcW w:w="20" w:type="dxa"/>
            <w:vAlign w:val="bottom"/>
          </w:tcPr>
          <w:p>
            <w:pPr>
              <w:spacing w:after="0"/>
              <w:rPr>
                <w:sz w:val="12"/>
                <w:szCs w:val="12"/>
                <w:color w:val="auto"/>
              </w:rPr>
            </w:pPr>
          </w:p>
        </w:tc>
        <w:tc>
          <w:tcPr>
            <w:tcW w:w="9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12,288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12,288</w:t>
            </w:r>
          </w:p>
        </w:tc>
        <w:tc>
          <w:tcPr>
            <w:tcW w:w="100" w:type="dxa"/>
            <w:vAlign w:val="bottom"/>
            <w:shd w:val="clear" w:color="auto" w:fill="CCEEFF"/>
          </w:tcPr>
          <w:p>
            <w:pPr>
              <w:spacing w:after="0"/>
              <w:rPr>
                <w:sz w:val="18"/>
                <w:szCs w:val="18"/>
                <w:color w:val="auto"/>
              </w:rPr>
            </w:pPr>
          </w:p>
        </w:tc>
      </w:tr>
      <w:tr>
        <w:trPr>
          <w:trHeight w:val="227"/>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13,808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13,808</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(9,545)</w:t>
            </w:r>
          </w:p>
        </w:tc>
      </w:tr>
      <w:tr>
        <w:trPr>
          <w:trHeight w:val="220"/>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Amortization expense of intangible assets was $2.0 million and $2.0 million during the years ended December 31, 2023 and 2024, respectively. During the year ended December 31, 2023, the Company disposed of the fully amortized product license, and no loss was recognized upon disposal. The weighted-average remaining useful life of the trademarks and the developed technology as of December 31, 2024 was 0.4 years and 2.4 years, respectively. The customer relationships were fully amortized as of December 31, 2023.</w:t>
      </w:r>
    </w:p>
    <w:p>
      <w:pPr>
        <w:spacing w:after="0" w:line="182" w:lineRule="exact"/>
        <w:rPr>
          <w:sz w:val="20"/>
          <w:szCs w:val="20"/>
          <w:color w:val="auto"/>
        </w:rPr>
      </w:pPr>
    </w:p>
    <w:tbl>
      <w:tblPr>
        <w:tblLayout w:type="fixed"/>
        <w:tblInd w:w="18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Estimated future amortization expense as of December 31, 2024 is as follows (in thousands):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8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future amortization expense</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Consolidated Balance Sheet Components</w:t>
            </w: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804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receivable, net consists of the following (in thousands):</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8"/>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7"/>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4"/>
          </w:tcPr>
          <w:p>
            <w:pPr>
              <w:jc w:val="right"/>
              <w:ind w:right="171"/>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Billed accounts receivable</w:t>
            </w:r>
          </w:p>
        </w:tc>
        <w:tc>
          <w:tcPr>
            <w:tcW w:w="1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15,919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(1,985)</w:t>
            </w:r>
          </w:p>
        </w:tc>
        <w:tc>
          <w:tcPr>
            <w:tcW w:w="0" w:type="dxa"/>
            <w:vAlign w:val="bottom"/>
          </w:tcPr>
          <w:p>
            <w:pPr>
              <w:spacing w:after="0"/>
              <w:rPr>
                <w:sz w:val="1"/>
                <w:szCs w:val="1"/>
                <w:color w:val="auto"/>
              </w:rPr>
            </w:pPr>
          </w:p>
        </w:tc>
      </w:tr>
      <w:tr>
        <w:trPr>
          <w:trHeight w:val="220"/>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0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23,417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5260"/>
              <w:spacing w:after="0"/>
              <w:rPr>
                <w:sz w:val="20"/>
                <w:szCs w:val="20"/>
                <w:color w:val="auto"/>
              </w:rPr>
            </w:pPr>
            <w:r>
              <w:rPr>
                <w:rFonts w:ascii="Times New Roman" w:cs="Times New Roman" w:eastAsia="Times New Roman" w:hAnsi="Times New Roman"/>
                <w:sz w:val="18"/>
                <w:szCs w:val="18"/>
                <w:color w:val="auto"/>
              </w:rPr>
              <w:t>F-22</w:t>
            </w: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80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 roll forward of the Company’s allowance for credit losses is as follows (in thousands):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7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0"/>
        </w:trPr>
        <w:tc>
          <w:tcPr>
            <w:tcW w:w="7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Borders>
              <w:top w:val="single" w:sz="8" w:color="auto"/>
            </w:tcBorders>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40" w:type="dxa"/>
            <w:vAlign w:val="bottom"/>
            <w:tcBorders>
              <w:top w:val="single" w:sz="8" w:color="auto"/>
            </w:tcBorders>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260" w:type="dxa"/>
            <w:vAlign w:val="bottom"/>
            <w:tcBorders>
              <w:top w:val="single" w:sz="8" w:color="auto"/>
            </w:tcBorders>
            <w:gridSpan w:val="3"/>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56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14"/>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and other adjustments</w:t>
            </w:r>
          </w:p>
        </w:tc>
        <w:tc>
          <w:tcPr>
            <w:tcW w:w="14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460" w:type="dxa"/>
            <w:vAlign w:val="bottom"/>
          </w:tcPr>
          <w:p>
            <w:pPr>
              <w:spacing w:after="0"/>
              <w:rPr>
                <w:sz w:val="19"/>
                <w:szCs w:val="19"/>
                <w:color w:val="auto"/>
              </w:rPr>
            </w:pP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76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1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768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7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7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0"/>
        </w:trPr>
        <w:tc>
          <w:tcPr>
            <w:tcW w:w="7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640" w:type="dxa"/>
            <w:vAlign w:val="bottom"/>
            <w:tcBorders>
              <w:top w:val="single" w:sz="8" w:color="auto"/>
            </w:tcBorders>
            <w:gridSpan w:val="2"/>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2023 </w:t>
            </w: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600" w:type="dxa"/>
            <w:vAlign w:val="bottom"/>
            <w:tcBorders>
              <w:top w:val="single" w:sz="8" w:color="auto"/>
            </w:tcBorders>
            <w:gridSpan w:val="2"/>
          </w:tcPr>
          <w:p>
            <w:pPr>
              <w:jc w:val="right"/>
              <w:ind w:right="141"/>
              <w:spacing w:after="0" w:line="141" w:lineRule="exact"/>
              <w:rPr>
                <w:sz w:val="20"/>
                <w:szCs w:val="20"/>
                <w:color w:val="auto"/>
              </w:rPr>
            </w:pPr>
            <w:r>
              <w:rPr>
                <w:rFonts w:ascii="Times New Roman" w:cs="Times New Roman" w:eastAsia="Times New Roman" w:hAnsi="Times New Roman"/>
                <w:sz w:val="14"/>
                <w:szCs w:val="14"/>
                <w:b w:val="1"/>
                <w:bCs w:val="1"/>
                <w:color w:val="auto"/>
                <w:w w:val="95"/>
              </w:rPr>
              <w:t>2024 </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 licenses</w:t>
            </w:r>
          </w:p>
        </w:tc>
        <w:tc>
          <w:tcPr>
            <w:tcW w:w="148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12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2"/>
              </w:rPr>
              <w:t>   6,937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4"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Inventory as of December 31, 2023 and 2024 was composed of finished goods inventory. Inventory was $3.6 million and $3.3 million as of December 31, 2023 and 2024, respectively. As of December 31, 2023 and 2024, there was no reserve for excess and obsolete inventory.</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Property and equipment, net consist of the following (in thousands):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0"/>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520" w:type="dxa"/>
            <w:vAlign w:val="bottom"/>
            <w:tcBorders>
              <w:top w:val="single" w:sz="8" w:color="auto"/>
            </w:tcBorders>
          </w:tcPr>
          <w:p>
            <w:pPr>
              <w:jc w:val="right"/>
              <w:ind w:right="15"/>
              <w:spacing w:after="0" w:line="141" w:lineRule="exact"/>
              <w:rPr>
                <w:sz w:val="20"/>
                <w:szCs w:val="20"/>
                <w:color w:val="auto"/>
              </w:rPr>
            </w:pPr>
            <w:r>
              <w:rPr>
                <w:rFonts w:ascii="Times New Roman" w:cs="Times New Roman" w:eastAsia="Times New Roman" w:hAnsi="Times New Roman"/>
                <w:sz w:val="14"/>
                <w:szCs w:val="14"/>
                <w:b w:val="1"/>
                <w:bCs w:val="1"/>
                <w:color w:val="auto"/>
                <w:w w:val="95"/>
              </w:rPr>
              <w:t>2023 </w:t>
            </w:r>
          </w:p>
        </w:tc>
        <w:tc>
          <w:tcPr>
            <w:tcW w:w="580" w:type="dxa"/>
            <w:vAlign w:val="bottom"/>
            <w:tcBorders>
              <w:top w:val="single" w:sz="8" w:color="auto"/>
            </w:tcBorders>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top w:val="single" w:sz="8" w:color="auto"/>
            </w:tcBorders>
          </w:tcPr>
          <w:p>
            <w:pPr>
              <w:jc w:val="right"/>
              <w:ind w:right="33"/>
              <w:spacing w:after="0" w:line="141" w:lineRule="exact"/>
              <w:rPr>
                <w:sz w:val="20"/>
                <w:szCs w:val="20"/>
                <w:color w:val="auto"/>
              </w:rPr>
            </w:pPr>
            <w:r>
              <w:rPr>
                <w:rFonts w:ascii="Times New Roman" w:cs="Times New Roman" w:eastAsia="Times New Roman" w:hAnsi="Times New Roman"/>
                <w:sz w:val="14"/>
                <w:szCs w:val="14"/>
                <w:b w:val="1"/>
                <w:bCs w:val="1"/>
                <w:color w:val="auto"/>
                <w:w w:val="76"/>
              </w:rPr>
              <w:t>   2024 </w:t>
            </w:r>
          </w:p>
        </w:tc>
        <w:tc>
          <w:tcPr>
            <w:tcW w:w="100" w:type="dxa"/>
            <w:vAlign w:val="bottom"/>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12,195</w:t>
            </w:r>
          </w:p>
        </w:tc>
        <w:tc>
          <w:tcPr>
            <w:tcW w:w="10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9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15,997</w:t>
            </w:r>
          </w:p>
        </w:tc>
        <w:tc>
          <w:tcPr>
            <w:tcW w:w="100" w:type="dxa"/>
            <w:vAlign w:val="bottom"/>
            <w:shd w:val="clear" w:color="auto" w:fill="CCEEFF"/>
          </w:tcPr>
          <w:p>
            <w:pPr>
              <w:spacing w:after="0"/>
              <w:rPr>
                <w:sz w:val="18"/>
                <w:szCs w:val="18"/>
                <w:color w:val="auto"/>
              </w:rPr>
            </w:pPr>
          </w:p>
        </w:tc>
      </w:tr>
      <w:tr>
        <w:trPr>
          <w:trHeight w:val="227"/>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(7,977)</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(10,372)</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40" w:type="dxa"/>
            <w:vAlign w:val="bottom"/>
            <w:gridSpan w:val="2"/>
            <w:shd w:val="clear" w:color="auto" w:fill="CCEEFF"/>
          </w:tcPr>
          <w:p>
            <w:pPr>
              <w:ind w:left="29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80"/>
        <w:spacing w:after="0" w:line="447" w:lineRule="auto"/>
        <w:rPr>
          <w:sz w:val="20"/>
          <w:szCs w:val="20"/>
          <w:color w:val="auto"/>
        </w:rPr>
      </w:pPr>
      <w:r>
        <w:rPr>
          <w:rFonts w:ascii="Times New Roman" w:cs="Times New Roman" w:eastAsia="Times New Roman" w:hAnsi="Times New Roman"/>
          <w:sz w:val="18"/>
          <w:szCs w:val="18"/>
          <w:color w:val="auto"/>
        </w:rPr>
        <w:t>Depreciation expense of $0.7 million and $0.6 million was recognized during the years ended December 31, 2023 and 2024, respectively. F-23</w:t>
      </w:r>
    </w:p>
    <w:p>
      <w:pPr>
        <w:sectPr>
          <w:pgSz w:w="11900" w:h="16838" w:orient="portrait"/>
          <w:cols w:equalWidth="0" w:num="1">
            <w:col w:w="11080"/>
          </w:cols>
          <w:pgMar w:left="320" w:top="451" w:right="49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6"/>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Accrued sales and use taxes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referral and administration fees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service fees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connectivity fees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24,497</w:t>
            </w: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29,840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Financing Arrangements</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89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Company’s financing arrangements consist of the following (in thousands):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56"/>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74"/>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Revolving line of credit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 net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 term debt</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Perceptive Credit Agreement</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In May 2020, the Company entered into a Credit Agreement and Guaranty (the “Perceptive Credit Agreement”) with Perceptive Credit Holdings III, LP, as the Administrative Agent and Lender, to provide term loans of up to $50.0 million (the “Perceptive Term Facility”). The Company was permitted to draw down on $30.0 million on the closing date with up to another $20.0 million made available for borrowing between the closing date and March 31, 2022. The Company drew down $30.0 million on the closing date of the Perceptive Term Facility and did not borrow any additional amounts. The Perceptive Term Facility had a maturity date in May 2025. The outstanding principal balance, together with the 2% prepayment premium and accrued interest, were paid in full in June 2023 from a portion of the proceeds of the MidCap Term Facility (as defined below). Upon prepayment, the Perceptive Credit Agreement and the Perceptive Term Facility were terminated. In connection with the prepayment of the Perceptive Term Facility, the Company recorded a loss on extinguishment of $1.5 million, which consisted of unamortized debt issuance costs of $0.9 million, prepayment premium fees of $0.6 million, and immaterial legal fees incurred by the lender and reimbursed by the Company.</w:t>
      </w:r>
    </w:p>
    <w:p>
      <w:pPr>
        <w:spacing w:after="0" w:line="189" w:lineRule="exact"/>
        <w:rPr>
          <w:sz w:val="20"/>
          <w:szCs w:val="20"/>
          <w:color w:val="auto"/>
        </w:rPr>
      </w:pPr>
    </w:p>
    <w:p>
      <w:pPr>
        <w:jc w:val="both"/>
        <w:ind w:left="180" w:right="20" w:firstLine="436"/>
        <w:spacing w:after="0" w:line="285" w:lineRule="auto"/>
        <w:rPr>
          <w:sz w:val="20"/>
          <w:szCs w:val="20"/>
          <w:color w:val="auto"/>
        </w:rPr>
      </w:pPr>
      <w:r>
        <w:rPr>
          <w:rFonts w:ascii="Times New Roman" w:cs="Times New Roman" w:eastAsia="Times New Roman" w:hAnsi="Times New Roman"/>
          <w:sz w:val="17"/>
          <w:szCs w:val="17"/>
          <w:color w:val="auto"/>
        </w:rPr>
        <w:t>The principal amount outstanding on the Perceptive Term Facility accrued interest at the sum of (i) 9.50% plus (ii) the greater of (x) the reference rate as of the second business day immediately preceding the first day of the month and (y) 1.75%. Interest was payable monthly in arrears and was calculated based on a 360-day year for the actual number of days elapsed. The effective interest rate for the year ended December 31, 2023 was 15.8%.</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MidCap Credit Agreement</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 June 2023, the Company entered into a credit, security, and guaranty Agreement with Physera, Inc., MidCap Funding IV Trust (“MidCap”), as administrative agent, MidCap Financial Trust, as term loan servicer, certain funds</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080"/>
          </w:cols>
          <w:pgMar w:left="320" w:top="451" w:right="49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jc w:val="both"/>
        <w:ind w:left="180"/>
        <w:spacing w:after="0" w:line="249" w:lineRule="auto"/>
        <w:rPr>
          <w:sz w:val="20"/>
          <w:szCs w:val="20"/>
          <w:color w:val="auto"/>
        </w:rPr>
      </w:pPr>
      <w:r>
        <w:rPr>
          <w:rFonts w:ascii="Times New Roman" w:cs="Times New Roman" w:eastAsia="Times New Roman" w:hAnsi="Times New Roman"/>
          <w:sz w:val="18"/>
          <w:szCs w:val="18"/>
          <w:color w:val="auto"/>
        </w:rPr>
        <w:t>managed by MidCap, as lenders, and the lenders, additional borrowers, and guarantors from time to time party thereto (the “MidCap Credit Agreement”) for a senior secured term loan in an aggregate principal amount up to $60.0 million, with up to $30.0 million available upon the initial closing date and up to $30.0 million (the “Second Tranche”) available for draw from October 2024 through March 2025 conditional upon achievement of $120.0 million of trailing 12-month revenue (the “Revenue Condition”) and $60.0 million liquidity (the “MidCap Term Facility”). Upon the initial closing date of the MidCap Credit Agreement, the Company drew down on $30.0 million of the MidCap Term Facility and used a portion of the proceeds to repay the outstanding principal balance (including prepayment premium) and accrued interest on the Perceptive Term Facility The MidCap Term Facility is interest-only for 48 months. At the end of the initial interest-only period, the Company can elect to extend the interest-only period an additional 12 months if the Company meets a certain trailing 12-month revenue level (the “Minimum Net Revenue”) and no event of default has occurred and is continuing. The MidCap Credit Agreement also includes a revolving line of credit facility (the “MidCap Revolving Facility”) allowing for up to $20.0 million in revolving borrowings. The availability of the MidCap Revolving Facility is calculated as a percentage of the Company’s outstanding accounts receivable and inventory balances (“Availability”). The Company is required to maintain a minimum drawn balance on the MidCap Revolving Facility of no less than 20% of Availability, or will be required to pay a fee equal to the MidCap Revolving Facility interest rate on the difference between the amount of revolving loans drawn and 20% of Availability. Upon the initial closing date of the MidCap Credit Agreement, the Company drew $1.0 million on the MidCap Revolving Facility. The maturity date of the MidCap Term Facility and the MidCap Revolving Facility is June 1, 2028.</w:t>
      </w:r>
    </w:p>
    <w:p>
      <w:pPr>
        <w:spacing w:after="0" w:line="199"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Interest is charged on any outstanding principal of the MidCap Term Facility at the sum of (i) the one-month forward-looking term SOFR, plus 0.10% (“Adjusted SOFR”), plus 7.00%, subject to a floor of 2.50%. Interest on the MidCap Revolving Facility is charged at the sum of Adjusted SOFR, plus 4.00%, subject to a floor of 2.50%. Both interest rates are reset monthly. The effective interest rate for the years ended December 31, 2023 and 2024 on the MidCap Term Facility was 13.7% and 14.3%, respectively, and 12.1% and 12.0% on the MidCap Revolving Facility, respectively.</w:t>
      </w:r>
    </w:p>
    <w:p>
      <w:pPr>
        <w:spacing w:after="0" w:line="182"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A fully nonrefundable origination fee of 1.00% of the $60 million MidCap Term Facility ($0.6 million) was paid upon the effective date of the MidCap Credit Agreement. The Company was also required to pay all of the lender legal fees and out-of-pocket expenses totaling $0.7 million. Additionally, an annual administrative fee of 0.25% of the amount borrowed under the MidCap Term Facility is due annually. At the time of final payment of the MidCap Term Facility, the Company will pay a fee of 3% on the amount borrowed under the MidCap Term Facility.</w:t>
      </w:r>
    </w:p>
    <w:p>
      <w:pPr>
        <w:spacing w:after="0" w:line="182"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A fully nonrefundable origination fee of 0.5% of the $20 million MidCap Revolving Facility ($0.1 million) was paid upon the closing of the MidCap Credit Agreement. The Company shall pay a collateral management fee of 0.5% per annum on the outstanding balance of the MidCap Revolving Facility, payable monthly in arrears. Additionally, the Company will pay an unused line fee of 0.5% per annum of the average unused portion of the MidCap Revolving Facility, payable monthly in arrears. The Company incurred other debt issuance costs of $0.4 million related to other fees paid to the lender and legal fees incurred by the Company.</w:t>
      </w:r>
    </w:p>
    <w:p>
      <w:pPr>
        <w:spacing w:after="0" w:line="183"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With respect to any prepayment of all or any portion of the outstanding principal amount of MidCap Term Facility, or permanent reduction of the commitments under the MidCap Revolving Facility, a prepayment premium or deferred revolving origination fee, as applicable, will be due as follows: 3% if prepaid or reduced, as applicable, before June 1, 2024, 2% if prepaid or reduced, as applicable, between June 2, 2024 and June 1, 2025, and 1% if prepaid or reduced, as applicable, thereafter.</w:t>
      </w:r>
    </w:p>
    <w:p>
      <w:pPr>
        <w:spacing w:after="0" w:line="182"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The MidCap Credit Agreement includes customary covenants for a facility of this type, including monthly reporting requirements and, at any time that liquidity is less than 1.50x the outstanding principal balance of the MidCap Term Facility, a financial covenant to maintain minimum trailing 12-month net revenue levels specified</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080"/>
          </w:cols>
          <w:pgMar w:left="320" w:top="451" w:right="49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jc w:val="both"/>
        <w:ind w:left="180"/>
        <w:spacing w:after="0" w:line="252" w:lineRule="auto"/>
        <w:rPr>
          <w:sz w:val="20"/>
          <w:szCs w:val="20"/>
          <w:color w:val="auto"/>
        </w:rPr>
      </w:pPr>
      <w:r>
        <w:rPr>
          <w:rFonts w:ascii="Times New Roman" w:cs="Times New Roman" w:eastAsia="Times New Roman" w:hAnsi="Times New Roman"/>
          <w:sz w:val="18"/>
          <w:szCs w:val="18"/>
          <w:color w:val="auto"/>
        </w:rPr>
        <w:t>in the MidCap Credit Agreement. The MidCap Credit Agreement also contains various covenants that limit the Company’s ability to, among other things: sell, transfer, lease, or dispose of its assets subject to certain exclusions; create, incur, assume, guarantee, or assume additional indebtedness, other than certain permitted indebtedness; encumber or permit liens on any of its assets other than certain permitted liens; make restricted payments, including paying cash dividends on, repurchasing or making distributions with respect to any of its capital stock; make specified investments; consolidate, merge with, or acquire any other entity, or sell or otherwise dispose of all or substantially all of its assets; and enter into certain transactions with its affiliates, in each case, subject to certain exceptions, baskets, and thresholds set forth in the MidCap Credit Agreement. As of December 31, 2023 and 2024, the Company was in compliance with its financial covenants.</w:t>
      </w:r>
    </w:p>
    <w:p>
      <w:pPr>
        <w:spacing w:after="0" w:line="189"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Interest expense related to amortization of the debt discount for long-term debt was $0.4 million and $0.4 million in the years ended December 31, 2023 and 2024, respectively and is included in interest expense.</w:t>
      </w:r>
    </w:p>
    <w:p>
      <w:pPr>
        <w:spacing w:after="0" w:line="163"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Company believes that it is probable that it will meet the Minimum Net Revenue and will elect to extend the interest-only period for an additional 12 months. The future maturities of the financing arrangements in aggregate are as follows (in thousands):</w:t>
      </w:r>
    </w:p>
    <w:p>
      <w:pPr>
        <w:spacing w:after="0" w:line="208" w:lineRule="exact"/>
        <w:rPr>
          <w:sz w:val="20"/>
          <w:szCs w:val="20"/>
          <w:color w:val="auto"/>
        </w:rPr>
      </w:pPr>
    </w:p>
    <w:tbl>
      <w:tblPr>
        <w:tblLayout w:type="fixed"/>
        <w:tblInd w:w="180" w:type="dxa"/>
        <w:tblCellMar>
          <w:top w:w="0" w:type="dxa"/>
          <w:left w:w="0" w:type="dxa"/>
          <w:bottom w:w="0" w:type="dxa"/>
          <w:right w:w="0" w:type="dxa"/>
        </w:tblCellMar>
      </w:tblPr>
      <w:tr>
        <w:trPr>
          <w:trHeight w:val="214"/>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30,963</w:t>
            </w:r>
          </w:p>
        </w:tc>
        <w:tc>
          <w:tcPr>
            <w:tcW w:w="120" w:type="dxa"/>
            <w:vAlign w:val="bottom"/>
            <w:shd w:val="clear" w:color="auto" w:fill="CCEEFF"/>
          </w:tcPr>
          <w:p>
            <w:pPr>
              <w:spacing w:after="0"/>
              <w:rPr>
                <w:sz w:val="18"/>
                <w:szCs w:val="18"/>
                <w:color w:val="auto"/>
              </w:rPr>
            </w:pPr>
          </w:p>
        </w:tc>
      </w:tr>
      <w:tr>
        <w:trPr>
          <w:trHeight w:val="220"/>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payments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30,963</w:t>
            </w:r>
          </w:p>
        </w:tc>
        <w:tc>
          <w:tcPr>
            <w:tcW w:w="120" w:type="dxa"/>
            <w:vAlign w:val="bottom"/>
          </w:tcPr>
          <w:p>
            <w:pPr>
              <w:spacing w:after="0"/>
              <w:rPr>
                <w:sz w:val="19"/>
                <w:szCs w:val="19"/>
                <w:color w:val="auto"/>
              </w:rPr>
            </w:pPr>
          </w:p>
        </w:tc>
      </w:tr>
      <w:tr>
        <w:trPr>
          <w:trHeight w:val="214"/>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(1,192)</w:t>
            </w:r>
          </w:p>
        </w:tc>
      </w:tr>
      <w:tr>
        <w:trPr>
          <w:trHeight w:val="220"/>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financing arrangements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29,771</w:t>
            </w:r>
          </w:p>
        </w:tc>
        <w:tc>
          <w:tcPr>
            <w:tcW w:w="120" w:type="dxa"/>
            <w:vAlign w:val="bottom"/>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Company has an operating lease for a corporate office located in San Francisco, California that expires in July 2025. The lease includes the option to extend the lease term, generally at the then-market rates. The Company excludes extension options that are not reasonably certain to be exercised from its lease terms. The Company’s lease payments consist primarily of fixed rental payments for the right to use the underlying leased assets over the lease term. The Company is responsible for operating expenses that exceed the amount of the base operating expenses as defined in the original lease agreement.</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components of lease expense, included in operating expenses, were as follows (in thousands):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8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0"/>
        </w:trPr>
        <w:tc>
          <w:tcPr>
            <w:tcW w:w="8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540" w:type="dxa"/>
            <w:vAlign w:val="bottom"/>
            <w:tcBorders>
              <w:top w:val="single" w:sz="8" w:color="auto"/>
              <w:bottom w:val="single" w:sz="8" w:color="auto"/>
            </w:tcBorders>
          </w:tcPr>
          <w:p>
            <w:pPr>
              <w:jc w:val="right"/>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80"/>
              </w:rPr>
              <w:t>2023 </w:t>
            </w:r>
          </w:p>
        </w:tc>
        <w:tc>
          <w:tcPr>
            <w:tcW w:w="7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560" w:type="dxa"/>
            <w:vAlign w:val="bottom"/>
            <w:tcBorders>
              <w:top w:val="single" w:sz="8" w:color="auto"/>
              <w:bottom w:val="single" w:sz="8" w:color="auto"/>
            </w:tcBorders>
          </w:tcPr>
          <w:p>
            <w:pPr>
              <w:jc w:val="right"/>
              <w:ind w:right="97"/>
              <w:spacing w:after="0" w:line="141" w:lineRule="exact"/>
              <w:rPr>
                <w:sz w:val="20"/>
                <w:szCs w:val="20"/>
                <w:color w:val="auto"/>
              </w:rPr>
            </w:pPr>
            <w:r>
              <w:rPr>
                <w:rFonts w:ascii="Times New Roman" w:cs="Times New Roman" w:eastAsia="Times New Roman" w:hAnsi="Times New Roman"/>
                <w:sz w:val="14"/>
                <w:szCs w:val="14"/>
                <w:b w:val="1"/>
                <w:bCs w:val="1"/>
                <w:color w:val="auto"/>
                <w:w w:val="85"/>
              </w:rPr>
              <w:t>2024 </w:t>
            </w:r>
          </w:p>
        </w:tc>
        <w:tc>
          <w:tcPr>
            <w:tcW w:w="60" w:type="dxa"/>
            <w:vAlign w:val="bottom"/>
            <w:tcBorders>
              <w:bottom w:val="single" w:sz="8" w:color="CCEEFF"/>
            </w:tcBorders>
          </w:tcPr>
          <w:p>
            <w:pPr>
              <w:spacing w:after="0"/>
              <w:rPr>
                <w:sz w:val="12"/>
                <w:szCs w:val="12"/>
                <w:color w:val="auto"/>
              </w:rPr>
            </w:pPr>
          </w:p>
        </w:tc>
      </w:tr>
      <w:tr>
        <w:trPr>
          <w:trHeight w:val="207"/>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60" w:type="dxa"/>
            <w:vAlign w:val="bottom"/>
            <w:shd w:val="clear" w:color="auto" w:fill="CCEEFF"/>
          </w:tcPr>
          <w:p>
            <w:pPr>
              <w:spacing w:after="0"/>
              <w:rPr>
                <w:sz w:val="18"/>
                <w:szCs w:val="18"/>
                <w:color w:val="auto"/>
              </w:rPr>
            </w:pPr>
          </w:p>
        </w:tc>
      </w:tr>
      <w:tr>
        <w:trPr>
          <w:trHeight w:val="220"/>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760" w:type="dxa"/>
            <w:vAlign w:val="bottom"/>
          </w:tcPr>
          <w:p>
            <w:pPr>
              <w:spacing w:after="0"/>
              <w:rPr>
                <w:sz w:val="19"/>
                <w:szCs w:val="19"/>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6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weighted-average remaining operating lease term and weighted-average discount rate were as follows:</w:t>
      </w:r>
    </w:p>
    <w:p>
      <w:pPr>
        <w:spacing w:after="0" w:line="241"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1" w:lineRule="exact"/>
        <w:rPr>
          <w:sz w:val="20"/>
          <w:szCs w:val="20"/>
          <w:color w:val="auto"/>
        </w:rPr>
      </w:pPr>
    </w:p>
    <w:tbl>
      <w:tblPr>
        <w:tblLayout w:type="fixed"/>
        <w:tblInd w:w="180" w:type="dxa"/>
        <w:tblCellMar>
          <w:top w:w="0" w:type="dxa"/>
          <w:left w:w="0" w:type="dxa"/>
          <w:bottom w:w="0" w:type="dxa"/>
          <w:right w:w="0" w:type="dxa"/>
        </w:tblCellMar>
      </w:tblPr>
      <w:tr>
        <w:trPr>
          <w:trHeight w:val="140"/>
        </w:trPr>
        <w:tc>
          <w:tcPr>
            <w:tcW w:w="8380" w:type="dxa"/>
            <w:vAlign w:val="bottom"/>
          </w:tcPr>
          <w:p>
            <w:pPr>
              <w:spacing w:after="0"/>
              <w:rPr>
                <w:sz w:val="12"/>
                <w:szCs w:val="12"/>
                <w:color w:val="auto"/>
              </w:rPr>
            </w:pPr>
          </w:p>
        </w:tc>
        <w:tc>
          <w:tcPr>
            <w:tcW w:w="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140" w:type="dxa"/>
            <w:vAlign w:val="bottom"/>
            <w:tcBorders>
              <w:top w:val="single" w:sz="8" w:color="auto"/>
            </w:tcBorders>
            <w:gridSpan w:val="2"/>
          </w:tcPr>
          <w:p>
            <w:pPr>
              <w:jc w:val="right"/>
              <w:ind w:right="6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1100" w:type="dxa"/>
            <w:vAlign w:val="bottom"/>
            <w:tcBorders>
              <w:top w:val="single" w:sz="8" w:color="auto"/>
            </w:tcBorders>
            <w:gridSpan w:val="2"/>
          </w:tcPr>
          <w:p>
            <w:pPr>
              <w:jc w:val="right"/>
              <w:ind w:right="31"/>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200" w:type="dxa"/>
            <w:vAlign w:val="bottom"/>
          </w:tcPr>
          <w:p>
            <w:pPr>
              <w:spacing w:after="0"/>
              <w:rPr>
                <w:sz w:val="12"/>
                <w:szCs w:val="12"/>
                <w:color w:val="auto"/>
              </w:rPr>
            </w:pPr>
          </w:p>
        </w:tc>
      </w:tr>
      <w:tr>
        <w:trPr>
          <w:trHeight w:val="207"/>
        </w:trPr>
        <w:tc>
          <w:tcPr>
            <w:tcW w:w="8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5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00" w:type="dxa"/>
            <w:vAlign w:val="bottom"/>
            <w:tcBorders>
              <w:top w:val="single" w:sz="8" w:color="CCEEFF"/>
            </w:tcBorders>
            <w:shd w:val="clear" w:color="auto" w:fill="CCEEFF"/>
          </w:tcPr>
          <w:p>
            <w:pPr>
              <w:spacing w:after="0"/>
              <w:rPr>
                <w:sz w:val="18"/>
                <w:szCs w:val="18"/>
                <w:color w:val="auto"/>
              </w:rPr>
            </w:pPr>
          </w:p>
        </w:tc>
      </w:tr>
      <w:tr>
        <w:trPr>
          <w:trHeight w:val="233"/>
        </w:trPr>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r>
      <w:tr>
        <w:trPr>
          <w:trHeight w:val="342"/>
        </w:trPr>
        <w:tc>
          <w:tcPr>
            <w:tcW w:w="8460" w:type="dxa"/>
            <w:vAlign w:val="bottom"/>
            <w:gridSpan w:val="3"/>
          </w:tcPr>
          <w:p>
            <w:pPr>
              <w:ind w:left="5280"/>
              <w:spacing w:after="0"/>
              <w:rPr>
                <w:sz w:val="20"/>
                <w:szCs w:val="20"/>
                <w:color w:val="auto"/>
              </w:rPr>
            </w:pPr>
            <w:r>
              <w:rPr>
                <w:rFonts w:ascii="Times New Roman" w:cs="Times New Roman" w:eastAsia="Times New Roman" w:hAnsi="Times New Roman"/>
                <w:sz w:val="18"/>
                <w:szCs w:val="18"/>
                <w:color w:val="auto"/>
              </w:rPr>
              <w:t>F-26</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80"/>
          </w:cols>
          <w:pgMar w:left="320" w:top="451" w:right="49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Other information related to the Company’s operating leases were as follows (in thousands):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040" w:type="dxa"/>
            <w:vAlign w:val="bottom"/>
            <w:gridSpan w:val="2"/>
          </w:tcPr>
          <w:p>
            <w:pPr>
              <w:jc w:val="right"/>
              <w:ind w:right="5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1240" w:type="dxa"/>
            <w:vAlign w:val="bottom"/>
            <w:gridSpan w:val="4"/>
          </w:tcPr>
          <w:p>
            <w:pPr>
              <w:ind w:left="38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Supplemental cash flow information:</w:t>
            </w:r>
          </w:p>
        </w:tc>
        <w:tc>
          <w:tcPr>
            <w:tcW w:w="1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4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(811)</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7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future minimum operating lease payments are as follows (in thousands):</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7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obligations under lease</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lease obligations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79"/>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From time to time, the Company may become subject to legal proceedings, claims, and litigation arising in the ordinary course of business. The Company is not presently a party to any such litigation the outcome of which, the Company believes, if determined adversely to the Company, would individually, or taken together, have a material adverse effect on the Company’s business, operating results, cash flows, or financial condition.</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In the ordinary course of business, the Company includes in its agreements indemnification provisions of varying scope and terms pursuant to which it agrees to indemnify customers, channel partners, suppliers, vendors, lessors, business partners, and other parties with respect to certain matters, including, but not limited to, losses arising out of the breach of such agreements, services to be provided by the Company, or from intellectual property infringement claims made by third parties. The term of these indemnification provisions generally survive the termination of the agreements indefinitely. The maximum potential amount of future payments the Company could be required to make under these arrangements is not determinable. No demands have ever been made upon the Company to provide indemnification under such agreements, and there are no claims under those indemnification terms that the Company is aware of that could have a material effect on the consolidated balance sheets, consolidated statements of operations and comprehensive loss, or consolidated statements of cash flows. Accordingly, the Company had no liabilities recorded for these provisions as of December 31, 2023 and 2024.</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080"/>
          </w:cols>
          <w:pgMar w:left="320" w:top="451" w:right="49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Other contractual commitments primarily consist of technology and cloud services related to the Company’s daily business operations. Future minimum payments under the Company’s non-cancellable purchase commitments as of December 31, 2024 are presented in the table below (in thousands):</w:t>
      </w:r>
    </w:p>
    <w:p>
      <w:pPr>
        <w:spacing w:after="0" w:line="222" w:lineRule="exact"/>
        <w:rPr>
          <w:sz w:val="20"/>
          <w:szCs w:val="20"/>
          <w:color w:val="auto"/>
        </w:rPr>
      </w:pPr>
    </w:p>
    <w:tbl>
      <w:tblPr>
        <w:tblLayout w:type="fixed"/>
        <w:tblInd w:w="180" w:type="dxa"/>
        <w:tblCellMar>
          <w:top w:w="0" w:type="dxa"/>
          <w:left w:w="0" w:type="dxa"/>
          <w:bottom w:w="0" w:type="dxa"/>
          <w:right w:w="0" w:type="dxa"/>
        </w:tblCellMar>
      </w:tblPr>
      <w:tr>
        <w:trPr>
          <w:trHeight w:val="214"/>
        </w:trPr>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$ 3,804</w:t>
            </w:r>
          </w:p>
        </w:tc>
        <w:tc>
          <w:tcPr>
            <w:tcW w:w="60" w:type="dxa"/>
            <w:vAlign w:val="bottom"/>
          </w:tcPr>
          <w:p>
            <w:pPr>
              <w:spacing w:after="0"/>
              <w:rPr>
                <w:sz w:val="18"/>
                <w:szCs w:val="18"/>
                <w:color w:val="auto"/>
              </w:rPr>
            </w:pPr>
          </w:p>
        </w:tc>
      </w:tr>
      <w:tr>
        <w:trPr>
          <w:trHeight w:val="214"/>
        </w:trPr>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60" w:type="dxa"/>
            <w:vAlign w:val="bottom"/>
            <w:shd w:val="clear" w:color="auto" w:fill="CCEEFF"/>
          </w:tcPr>
          <w:p>
            <w:pPr>
              <w:spacing w:after="0"/>
              <w:rPr>
                <w:sz w:val="18"/>
                <w:szCs w:val="18"/>
                <w:color w:val="auto"/>
              </w:rPr>
            </w:pPr>
          </w:p>
        </w:tc>
      </w:tr>
      <w:tr>
        <w:trPr>
          <w:trHeight w:val="214"/>
        </w:trPr>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60" w:type="dxa"/>
            <w:vAlign w:val="bottom"/>
          </w:tcPr>
          <w:p>
            <w:pPr>
              <w:spacing w:after="0"/>
              <w:rPr>
                <w:sz w:val="18"/>
                <w:szCs w:val="18"/>
                <w:color w:val="auto"/>
              </w:rPr>
            </w:pPr>
          </w:p>
        </w:tc>
      </w:tr>
      <w:tr>
        <w:trPr>
          <w:trHeight w:val="214"/>
        </w:trPr>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60" w:type="dxa"/>
            <w:vAlign w:val="bottom"/>
            <w:shd w:val="clear" w:color="auto" w:fill="CCEEFF"/>
          </w:tcPr>
          <w:p>
            <w:pPr>
              <w:spacing w:after="0"/>
              <w:rPr>
                <w:sz w:val="18"/>
                <w:szCs w:val="18"/>
                <w:color w:val="auto"/>
              </w:rPr>
            </w:pPr>
          </w:p>
        </w:tc>
      </w:tr>
      <w:tr>
        <w:trPr>
          <w:trHeight w:val="214"/>
        </w:trPr>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$ 8,414</w:t>
            </w:r>
          </w:p>
        </w:tc>
        <w:tc>
          <w:tcPr>
            <w:tcW w:w="60" w:type="dxa"/>
            <w:vAlign w:val="bottom"/>
          </w:tcPr>
          <w:p>
            <w:pPr>
              <w:spacing w:after="0"/>
              <w:rPr>
                <w:sz w:val="19"/>
                <w:szCs w:val="19"/>
                <w:color w:val="auto"/>
              </w:rPr>
            </w:pPr>
          </w:p>
        </w:tc>
      </w:tr>
      <w:tr>
        <w:trPr>
          <w:trHeight w:val="20"/>
        </w:trPr>
        <w:tc>
          <w:tcPr>
            <w:tcW w:w="10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The purchase obligation amounts do not represent the entire anticipated purchases in the future but represent only those items for which the Company is contractually obligated. The majority of the Company’s goods and services are purchased as needed, with no unconditional commitment. For this reason, these amounts do not provide an indication of the Company’s expected future cash outflows related to purchases.</w:t>
      </w:r>
    </w:p>
    <w:p>
      <w:pPr>
        <w:spacing w:after="0" w:line="177"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 addition to the amounts above, the repayment of outstanding amounts under the MidCap Credit Agreement in an aggregate principal amount of $31.0 million is due on June 1, 2028. Refer to Note 6 for further information regarding the MidCap Credit Agreement.</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9. Redeemable Convertible Preferred Stock</w:t>
      </w:r>
    </w:p>
    <w:p>
      <w:pPr>
        <w:spacing w:after="0" w:line="224" w:lineRule="exact"/>
        <w:rPr>
          <w:sz w:val="20"/>
          <w:szCs w:val="20"/>
          <w:color w:val="auto"/>
        </w:rPr>
      </w:pPr>
    </w:p>
    <w:p>
      <w:pPr>
        <w:jc w:val="both"/>
        <w:ind w:left="180" w:right="20" w:firstLine="436"/>
        <w:spacing w:after="0" w:line="285" w:lineRule="auto"/>
        <w:rPr>
          <w:sz w:val="20"/>
          <w:szCs w:val="20"/>
          <w:color w:val="auto"/>
        </w:rPr>
      </w:pPr>
      <w:r>
        <w:rPr>
          <w:rFonts w:ascii="Times New Roman" w:cs="Times New Roman" w:eastAsia="Times New Roman" w:hAnsi="Times New Roman"/>
          <w:sz w:val="17"/>
          <w:szCs w:val="17"/>
          <w:color w:val="auto"/>
        </w:rPr>
        <w:t>Redeemable convertible preferred stock has a par value of $0.001 per share and comprises Series A redeemable convertible preferred stock, Series B redeemable convertible preferred stock, Series C redeemable convertible preferred stock, Series C-1 redeemable convertible preferred stock, Series D redeemable convertible preferred stock, Series D-1 redeemable convertible preferred stock, and Series E redeemable convertible preferred stock.</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Information relating to the Preferred Stock is as follows (in thousands, except per-share amounts):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8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jc w:val="center"/>
              <w:ind w:left="360"/>
              <w:spacing w:after="0"/>
              <w:rPr>
                <w:sz w:val="20"/>
                <w:szCs w:val="20"/>
                <w:color w:val="auto"/>
              </w:rPr>
            </w:pPr>
            <w:r>
              <w:rPr>
                <w:rFonts w:ascii="Times New Roman" w:cs="Times New Roman" w:eastAsia="Times New Roman" w:hAnsi="Times New Roman"/>
                <w:sz w:val="14"/>
                <w:szCs w:val="14"/>
                <w:b w:val="1"/>
                <w:bCs w:val="1"/>
                <w:color w:val="auto"/>
              </w:rPr>
              <w:t>As of December 31, 2023 and 2024</w:t>
            </w: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8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Original Issue</w:t>
            </w:r>
          </w:p>
        </w:tc>
        <w:tc>
          <w:tcPr>
            <w:tcW w:w="460" w:type="dxa"/>
            <w:vAlign w:val="bottom"/>
          </w:tcPr>
          <w:p>
            <w:pPr>
              <w:spacing w:after="0"/>
              <w:rPr>
                <w:sz w:val="10"/>
                <w:szCs w:val="10"/>
                <w:color w:val="auto"/>
              </w:rPr>
            </w:pPr>
          </w:p>
        </w:tc>
        <w:tc>
          <w:tcPr>
            <w:tcW w:w="70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80" w:type="dxa"/>
            <w:vAlign w:val="bottom"/>
            <w:gridSpan w:val="2"/>
          </w:tcPr>
          <w:p>
            <w:pPr>
              <w:jc w:val="center"/>
              <w:ind w:left="354"/>
              <w:spacing w:after="0" w:line="116" w:lineRule="exact"/>
              <w:rPr>
                <w:sz w:val="20"/>
                <w:szCs w:val="20"/>
                <w:color w:val="auto"/>
              </w:rPr>
            </w:pPr>
            <w:r>
              <w:rPr>
                <w:rFonts w:ascii="Times New Roman" w:cs="Times New Roman" w:eastAsia="Times New Roman" w:hAnsi="Times New Roman"/>
                <w:sz w:val="13"/>
                <w:szCs w:val="13"/>
                <w:b w:val="1"/>
                <w:bCs w:val="1"/>
                <w:color w:val="auto"/>
              </w:rPr>
              <w:t>Shares Issued</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gridSpan w:val="2"/>
          </w:tcPr>
          <w:p>
            <w:pPr>
              <w:ind w:left="40"/>
              <w:spacing w:after="0" w:line="116"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8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and</w:t>
            </w:r>
          </w:p>
        </w:tc>
        <w:tc>
          <w:tcPr>
            <w:tcW w:w="142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20" w:type="dxa"/>
            <w:vAlign w:val="bottom"/>
            <w:gridSpan w:val="4"/>
          </w:tcPr>
          <w:p>
            <w:pPr>
              <w:ind w:left="440"/>
              <w:spacing w:after="0" w:line="147" w:lineRule="exact"/>
              <w:rPr>
                <w:sz w:val="20"/>
                <w:szCs w:val="20"/>
                <w:color w:val="auto"/>
              </w:rPr>
            </w:pPr>
            <w:r>
              <w:rPr>
                <w:rFonts w:ascii="Times New Roman" w:cs="Times New Roman" w:eastAsia="Times New Roman" w:hAnsi="Times New Roman"/>
                <w:sz w:val="14"/>
                <w:szCs w:val="14"/>
                <w:b w:val="1"/>
                <w:bCs w:val="1"/>
                <w:color w:val="auto"/>
              </w:rPr>
              <w:t>Liquidation</w:t>
            </w:r>
          </w:p>
        </w:tc>
        <w:tc>
          <w:tcPr>
            <w:tcW w:w="0" w:type="dxa"/>
            <w:vAlign w:val="bottom"/>
          </w:tcPr>
          <w:p>
            <w:pPr>
              <w:spacing w:after="0"/>
              <w:rPr>
                <w:sz w:val="1"/>
                <w:szCs w:val="1"/>
                <w:color w:val="auto"/>
              </w:rPr>
            </w:pPr>
          </w:p>
        </w:tc>
      </w:tr>
      <w:tr>
        <w:trPr>
          <w:trHeight w:val="172"/>
        </w:trPr>
        <w:tc>
          <w:tcPr>
            <w:tcW w:w="2800" w:type="dxa"/>
            <w:vAlign w:val="bottom"/>
          </w:tcPr>
          <w:p>
            <w:pPr>
              <w:spacing w:after="0"/>
              <w:rPr>
                <w:sz w:val="14"/>
                <w:szCs w:val="14"/>
                <w:color w:val="auto"/>
              </w:rPr>
            </w:pPr>
          </w:p>
        </w:tc>
        <w:tc>
          <w:tcPr>
            <w:tcW w:w="3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4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2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0" w:type="dxa"/>
            <w:vAlign w:val="bottom"/>
          </w:tcPr>
          <w:p>
            <w:pPr>
              <w:spacing w:after="0"/>
              <w:rPr>
                <w:sz w:val="1"/>
                <w:szCs w:val="1"/>
                <w:color w:val="auto"/>
              </w:rPr>
            </w:pPr>
          </w:p>
        </w:tc>
      </w:tr>
      <w:tr>
        <w:trPr>
          <w:trHeight w:val="207"/>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20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0.5342</w:t>
            </w:r>
          </w:p>
        </w:tc>
        <w:tc>
          <w:tcPr>
            <w:tcW w:w="4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4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12,005</w:t>
            </w: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19,445</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15,386</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Series C-1</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21,230</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106,704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106,925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Series D-1</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5.9952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32,291</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187,589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193,591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120,689</w:t>
            </w:r>
          </w:p>
        </w:tc>
        <w:tc>
          <w:tcPr>
            <w:tcW w:w="4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118,219</w:t>
            </w:r>
          </w:p>
        </w:tc>
        <w:tc>
          <w:tcPr>
            <w:tcW w:w="4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449,034</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455,588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vMerge w:val="restart"/>
          </w:tcPr>
          <w:p>
            <w:pPr>
              <w:jc w:val="right"/>
              <w:ind w:right="111"/>
              <w:spacing w:after="0"/>
              <w:rPr>
                <w:sz w:val="20"/>
                <w:szCs w:val="20"/>
                <w:color w:val="auto"/>
              </w:rPr>
            </w:pPr>
            <w:r>
              <w:rPr>
                <w:rFonts w:ascii="Times New Roman" w:cs="Times New Roman" w:eastAsia="Times New Roman" w:hAnsi="Times New Roman"/>
                <w:sz w:val="18"/>
                <w:szCs w:val="18"/>
                <w:color w:val="auto"/>
              </w:rPr>
              <w:t>F-28</w:t>
            </w:r>
          </w:p>
        </w:tc>
        <w:tc>
          <w:tcPr>
            <w:tcW w:w="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Series A, Series B, Series C, Series C-1, Series D, Series D-1, and Series E redeemable convertible preferred stockholders are entitled to receive noncumulative dividends prior and in preference to dividends declared on common stock at a rate of $0.0321, $0.0710, $0.1897, $0.2245, $0.3022, $0.3597, and $0.3597, respectively, per annum per share.</w:t>
      </w:r>
    </w:p>
    <w:p>
      <w:pPr>
        <w:spacing w:after="0" w:line="177"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 xml:space="preserve">Dividends are payable only when and if declared by the Company’s board of directors. No dividends shall be paid with respect to the common stock during any calendar year unless dividends in the total amount of the annual dividend rate for each such series of redeemable convertible preferred stock shall have first been paid or declared and set apart for payment to the holders of each such series of redeemable convertible preferred stock, respectively, during that calendar year. Payments of any dividends to the holders of each such series of redeemable convertible preferred stock shall be paid pro rata, on an equal priority,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according to their respective dividend preferences. Such dividends are not mandatory, and no rights or interest shall accrue to the holders of each such series of redeemable convertible preferred stock if the Company fails to declare or pay dividends in any calendar year. To date, no dividends have been declared or paid.</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w:t>
      </w:r>
    </w:p>
    <w:p>
      <w:pPr>
        <w:spacing w:after="0" w:line="224" w:lineRule="exact"/>
        <w:rPr>
          <w:sz w:val="20"/>
          <w:szCs w:val="20"/>
          <w:color w:val="auto"/>
        </w:rPr>
      </w:pPr>
    </w:p>
    <w:p>
      <w:pPr>
        <w:jc w:val="both"/>
        <w:ind w:left="180" w:firstLine="436"/>
        <w:spacing w:after="0" w:line="273" w:lineRule="auto"/>
        <w:rPr>
          <w:sz w:val="20"/>
          <w:szCs w:val="20"/>
          <w:color w:val="auto"/>
        </w:rPr>
      </w:pPr>
      <w:r>
        <w:rPr>
          <w:rFonts w:ascii="Times New Roman" w:cs="Times New Roman" w:eastAsia="Times New Roman" w:hAnsi="Times New Roman"/>
          <w:sz w:val="17"/>
          <w:szCs w:val="17"/>
          <w:color w:val="auto"/>
        </w:rPr>
        <w:t>Each share of Series A, Series B, Series C, Series C-1, Series D, Series D-1, and Series E redeemable convertible preferred stock is convertible at the stockholders’ option at any time into a number of shares of common stock determined by dividing the Original Issue Price (“OIP”) by the then-current conversion price for such series. The initial conversion price is the original issue price and is subject to adjustment for broad-based anti-dilution, stock splits, stock dividends, and other equivalent adjustments. Each share of redeemable convertible preferred stock will automatically be converted into common stock at the conversion rate at the time in effect for such series of redeemable convertible preferred stock immediately upon the earlier of:</w:t>
      </w:r>
    </w:p>
    <w:p>
      <w:pPr>
        <w:spacing w:after="0" w:line="64" w:lineRule="exact"/>
        <w:rPr>
          <w:sz w:val="20"/>
          <w:szCs w:val="20"/>
          <w:color w:val="auto"/>
        </w:rPr>
      </w:pPr>
    </w:p>
    <w:p>
      <w:pPr>
        <w:jc w:val="both"/>
        <w:ind w:left="1160" w:hanging="5"/>
        <w:spacing w:after="0" w:line="257" w:lineRule="auto"/>
        <w:tabs>
          <w:tab w:leader="none" w:pos="143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closing of the Company’s sale of its common stock in a firm commitment underwritten public offering in which the per-share purchase price is at least $17.9856 (subject to appropriate adjustment) and the proceeds received by the Company (less underwriting discounts and commissions) are not less than $75.0 million and the Company’s common stock is listed for trading on the Nasdaq Stock Market or the New York Stock Exchange (a “Qualified Public Offering”); or</w:t>
      </w:r>
    </w:p>
    <w:p>
      <w:pPr>
        <w:spacing w:after="0" w:line="75" w:lineRule="exact"/>
        <w:rPr>
          <w:rFonts w:ascii="Times New Roman" w:cs="Times New Roman" w:eastAsia="Times New Roman" w:hAnsi="Times New Roman"/>
          <w:sz w:val="18"/>
          <w:szCs w:val="18"/>
          <w:color w:val="auto"/>
        </w:rPr>
      </w:pPr>
    </w:p>
    <w:p>
      <w:pPr>
        <w:jc w:val="both"/>
        <w:ind w:left="1160" w:hanging="5"/>
        <w:spacing w:after="0" w:line="250" w:lineRule="auto"/>
        <w:tabs>
          <w:tab w:leader="none" w:pos="142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the occurrence of an event, specified by vote or written consent or agreement of the holders of at least 52% of the then-outstanding shares of the Company’s redeemable convertible preferred stock (voting together as a single class and not as separate series, and on an as-converted basis); provided that no shares of Series D redeemable convertible preferred stock shall be converted pursuant to this clause (2) unless the holders of a majority of the then-outstanding shares of Series D redeemable convertible preferred stock vote or provide a written consent or agreement in favor of such conversion; and provided further that notwithstanding the foregoing, other than a conversion pursuant to this clause (2) in connection with the Company’s sale of its common stock in a firm commitment underwritten public offering that is not a Qualified Public Offering, (i) no shares of Series C or Series C-1 redeemable convertible preferred stock shall be converted pursuant to this clause (2) unless the holders of at least 60% of the then-outstanding shares of Series C or Series C-1 redeemable convertible preferred stock, voting together as a single class and on an as-converted basis, vote or provide written consent or agreement in favor of such conversion, and (ii) no shares of Series E redeemable convertible preferred stock shall be converted pursuant to this clause (2) unless the holders of a majority of the then-outstanding shares of Series E redeemable convertible preferred stock vote or provide written consent or agreement in favor of such conversion.</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080"/>
          </w:cols>
          <w:pgMar w:left="320" w:top="451" w:right="49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 xml:space="preserve">In the event of any liquidation or winding up of the Company, whether voluntary or involuntary, the holders of the redeemable convertible preferred stock are entitled to receive, prior and in preference to any distribution to the holders of common stock, an amount per share equal to the sum of the applicable OIP for such series of redeemable convertible preferred stock, together with any declared but unpaid dividends. If, upon such occurrence, the proceeds thus distributed among the holders of the redeemable convertible preferred stock are insufficient to permit the payment of such holders of the full aforesaid preferential amounts, then the entire proceeds legally available for distribution will be distributed pro rata, on an equal priority,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among the holders of the redeemable convertible preferred stock in proportion to the full preferential amount that each such holder is otherwise entitled to receive.</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4"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The holder of each share of redeemable convertible preferred stock has the right to one vote for each share of common stock into which the redeemable convertible preferred stock could then be converted.</w:t>
      </w:r>
    </w:p>
    <w:p>
      <w:pPr>
        <w:spacing w:after="0" w:line="163" w:lineRule="exact"/>
        <w:rPr>
          <w:sz w:val="20"/>
          <w:szCs w:val="20"/>
          <w:color w:val="auto"/>
        </w:rPr>
      </w:pPr>
    </w:p>
    <w:p>
      <w:pPr>
        <w:jc w:val="both"/>
        <w:ind w:left="180" w:firstLine="436"/>
        <w:spacing w:after="0" w:line="270" w:lineRule="auto"/>
        <w:rPr>
          <w:sz w:val="20"/>
          <w:szCs w:val="20"/>
          <w:color w:val="auto"/>
        </w:rPr>
      </w:pPr>
      <w:r>
        <w:rPr>
          <w:rFonts w:ascii="Times New Roman" w:cs="Times New Roman" w:eastAsia="Times New Roman" w:hAnsi="Times New Roman"/>
          <w:sz w:val="17"/>
          <w:szCs w:val="17"/>
          <w:color w:val="auto"/>
        </w:rPr>
        <w:t>The holders of Series A (of at least 55% of the outstanding Series A redeemable convertible preferred stock), Series B (of a majority of the outstanding Series B redeemable convertible preferred stock), and Series C (of at least 60% of the outstanding Series C redeemable convertible preferred stock), voting as a separate class, are entitled to elect one director of the Company each provided that at least 20% of the originally issued shares of the applicable series remain outstanding. The holders of Series C-1 and Series E redeemable convertible preferred stock are entitled to elect one director of the Company provided that at least 25% of the originally issued shares of the applicable series remain outstanding. The holders of common stock, voting as a separate class, are entitled to elect three directors of the Company. The holders of redeemable convertible preferred stock and common stock, voting together as a single class and on an as-if-converted to common stock basis, are entitled to elect any remaining directors of the Company.</w:t>
      </w:r>
    </w:p>
    <w:p>
      <w:pPr>
        <w:spacing w:after="0" w:line="1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The holders of the redeemable convertible preferred stock have no voluntary rights to redeem shares. The redeemable convertible preferred stock has deemed liquidation provisions which require the shares to be redeemed upon any liquidation, dissolution, or winding up of the Company, whether voluntary or involuntary (a “Liquidation Event”). Although the redeemable convertible preferred stock is not mandatorily or currently redeemable, a deemed Liquidation Event could constitute a redemption event outside the Company’s control. Therefore, all shares of redeemable convertible preferred stock have been presented outside of permanent equity. The Company recorded all shares of redeemable convertible preferred stock at their respective issuance price less issuance costs on the dates of issuance. Given the Company’s performance and financial condition, the Company currently does not believe a Liquidation Event is probable. The carrying values of the Company’s redeemable convertible preferred stock have not been accreted to their redemption values as the Liquidation Event is not considered probable of occurring. Subsequent adjustments of the carrying values to redemption values will be made only if and when it becomes probable the redeemable convertible preferred stock will become redeemable.</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As of December 31, 2023 and 2024, the Company had authorized 181.5 million shares of common stock, with a $0.001 par value. Each share of common stock is entitled to one vote. The holders of common stock are also entitled to receive dividends whenever funds are legally available and when and if declared by the Company’s board of directors, subject to the prior rights of holders of all classes of stock outstanding. As of December 31, 2023 and 2024, no dividends had been declared or paid.</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080"/>
          </w:cols>
          <w:pgMar w:left="320" w:top="451" w:right="49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of December 31, 2023 and 2024, the Company had 7.4 million and 8.2 million shares of common stock issued and outstanding, respectively.</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total shares of the Company’s common stock reserved for issuance are as follows (in thousands):</w:t>
      </w:r>
    </w:p>
    <w:p>
      <w:pPr>
        <w:spacing w:after="0" w:line="241" w:lineRule="exact"/>
        <w:rPr>
          <w:sz w:val="20"/>
          <w:szCs w:val="20"/>
          <w:color w:val="auto"/>
        </w:rPr>
      </w:pPr>
    </w:p>
    <w:p>
      <w:pPr>
        <w:jc w:val="center"/>
        <w:ind w:left="9400"/>
        <w:spacing w:after="0"/>
        <w:rPr>
          <w:sz w:val="20"/>
          <w:szCs w:val="20"/>
          <w:color w:val="auto"/>
        </w:rPr>
      </w:pPr>
      <w:r>
        <w:rPr>
          <w:rFonts w:ascii="Times New Roman" w:cs="Times New Roman" w:eastAsia="Times New Roman" w:hAnsi="Times New Roman"/>
          <w:sz w:val="14"/>
          <w:szCs w:val="14"/>
          <w:b w:val="1"/>
          <w:bCs w:val="1"/>
          <w:color w:val="auto"/>
        </w:rPr>
        <w:t>As of</w:t>
      </w:r>
    </w:p>
    <w:p>
      <w:pPr>
        <w:jc w:val="center"/>
        <w:ind w:left="9400"/>
        <w:spacing w:after="0" w:line="234" w:lineRule="auto"/>
        <w:rPr>
          <w:sz w:val="20"/>
          <w:szCs w:val="20"/>
          <w:color w:val="auto"/>
        </w:rPr>
      </w:pPr>
      <w:r>
        <w:rPr>
          <w:rFonts w:ascii="Times New Roman" w:cs="Times New Roman" w:eastAsia="Times New Roman" w:hAnsi="Times New Roman"/>
          <w:sz w:val="14"/>
          <w:szCs w:val="14"/>
          <w:b w:val="1"/>
          <w:bCs w:val="1"/>
          <w:color w:val="auto"/>
        </w:rPr>
        <w:t>December 31,</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40"/>
        </w:trPr>
        <w:tc>
          <w:tcPr>
            <w:tcW w:w="9480" w:type="dxa"/>
            <w:vAlign w:val="bottom"/>
          </w:tcPr>
          <w:p>
            <w:pPr>
              <w:spacing w:after="0"/>
              <w:rPr>
                <w:sz w:val="12"/>
                <w:szCs w:val="12"/>
                <w:color w:val="auto"/>
              </w:rPr>
            </w:pPr>
          </w:p>
        </w:tc>
        <w:tc>
          <w:tcPr>
            <w:tcW w:w="580" w:type="dxa"/>
            <w:vAlign w:val="bottom"/>
            <w:tcBorders>
              <w:top w:val="single" w:sz="8" w:color="auto"/>
            </w:tcBorders>
          </w:tcPr>
          <w:p>
            <w:pPr>
              <w:jc w:val="right"/>
              <w:ind w:right="74"/>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top w:val="single" w:sz="8" w:color="auto"/>
            </w:tcBorders>
            <w:gridSpan w:val="2"/>
          </w:tcPr>
          <w:p>
            <w:pPr>
              <w:jc w:val="right"/>
              <w:ind w:right="91"/>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r>
      <w:tr>
        <w:trPr>
          <w:trHeight w:val="207"/>
        </w:trPr>
        <w:tc>
          <w:tcPr>
            <w:tcW w:w="9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 outstanding on an as-converted basis</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39,406</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39,406</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convertible preferred stock warrants outstanding on an as-converted basis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60" w:type="dxa"/>
            <w:vAlign w:val="bottom"/>
          </w:tcPr>
          <w:p>
            <w:pPr>
              <w:spacing w:after="0"/>
              <w:rPr>
                <w:sz w:val="18"/>
                <w:szCs w:val="18"/>
                <w:color w:val="auto"/>
              </w:rPr>
            </w:pPr>
          </w:p>
        </w:tc>
      </w:tr>
      <w:tr>
        <w:trPr>
          <w:trHeight w:val="214"/>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shd w:val="clear" w:color="auto" w:fill="CCEEFF"/>
          </w:tcPr>
          <w:p>
            <w:pPr>
              <w:spacing w:after="0"/>
              <w:rPr>
                <w:sz w:val="18"/>
                <w:szCs w:val="18"/>
                <w:color w:val="auto"/>
              </w:rPr>
            </w:pPr>
          </w:p>
        </w:tc>
      </w:tr>
      <w:tr>
        <w:trPr>
          <w:trHeight w:val="21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options outstanding</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60" w:type="dxa"/>
            <w:vAlign w:val="bottom"/>
          </w:tcPr>
          <w:p>
            <w:pPr>
              <w:spacing w:after="0"/>
              <w:rPr>
                <w:sz w:val="18"/>
                <w:szCs w:val="18"/>
                <w:color w:val="auto"/>
              </w:rPr>
            </w:pPr>
          </w:p>
        </w:tc>
      </w:tr>
      <w:tr>
        <w:trPr>
          <w:trHeight w:val="214"/>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 available for future grant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60" w:type="dxa"/>
            <w:vAlign w:val="bottom"/>
            <w:shd w:val="clear" w:color="auto" w:fill="CCEEFF"/>
          </w:tcPr>
          <w:p>
            <w:pPr>
              <w:spacing w:after="0"/>
              <w:rPr>
                <w:sz w:val="18"/>
                <w:szCs w:val="18"/>
                <w:color w:val="auto"/>
              </w:rPr>
            </w:pPr>
          </w:p>
        </w:tc>
      </w:tr>
      <w:tr>
        <w:trPr>
          <w:trHeight w:val="220"/>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52,540</w:t>
            </w: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54,071</w:t>
            </w:r>
          </w:p>
        </w:tc>
        <w:tc>
          <w:tcPr>
            <w:tcW w:w="60" w:type="dxa"/>
            <w:vAlign w:val="bottom"/>
          </w:tcPr>
          <w:p>
            <w:pPr>
              <w:spacing w:after="0"/>
              <w:rPr>
                <w:sz w:val="19"/>
                <w:szCs w:val="19"/>
                <w:color w:val="auto"/>
              </w:rPr>
            </w:pPr>
          </w:p>
        </w:tc>
      </w:tr>
      <w:tr>
        <w:trPr>
          <w:trHeight w:val="20"/>
        </w:trPr>
        <w:tc>
          <w:tcPr>
            <w:tcW w:w="9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11. Stock Warrants</w:t>
      </w:r>
    </w:p>
    <w:p>
      <w:pPr>
        <w:spacing w:after="0" w:line="224"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The Company has issued common and redeemable convertible preferred stock warrants in connection with certain notes payable and debt financing transactions. Warrants outstanding as of December 31, 2023 and 2024 are as follows (in thousands, except for per-share data):</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7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Stock Series</w:t>
            </w:r>
          </w:p>
        </w:tc>
        <w:tc>
          <w:tcPr>
            <w:tcW w:w="4240" w:type="dxa"/>
            <w:vAlign w:val="bottom"/>
          </w:tcPr>
          <w:p>
            <w:pPr>
              <w:spacing w:after="0"/>
              <w:rPr>
                <w:sz w:val="10"/>
                <w:szCs w:val="10"/>
                <w:color w:val="auto"/>
              </w:rPr>
            </w:pPr>
          </w:p>
        </w:tc>
        <w:tc>
          <w:tcPr>
            <w:tcW w:w="16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Date Issued</w:t>
            </w:r>
          </w:p>
        </w:tc>
        <w:tc>
          <w:tcPr>
            <w:tcW w:w="1240" w:type="dxa"/>
            <w:vAlign w:val="bottom"/>
            <w:vMerge w:val="restart"/>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960" w:type="dxa"/>
            <w:vAlign w:val="bottom"/>
            <w:gridSpan w:val="3"/>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Price Per</w:t>
            </w:r>
          </w:p>
        </w:tc>
        <w:tc>
          <w:tcPr>
            <w:tcW w:w="1040" w:type="dxa"/>
            <w:vAlign w:val="bottom"/>
            <w:gridSpan w:val="2"/>
          </w:tcPr>
          <w:p>
            <w:pPr>
              <w:jc w:val="center"/>
              <w:ind w:left="259"/>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360" w:type="dxa"/>
            <w:vAlign w:val="bottom"/>
          </w:tcPr>
          <w:p>
            <w:pPr>
              <w:spacing w:after="0"/>
              <w:rPr>
                <w:sz w:val="10"/>
                <w:szCs w:val="10"/>
                <w:color w:val="auto"/>
              </w:rPr>
            </w:pPr>
          </w:p>
        </w:tc>
        <w:tc>
          <w:tcPr>
            <w:tcW w:w="7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vMerge w:val="continue"/>
          </w:tcPr>
          <w:p>
            <w:pPr>
              <w:spacing w:after="0"/>
              <w:rPr>
                <w:sz w:val="15"/>
                <w:szCs w:val="15"/>
                <w:color w:val="auto"/>
              </w:rPr>
            </w:pPr>
          </w:p>
        </w:tc>
        <w:tc>
          <w:tcPr>
            <w:tcW w:w="424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35"/>
              <w:spacing w:after="0" w:line="158" w:lineRule="exact"/>
              <w:rPr>
                <w:sz w:val="20"/>
                <w:szCs w:val="20"/>
                <w:color w:val="auto"/>
              </w:rPr>
            </w:pPr>
            <w:r>
              <w:rPr>
                <w:rFonts w:ascii="Times New Roman" w:cs="Times New Roman" w:eastAsia="Times New Roman" w:hAnsi="Times New Roman"/>
                <w:sz w:val="14"/>
                <w:szCs w:val="14"/>
                <w:b w:val="1"/>
                <w:bCs w:val="1"/>
                <w:color w:val="auto"/>
              </w:rPr>
              <w:t>Share</w:t>
            </w:r>
          </w:p>
        </w:tc>
        <w:tc>
          <w:tcPr>
            <w:tcW w:w="36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40" w:type="dxa"/>
            <w:vAlign w:val="bottom"/>
            <w:tcBorders>
              <w:top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Series B</w:t>
            </w:r>
          </w:p>
        </w:tc>
        <w:tc>
          <w:tcPr>
            <w:tcW w:w="4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May 20, 2015</w:t>
            </w:r>
          </w:p>
        </w:tc>
        <w:tc>
          <w:tcPr>
            <w:tcW w:w="3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May 19, 2025</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1.18</w:t>
            </w: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118</w:t>
            </w:r>
          </w:p>
        </w:tc>
        <w:tc>
          <w:tcPr>
            <w:tcW w:w="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292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Series D</w:t>
            </w:r>
          </w:p>
        </w:tc>
        <w:tc>
          <w:tcPr>
            <w:tcW w:w="4240" w:type="dxa"/>
            <w:vAlign w:val="bottom"/>
          </w:tcPr>
          <w:p>
            <w:pPr>
              <w:spacing w:after="0"/>
              <w:rPr>
                <w:sz w:val="18"/>
                <w:szCs w:val="18"/>
                <w:color w:val="auto"/>
              </w:rPr>
            </w:pP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May 18, 2020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18, 2030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4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August 29, 2017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29, 2027</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gridSpan w:val="4"/>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7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Stock Series</w:t>
            </w:r>
          </w:p>
        </w:tc>
        <w:tc>
          <w:tcPr>
            <w:tcW w:w="4240" w:type="dxa"/>
            <w:vAlign w:val="bottom"/>
          </w:tcPr>
          <w:p>
            <w:pPr>
              <w:spacing w:after="0"/>
              <w:rPr>
                <w:sz w:val="10"/>
                <w:szCs w:val="10"/>
                <w:color w:val="auto"/>
              </w:rPr>
            </w:pPr>
          </w:p>
        </w:tc>
        <w:tc>
          <w:tcPr>
            <w:tcW w:w="16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Date Issued</w:t>
            </w:r>
          </w:p>
        </w:tc>
        <w:tc>
          <w:tcPr>
            <w:tcW w:w="1240" w:type="dxa"/>
            <w:vAlign w:val="bottom"/>
            <w:vMerge w:val="restart"/>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960" w:type="dxa"/>
            <w:vAlign w:val="bottom"/>
            <w:gridSpan w:val="3"/>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Price Per</w:t>
            </w:r>
          </w:p>
        </w:tc>
        <w:tc>
          <w:tcPr>
            <w:tcW w:w="1040" w:type="dxa"/>
            <w:vAlign w:val="bottom"/>
            <w:gridSpan w:val="2"/>
          </w:tcPr>
          <w:p>
            <w:pPr>
              <w:jc w:val="center"/>
              <w:ind w:left="259"/>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360" w:type="dxa"/>
            <w:vAlign w:val="bottom"/>
          </w:tcPr>
          <w:p>
            <w:pPr>
              <w:spacing w:after="0"/>
              <w:rPr>
                <w:sz w:val="10"/>
                <w:szCs w:val="10"/>
                <w:color w:val="auto"/>
              </w:rPr>
            </w:pPr>
          </w:p>
        </w:tc>
        <w:tc>
          <w:tcPr>
            <w:tcW w:w="7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vMerge w:val="continue"/>
          </w:tcPr>
          <w:p>
            <w:pPr>
              <w:spacing w:after="0"/>
              <w:rPr>
                <w:sz w:val="15"/>
                <w:szCs w:val="15"/>
                <w:color w:val="auto"/>
              </w:rPr>
            </w:pPr>
          </w:p>
        </w:tc>
        <w:tc>
          <w:tcPr>
            <w:tcW w:w="424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35"/>
              <w:spacing w:after="0" w:line="158" w:lineRule="exact"/>
              <w:rPr>
                <w:sz w:val="20"/>
                <w:szCs w:val="20"/>
                <w:color w:val="auto"/>
              </w:rPr>
            </w:pPr>
            <w:r>
              <w:rPr>
                <w:rFonts w:ascii="Times New Roman" w:cs="Times New Roman" w:eastAsia="Times New Roman" w:hAnsi="Times New Roman"/>
                <w:sz w:val="14"/>
                <w:szCs w:val="14"/>
                <w:b w:val="1"/>
                <w:bCs w:val="1"/>
                <w:color w:val="auto"/>
              </w:rPr>
              <w:t>Share</w:t>
            </w:r>
          </w:p>
        </w:tc>
        <w:tc>
          <w:tcPr>
            <w:tcW w:w="36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40" w:type="dxa"/>
            <w:vAlign w:val="bottom"/>
            <w:tcBorders>
              <w:top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Series B</w:t>
            </w:r>
          </w:p>
        </w:tc>
        <w:tc>
          <w:tcPr>
            <w:tcW w:w="4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May 20, 2015</w:t>
            </w:r>
          </w:p>
        </w:tc>
        <w:tc>
          <w:tcPr>
            <w:tcW w:w="3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May 19, 2025</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1.18</w:t>
            </w: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118</w:t>
            </w:r>
          </w:p>
        </w:tc>
        <w:tc>
          <w:tcPr>
            <w:tcW w:w="38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273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Series D</w:t>
            </w:r>
          </w:p>
        </w:tc>
        <w:tc>
          <w:tcPr>
            <w:tcW w:w="4240" w:type="dxa"/>
            <w:vAlign w:val="bottom"/>
          </w:tcPr>
          <w:p>
            <w:pPr>
              <w:spacing w:after="0"/>
              <w:rPr>
                <w:sz w:val="18"/>
                <w:szCs w:val="18"/>
                <w:color w:val="auto"/>
              </w:rPr>
            </w:pP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May 18, 2020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18, 2030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4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August 29, 2017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29, 2027</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In August 2017, the Company issued warrants to purchase common stock in conjunction with a loan and security agreement with Silicon Valley Bank (“SVB”). The number of shares that the holder may purchase is equal to 43,420 and is related to a borrowing under the agreement. The warrants will be automatically exercised under the cashless exercise method upon the expiration date of each respective warrant or upon a cash or public acquisition. The warrants issued allow SVB to acquire shares of common stock at an exercise price of $3.24 per share and expire ten years after issuance. These warrants were concluded to be liabilities accounted for at fair value, using the Black-Scholes pricing model, on the date of issuance with subsequent remeasurements recorded in earnings. The fair value on the date of issuance was recorded as warrant liabilities and debt discount. The debt discount was fully amortized upon the debt being repaid in May 2020. The change in fair value for the years ended December 31, 2023 and 2024 was a loss of $0.1 million and a gain of less than $0.1 million, respectively.</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080"/>
          </w:cols>
          <w:pgMar w:left="320" w:top="451" w:right="49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 Warrants</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In September 2013, the Company issued warrants to purchase a total of 112,316 shares of Series A redeemable convertible preferred stock at an exercise price of $0.5342 per share in conjunction with a loan and security agreement with SVB. The terms of the warrants provided that the warrants would automatically exercise under the cashless exercise method upon the expiration date. These warrants were concluded to be a liability accounted for at fair value, using the Black-Scholes pricing model, on the date of issuance with subsequent remeasurements recorded in earnings. The fair value of these warrants was recorded as warrant liabilities and debt discount upon issuance. The debt discount was fully amortized upon the debt being repaid in May 2014. The change in fair value of the warrant liabilities for each of the years ended December 31, 2023 and 2024 was a loss of $0.1 million. Upon expiration of the warrant in September 2023, the warrants were automatically exercised under the cashless exercise method into 89,503 shares of Series A redeemable convertible preferred stock.</w:t>
      </w:r>
    </w:p>
    <w:p>
      <w:pPr>
        <w:spacing w:after="0" w:line="185" w:lineRule="exact"/>
        <w:rPr>
          <w:sz w:val="20"/>
          <w:szCs w:val="20"/>
          <w:color w:val="auto"/>
        </w:rPr>
      </w:pPr>
    </w:p>
    <w:p>
      <w:pPr>
        <w:jc w:val="both"/>
        <w:ind w:left="180" w:right="20" w:firstLine="436"/>
        <w:spacing w:after="0" w:line="252" w:lineRule="auto"/>
        <w:rPr>
          <w:sz w:val="20"/>
          <w:szCs w:val="20"/>
          <w:color w:val="auto"/>
        </w:rPr>
      </w:pPr>
      <w:r>
        <w:rPr>
          <w:rFonts w:ascii="Times New Roman" w:cs="Times New Roman" w:eastAsia="Times New Roman" w:hAnsi="Times New Roman"/>
          <w:sz w:val="18"/>
          <w:szCs w:val="18"/>
          <w:color w:val="auto"/>
        </w:rPr>
        <w:t>In May 2015, the Company issued warrants to purchase a total of 118,363 shares of Series B redeemable convertible preferred stock at an exercise price of $1.1828 per share in conjunction with other borrowings under the loan and security agreement with SVB discussed above. These warrants will be automatically exercised under the cashless exercise method upon the expiration date of each respective warrant or upon a cash or public acquisition. These warrants were concluded to be a liability accounted for at fair value, using the Black-Scholes pricing model, on the date of issuance with subsequent remeasurements recorded in earnings. The fair value of these warrants was recorded as warrant liabilities and debt discount upon issuance. The debt discount was fully amortized upon the debt being repaid in August 2017. The change in fair value for the years ended December 31, 2023 and 2024 was a loss of $0.1 million and a gain of less than $0.1 million, respectively.</w:t>
      </w:r>
    </w:p>
    <w:p>
      <w:pPr>
        <w:spacing w:after="0" w:line="18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In May 2020, the Company issued warrants to purchase a total of 660,000 shares of Series D redeemable convertible preferred stock at an exercise price of $5.0365 per share in conjunction with the Perceptive Credit Agreement (refer to Note 6 for additional information). These warrants will be automatically exercised under the cashless exercise method upon the expiration date of the warrant, upon completion of a Qualified Initial Public Offering, or upon an acquisition of the Company. These warrants were concluded to be a liability accounted for at fair value, using the Black-Scholes pricing model, on the date of issuance with subsequent remeasurements recorded in earnings. The fair value of these warrants was recorded as warrant liabilities and debt discount upon issuance. The debt discount of $0.1 million was amortized for the year ended December 31, 2023, and the debt discount was fully amortized upon the debt being repaid in June 2023. The change in fair value for the years ended December 31, 2023 and 2024 was a loss of $0.7 million and a gain of $0.2 million, respectively.</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12. Share-Based Compensation</w:t>
      </w:r>
    </w:p>
    <w:p>
      <w:pPr>
        <w:spacing w:after="0" w:line="224" w:lineRule="exact"/>
        <w:rPr>
          <w:sz w:val="20"/>
          <w:szCs w:val="20"/>
          <w:color w:val="auto"/>
        </w:rPr>
      </w:pPr>
    </w:p>
    <w:p>
      <w:pPr>
        <w:jc w:val="both"/>
        <w:ind w:left="180" w:right="20" w:firstLine="436"/>
        <w:spacing w:after="0" w:line="308" w:lineRule="auto"/>
        <w:rPr>
          <w:sz w:val="20"/>
          <w:szCs w:val="20"/>
          <w:color w:val="auto"/>
        </w:rPr>
      </w:pPr>
      <w:r>
        <w:rPr>
          <w:rFonts w:ascii="Times New Roman" w:cs="Times New Roman" w:eastAsia="Times New Roman" w:hAnsi="Times New Roman"/>
          <w:sz w:val="17"/>
          <w:szCs w:val="17"/>
          <w:color w:val="auto"/>
        </w:rPr>
        <w:t>The Company measures compensation expense for all share-based payment awards based on the estimated fair values on the date of the grant. The fair value of stock options granted with standard 90-day post-termination exercise periods is estimated using the Black-Scholes option pricing model.</w:t>
      </w:r>
    </w:p>
    <w:p>
      <w:pPr>
        <w:spacing w:after="0" w:line="1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weighted-average assumptions were used to calculate the fair value of employee option grants: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5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0"/>
        </w:trPr>
        <w:tc>
          <w:tcPr>
            <w:tcW w:w="3520" w:type="dxa"/>
            <w:vAlign w:val="bottom"/>
            <w:tcBorders>
              <w:bottom w:val="single" w:sz="8" w:color="CCEEFF"/>
            </w:tcBorders>
          </w:tcPr>
          <w:p>
            <w:pPr>
              <w:spacing w:after="0"/>
              <w:rPr>
                <w:sz w:val="12"/>
                <w:szCs w:val="12"/>
                <w:color w:val="auto"/>
              </w:rPr>
            </w:pPr>
          </w:p>
        </w:tc>
        <w:tc>
          <w:tcPr>
            <w:tcW w:w="454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gridSpan w:val="2"/>
          </w:tcPr>
          <w:p>
            <w:pPr>
              <w:jc w:val="right"/>
              <w:ind w:right="435"/>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gridSpan w:val="2"/>
          </w:tcPr>
          <w:p>
            <w:pPr>
              <w:jc w:val="right"/>
              <w:ind w:right="431"/>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7"/>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5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0%</w:t>
            </w:r>
          </w:p>
        </w:tc>
      </w:tr>
      <w:tr>
        <w:trPr>
          <w:trHeight w:val="21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- 4.93%</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- 4.48%</w:t>
            </w:r>
          </w:p>
        </w:tc>
      </w:tr>
      <w:tr>
        <w:trPr>
          <w:trHeight w:val="214"/>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- 68%</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- 69%</w:t>
            </w:r>
          </w:p>
        </w:tc>
      </w:tr>
      <w:tr>
        <w:trPr>
          <w:trHeight w:val="23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- 6.06</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- 6.05</w:t>
            </w:r>
          </w:p>
        </w:tc>
      </w:tr>
      <w:tr>
        <w:trPr>
          <w:trHeight w:val="342"/>
        </w:trPr>
        <w:tc>
          <w:tcPr>
            <w:tcW w:w="3520" w:type="dxa"/>
            <w:vAlign w:val="bottom"/>
          </w:tcPr>
          <w:p>
            <w:pPr>
              <w:spacing w:after="0"/>
              <w:rPr>
                <w:sz w:val="24"/>
                <w:szCs w:val="24"/>
                <w:color w:val="auto"/>
              </w:rPr>
            </w:pPr>
          </w:p>
        </w:tc>
        <w:tc>
          <w:tcPr>
            <w:tcW w:w="5140" w:type="dxa"/>
            <w:vAlign w:val="bottom"/>
            <w:gridSpan w:val="2"/>
          </w:tcPr>
          <w:p>
            <w:pPr>
              <w:jc w:val="right"/>
              <w:ind w:right="2960"/>
              <w:spacing w:after="0"/>
              <w:rPr>
                <w:sz w:val="20"/>
                <w:szCs w:val="20"/>
                <w:color w:val="auto"/>
              </w:rPr>
            </w:pPr>
            <w:r>
              <w:rPr>
                <w:rFonts w:ascii="Times New Roman" w:cs="Times New Roman" w:eastAsia="Times New Roman" w:hAnsi="Times New Roman"/>
                <w:sz w:val="18"/>
                <w:szCs w:val="18"/>
                <w:color w:val="auto"/>
              </w:rPr>
              <w:t>F-32</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080"/>
          </w:cols>
          <w:pgMar w:left="320" w:top="452" w:right="49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A summary of share-based compensation expense recognized in the consolidated statements of operations and comprehensive loss is as follows (in thousands):</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98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0"/>
        </w:trPr>
        <w:tc>
          <w:tcPr>
            <w:tcW w:w="20" w:type="dxa"/>
            <w:vAlign w:val="bottom"/>
          </w:tcPr>
          <w:p>
            <w:pPr>
              <w:spacing w:after="0"/>
              <w:rPr>
                <w:sz w:val="12"/>
                <w:szCs w:val="12"/>
                <w:color w:val="auto"/>
              </w:rPr>
            </w:pPr>
          </w:p>
        </w:tc>
        <w:tc>
          <w:tcPr>
            <w:tcW w:w="5880" w:type="dxa"/>
            <w:vAlign w:val="bottom"/>
            <w:tcBorders>
              <w:bottom w:val="single" w:sz="8" w:color="CCEEFF"/>
            </w:tcBorders>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600" w:type="dxa"/>
            <w:vAlign w:val="bottom"/>
            <w:tcBorders>
              <w:top w:val="single" w:sz="8" w:color="auto"/>
              <w:bottom w:val="single" w:sz="8" w:color="auto"/>
            </w:tcBorders>
          </w:tcPr>
          <w:p>
            <w:pPr>
              <w:jc w:val="right"/>
              <w:ind w:right="154"/>
              <w:spacing w:after="0" w:line="141" w:lineRule="exact"/>
              <w:rPr>
                <w:sz w:val="20"/>
                <w:szCs w:val="20"/>
                <w:color w:val="auto"/>
              </w:rPr>
            </w:pPr>
            <w:r>
              <w:rPr>
                <w:rFonts w:ascii="Times New Roman" w:cs="Times New Roman" w:eastAsia="Times New Roman" w:hAnsi="Times New Roman"/>
                <w:sz w:val="14"/>
                <w:szCs w:val="14"/>
                <w:b w:val="1"/>
                <w:bCs w:val="1"/>
                <w:color w:val="auto"/>
                <w:w w:val="80"/>
              </w:rPr>
              <w:t>2023 </w:t>
            </w:r>
          </w:p>
        </w:tc>
        <w:tc>
          <w:tcPr>
            <w:tcW w:w="2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ind w:left="12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600" w:type="dxa"/>
            <w:vAlign w:val="bottom"/>
            <w:tcBorders>
              <w:top w:val="single" w:sz="8" w:color="auto"/>
              <w:bottom w:val="single" w:sz="8" w:color="auto"/>
            </w:tcBorders>
          </w:tcPr>
          <w:p>
            <w:pPr>
              <w:jc w:val="right"/>
              <w:ind w:right="154"/>
              <w:spacing w:after="0" w:line="141" w:lineRule="exact"/>
              <w:rPr>
                <w:sz w:val="20"/>
                <w:szCs w:val="20"/>
                <w:color w:val="auto"/>
              </w:rPr>
            </w:pPr>
            <w:r>
              <w:rPr>
                <w:rFonts w:ascii="Times New Roman" w:cs="Times New Roman" w:eastAsia="Times New Roman" w:hAnsi="Times New Roman"/>
                <w:sz w:val="14"/>
                <w:szCs w:val="14"/>
                <w:b w:val="1"/>
                <w:bCs w:val="1"/>
                <w:color w:val="auto"/>
                <w:w w:val="80"/>
              </w:rPr>
              <w:t>2024 </w:t>
            </w:r>
          </w:p>
        </w:tc>
        <w:tc>
          <w:tcPr>
            <w:tcW w:w="60" w:type="dxa"/>
            <w:vAlign w:val="bottom"/>
            <w:tcBorders>
              <w:bottom w:val="single" w:sz="8" w:color="CCEEFF"/>
            </w:tcBorders>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cost of revenue</w:t>
            </w:r>
          </w:p>
        </w:tc>
        <w:tc>
          <w:tcPr>
            <w:tcW w:w="3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6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3240" w:type="dxa"/>
            <w:vAlign w:val="bottom"/>
            <w:gridSpan w:val="2"/>
            <w:shd w:val="clear" w:color="auto" w:fill="CCEEFF"/>
          </w:tcPr>
          <w:p>
            <w:pPr>
              <w:ind w:left="3020"/>
              <w:spacing w:after="0"/>
              <w:rPr>
                <w:sz w:val="20"/>
                <w:szCs w:val="20"/>
                <w:color w:val="auto"/>
              </w:rPr>
            </w:pPr>
            <w:r>
              <w:rPr>
                <w:rFonts w:ascii="Times New Roman" w:cs="Times New Roman" w:eastAsia="Times New Roman" w:hAnsi="Times New Roman"/>
                <w:sz w:val="18"/>
                <w:szCs w:val="18"/>
                <w:color w:val="auto"/>
              </w:rPr>
              <w:t xml:space="preserve">$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8,740</w:t>
            </w:r>
          </w:p>
        </w:tc>
        <w:tc>
          <w:tcPr>
            <w:tcW w:w="5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9,420</w:t>
            </w: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Company capitalized $0.1 million and $0.1 million of share-based compensation expense related to internal-use software development costs during the years ended December 31, 2023 and 2024, respectively.</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2011 Stock Plan</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Company primarily grants share-based compensation awards under its amended 2011 Equity Incentive Plan (as amended, the “2011 Plan”). The 2011 Plan provides for the granting of incentive and nonqualified stock options, awards of Company common stock, and rights to purchase shares of Company common stock to qualified employees and consultants of the Company, its parents, or subsidiaries and non-employee directors of the Company. Stock options granted under the 2011 Plan generally expire within ten years from the date of grant, vest over four years, and are exercisable for shares of the Company’s common stock.</w:t>
      </w:r>
    </w:p>
    <w:p>
      <w:pPr>
        <w:spacing w:after="0" w:line="18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In January 2018, the Company amended the 2011 Plan to extend the post-termination exercise period beyond the traditional 90-days based on tenure of the employee at the date of termination whereas service providers with a tenure of three years of employment or other service, as applicable, may exercise stock options for a period of up to two years from the date of termination, service providers with a tenure of four years of employment or other service may exercise stock options for a period of up to three years from the date of termination, and service providers with a tenure of five years or more may exercise stock options for a period of up to four years from the date of termination. In December 2021, the Company amended the 2011 Plan to remove extended post-termination exercise periods and revert to the traditional 90-day period for future stock option grants.</w:t>
      </w:r>
    </w:p>
    <w:p>
      <w:pPr>
        <w:spacing w:after="0" w:line="187"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As of December 31, 2023 and 2024, the maximum aggregate number of shares that may be issued pursuant to awards under the 2011 Plan was 16.1 million and 18.4 million, respectively, of which 2.6 million and 3.3 million shares remained available to be issued under the 2011 Plan, respectively.</w:t>
      </w:r>
    </w:p>
    <w:p>
      <w:pPr>
        <w:spacing w:after="0" w:line="1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080"/>
          </w:cols>
          <w:pgMar w:left="320" w:top="451" w:right="49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 summary of stock option award activity under the 2011 Plan is as follows (in thousands, except years and per-share data):</w:t>
      </w:r>
    </w:p>
    <w:p>
      <w:pPr>
        <w:spacing w:after="0" w:line="22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gridSpan w:val="3"/>
          </w:tcPr>
          <w:p>
            <w:pPr>
              <w:jc w:val="center"/>
              <w:ind w:left="155"/>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4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140" w:type="dxa"/>
            <w:vAlign w:val="bottom"/>
            <w:gridSpan w:val="4"/>
            <w:vMerge w:val="restart"/>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62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80" w:type="dxa"/>
            <w:vAlign w:val="bottom"/>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80" w:type="dxa"/>
            <w:vAlign w:val="bottom"/>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460" w:type="dxa"/>
            <w:vAlign w:val="bottom"/>
          </w:tcPr>
          <w:p>
            <w:pPr>
              <w:spacing w:after="0"/>
              <w:rPr>
                <w:sz w:val="12"/>
                <w:szCs w:val="12"/>
                <w:color w:val="auto"/>
              </w:rPr>
            </w:pPr>
          </w:p>
        </w:tc>
        <w:tc>
          <w:tcPr>
            <w:tcW w:w="680" w:type="dxa"/>
            <w:vAlign w:val="bottom"/>
            <w:gridSpan w:val="3"/>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2022</w:t>
            </w:r>
          </w:p>
        </w:tc>
        <w:tc>
          <w:tcPr>
            <w:tcW w:w="15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9,573</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4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Canceled and forfeited</w:t>
            </w:r>
          </w:p>
        </w:tc>
        <w:tc>
          <w:tcPr>
            <w:tcW w:w="15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25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10,216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   6.48</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Canceled and forfeited</w:t>
            </w:r>
          </w:p>
        </w:tc>
        <w:tc>
          <w:tcPr>
            <w:tcW w:w="15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158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and exercisable as of December 31, 2023</w:t>
            </w:r>
          </w:p>
        </w:tc>
        <w:tc>
          <w:tcPr>
            <w:tcW w:w="2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4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28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as of December 31, 2024</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When stock options are exercised, the Company’s policy is to issue previously unissued shares of common stock. The intrinsic value of a stock option is calculated as the difference between the per-share exercise price of the underlying stock option and the estimated per-share fair value of the Company’s common stock at the measurement date. The total intrinsic values of stock options exercised during the years ended December 31, 2023 and 2024 was $1.2 million and $3.2 million, respectively.</w:t>
      </w:r>
    </w:p>
    <w:p>
      <w:pPr>
        <w:spacing w:after="0" w:line="182"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The weighted-average grant-date fair value of stock options granted during the years ended December 31, 2023 and 2024 was $4.31 and $5.93 per share, respectively. The total grant date fair value of stock options vested during the years ended December 31, 2023 and 2024 was $8.2 million and $8.3 million, respectively.</w:t>
      </w:r>
    </w:p>
    <w:p>
      <w:pPr>
        <w:spacing w:after="0" w:line="177"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As of December 31, 2023 and 2024, there was approximately $15.9 million and $17.3 million, respectively, of total unrecognized compensation cost related to unvested stock options, which is expected to be recognized over the weighted-average period of 2.6 years and 2.6 years, respectively, using the straight-line method.</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Secondary Stock Transactions</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During the years ended December 31, 2023 and 2024, certain former employees sold 0.5 million and 0.5 million shares, respectively, of the Company’s common stock at a purchase price in excess of the then-current fair market value to existing investors of the Company. As a result, during the years ended December 31, 2023 and 2024, the Company recorded a total of $1.4 million and $1.1 million, respectively, in share-based compensation expense for the excess of the purchase price paid by these investors over the fair value of shares sold.</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13. Related Party</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Commercial Arrangements with Cigna and its Affiliates</w:t>
      </w:r>
    </w:p>
    <w:p>
      <w:pPr>
        <w:spacing w:after="0" w:line="224" w:lineRule="exact"/>
        <w:rPr>
          <w:sz w:val="20"/>
          <w:szCs w:val="20"/>
          <w:color w:val="auto"/>
        </w:rPr>
      </w:pPr>
    </w:p>
    <w:p>
      <w:pPr>
        <w:jc w:val="both"/>
        <w:ind w:left="180" w:firstLine="436"/>
        <w:spacing w:after="0" w:line="285" w:lineRule="auto"/>
        <w:rPr>
          <w:sz w:val="20"/>
          <w:szCs w:val="20"/>
          <w:color w:val="auto"/>
        </w:rPr>
      </w:pPr>
      <w:r>
        <w:rPr>
          <w:rFonts w:ascii="Times New Roman" w:cs="Times New Roman" w:eastAsia="Times New Roman" w:hAnsi="Times New Roman"/>
          <w:sz w:val="17"/>
          <w:szCs w:val="17"/>
          <w:color w:val="auto"/>
        </w:rPr>
        <w:t>The Company’s customers, channel partners, and vendors include affiliates of The Cigna Group, which beneficially owns more than 5% of the Company’s outstanding capital stock through Cigna Ventures, LLC. The Company has entered into agreements with these affiliates that, among other things, provide for the provision of the Company’s programs to eligible individuals covered by these affiliates and, in certain cases, for the provision of</w:t>
      </w:r>
    </w:p>
    <w:p>
      <w:pPr>
        <w:spacing w:after="0" w:line="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080"/>
          </w:cols>
          <w:pgMar w:left="320" w:top="451" w:right="49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services by such affiliates in connection with the administration of the Company’s programs. The Company also has agreements with these affiliates for the provision of certain benefits provided to the Company’s employees. Pursuant to these agreements, in addition to the amounts disclosed in the consolidated balance sheets, consolidated statements of operations and comprehensive loss, and consolidated statements of cash flows, affiliates of The Cigna Group made payments to the Company of $63.3 million and $89.9 million during the years ended December 31, 2023 and 2024, respectively. Additionally, the Company made payments to affiliates of The Cigna Group of $13.1 million and $17.2 million during the years ended December 31, 2023 and 2024, respectively.</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224"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The Company has one operating and reportable segment, which includes all virtual care program product offerings. The CODM manages the allocation of resources and assesses performance at the operating segment level.</w:t>
      </w:r>
    </w:p>
    <w:p>
      <w:pPr>
        <w:spacing w:after="0" w:line="16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CODM reviews information presented on a consolidated basis for purposes of making operating decisions, assessing financial performance, and allocating resources. The CODM assesses performance and decides how to allocate resources based on components reported on the consolidated statement of operations including consolidated net loss. The CODM uses net loss to evaluate the return on assets and to determine investment opportunities related to development of new virtual care service offerings, new technologies, and platform enhancements. The CODM also uses net loss to monitor budget versus actual results.</w:t>
      </w:r>
    </w:p>
    <w:p>
      <w:pPr>
        <w:spacing w:after="0" w:line="183"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The Company’s segment net loss and significant expenses for the years ended December 31, 2023 and 2024, consisted of the following (in thousands):</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7"/>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0"/>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8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1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040" w:type="dxa"/>
            <w:vAlign w:val="bottom"/>
            <w:tcBorders>
              <w:top w:val="single" w:sz="8" w:color="auto"/>
            </w:tcBorders>
            <w:gridSpan w:val="2"/>
          </w:tcPr>
          <w:p>
            <w:pPr>
              <w:jc w:val="right"/>
              <w:ind w:right="5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1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740" w:type="dxa"/>
            <w:vAlign w:val="bottom"/>
            <w:tcBorders>
              <w:top w:val="single" w:sz="8" w:color="auto"/>
            </w:tcBorders>
          </w:tcPr>
          <w:p>
            <w:pPr>
              <w:jc w:val="right"/>
              <w:ind w:right="134"/>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140" w:type="dxa"/>
            <w:vAlign w:val="bottom"/>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122,784</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169,800</w:t>
            </w:r>
          </w:p>
        </w:tc>
        <w:tc>
          <w:tcPr>
            <w:tcW w:w="140" w:type="dxa"/>
            <w:vAlign w:val="bottom"/>
            <w:tcBorders>
              <w:top w:val="single" w:sz="8" w:color="CCEEFF"/>
            </w:tcBorders>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96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Cost of revenue</w:t>
            </w:r>
            <w:r>
              <w:rPr>
                <w:rFonts w:ascii="Times New Roman" w:cs="Times New Roman" w:eastAsia="Times New Roman" w:hAnsi="Times New Roman"/>
                <w:sz w:val="24"/>
                <w:szCs w:val="24"/>
                <w:color w:val="auto"/>
                <w:vertAlign w:val="superscript"/>
              </w:rPr>
              <w:t>(1)</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66,923</w:t>
            </w:r>
          </w:p>
        </w:tc>
        <w:tc>
          <w:tcPr>
            <w:tcW w:w="1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96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Employee compensation</w:t>
            </w:r>
            <w:r>
              <w:rPr>
                <w:rFonts w:ascii="Times New Roman" w:cs="Times New Roman" w:eastAsia="Times New Roman" w:hAnsi="Times New Roman"/>
                <w:sz w:val="24"/>
                <w:szCs w:val="24"/>
                <w:color w:val="auto"/>
                <w:vertAlign w:val="superscript"/>
              </w:rPr>
              <w:t>(2)</w:t>
            </w:r>
          </w:p>
        </w:tc>
        <w:tc>
          <w:tcPr>
            <w:tcW w:w="3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111,221</w:t>
            </w:r>
          </w:p>
        </w:tc>
        <w:tc>
          <w:tcPr>
            <w:tcW w:w="14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496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4"/>
                <w:szCs w:val="24"/>
                <w:color w:val="auto"/>
                <w:vertAlign w:val="superscript"/>
              </w:rPr>
              <w:t>(3)</w:t>
            </w:r>
          </w:p>
        </w:tc>
        <w:tc>
          <w:tcPr>
            <w:tcW w:w="3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38,793</w:t>
            </w:r>
          </w:p>
        </w:tc>
        <w:tc>
          <w:tcPr>
            <w:tcW w:w="14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(67,511)</w:t>
            </w:r>
          </w:p>
        </w:tc>
        <w:tc>
          <w:tcPr>
            <w:tcW w:w="44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(47,137)</w:t>
            </w: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93345</wp:posOffset>
            </wp:positionV>
            <wp:extent cx="75501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58" w:lineRule="exact"/>
        <w:rPr>
          <w:sz w:val="20"/>
          <w:szCs w:val="20"/>
          <w:color w:val="auto"/>
        </w:rPr>
      </w:pPr>
    </w:p>
    <w:p>
      <w:pPr>
        <w:ind w:left="600" w:hanging="426"/>
        <w:spacing w:after="0"/>
        <w:tabs>
          <w:tab w:leader="none" w:pos="60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included in cost of revenue was $3.8 million and $4.2 million for the years ended December 31, 2023 and 2024, respectively.</w:t>
      </w:r>
    </w:p>
    <w:p>
      <w:pPr>
        <w:spacing w:after="0" w:line="1" w:lineRule="exact"/>
        <w:rPr>
          <w:rFonts w:ascii="Times New Roman" w:cs="Times New Roman" w:eastAsia="Times New Roman" w:hAnsi="Times New Roman"/>
          <w:sz w:val="14"/>
          <w:szCs w:val="14"/>
          <w:color w:val="auto"/>
        </w:rPr>
      </w:pPr>
    </w:p>
    <w:p>
      <w:pPr>
        <w:ind w:left="600" w:right="20" w:hanging="426"/>
        <w:spacing w:after="0" w:line="219" w:lineRule="auto"/>
        <w:tabs>
          <w:tab w:leader="none" w:pos="60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compensation is part of research and development, sales and marketing and general and administrative expenses and included salaries, share-based compensation expense, sales commissions, employee bonuses, benefits, and other employee-related expenses.</w:t>
      </w:r>
    </w:p>
    <w:p>
      <w:pPr>
        <w:ind w:left="600" w:hanging="426"/>
        <w:spacing w:after="0"/>
        <w:tabs>
          <w:tab w:leader="none" w:pos="60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included third-party consulting and professional services, software and infrastructure, hosting, marketing and advertising, other income, and other expenses.</w:t>
      </w:r>
    </w:p>
    <w:p>
      <w:pPr>
        <w:spacing w:after="0" w:line="188"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All of the Company’s long-lived assets were located in the U.S., and all revenue was earned in the U.S. as of and for the years ended December 31, 2023 and 2024.</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The Company’s geographical distribution of its loss before provision for income taxes of $67.5 million and $47.1 million for the years ended December 31, 2023 and 2024, respectively, relates to the U.S. The Company did not record a provision for income tax expense or benefit for the years ended December 31, 2023 and 2024.</w:t>
      </w:r>
    </w:p>
    <w:p>
      <w:pPr>
        <w:spacing w:after="0" w:line="1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080"/>
          </w:cols>
          <w:pgMar w:left="320" w:top="451" w:right="49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effective tax rate differs from the U.S. federal statutory rate as follows: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64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304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40"/>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40"/>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rate</w:t>
            </w:r>
          </w:p>
        </w:tc>
        <w:tc>
          <w:tcPr>
            <w:tcW w:w="30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State tax</w:t>
            </w:r>
          </w:p>
        </w:tc>
        <w:tc>
          <w:tcPr>
            <w:tcW w:w="4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4.3%</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Credits</w:t>
            </w:r>
          </w:p>
        </w:tc>
        <w:tc>
          <w:tcPr>
            <w:tcW w:w="4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4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(0.3)%</w:t>
            </w:r>
          </w:p>
        </w:tc>
        <w:tc>
          <w:tcPr>
            <w:tcW w:w="1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0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(25.8)%</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0.0%</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Deferred income taxes reflect the net effects of temporary differences between the carrying amounts of assets and liabilities for financial reporting purposes and the amounts used for income tax purposes. The tax effects of the temporary differences and carryforwards that give rise to deferred tax assets and liabilities consists of the following (in thousands):</w:t>
      </w:r>
    </w:p>
    <w:p>
      <w:pPr>
        <w:spacing w:after="0" w:line="197"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080" w:type="dxa"/>
            <w:vAlign w:val="bottom"/>
            <w:tcBorders>
              <w:top w:val="single" w:sz="8" w:color="auto"/>
            </w:tcBorders>
            <w:gridSpan w:val="2"/>
          </w:tcPr>
          <w:p>
            <w:pPr>
              <w:jc w:val="right"/>
              <w:ind w:right="440"/>
              <w:spacing w:after="0" w:line="141" w:lineRule="exact"/>
              <w:rPr>
                <w:sz w:val="20"/>
                <w:szCs w:val="20"/>
                <w:color w:val="auto"/>
              </w:rPr>
            </w:pPr>
            <w:r>
              <w:rPr>
                <w:rFonts w:ascii="Times New Roman" w:cs="Times New Roman" w:eastAsia="Times New Roman" w:hAnsi="Times New Roman"/>
                <w:sz w:val="14"/>
                <w:szCs w:val="14"/>
                <w:b w:val="1"/>
                <w:bCs w:val="1"/>
                <w:color w:val="auto"/>
                <w:w w:val="98"/>
              </w:rPr>
              <w:t xml:space="preserve">   2023    </w:t>
            </w:r>
          </w:p>
        </w:tc>
        <w:tc>
          <w:tcPr>
            <w:tcW w:w="480" w:type="dxa"/>
            <w:vAlign w:val="bottom"/>
            <w:tcBorders>
              <w:top w:val="single" w:sz="8" w:color="auto"/>
            </w:tcBorders>
            <w:gridSpan w:val="2"/>
          </w:tcPr>
          <w:p>
            <w:pPr>
              <w:ind w:left="28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60" w:type="dxa"/>
            <w:vAlign w:val="bottom"/>
            <w:tcBorders>
              <w:top w:val="single" w:sz="8" w:color="auto"/>
            </w:tcBorders>
          </w:tcPr>
          <w:p>
            <w:pPr>
              <w:jc w:val="right"/>
              <w:ind w:right="32"/>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6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Deferred tax assets:</w:t>
            </w:r>
          </w:p>
        </w:tc>
        <w:tc>
          <w:tcPr>
            <w:tcW w:w="2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30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76,911</w:t>
            </w:r>
          </w:p>
        </w:tc>
        <w:tc>
          <w:tcPr>
            <w:tcW w:w="34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Credit carryforwards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Fixed assets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carryforwards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174 research and development capitalization</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accruals and reserves</w:t>
            </w:r>
          </w:p>
        </w:tc>
        <w:tc>
          <w:tcPr>
            <w:tcW w:w="2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108,361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(2,429)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costs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(2,125)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6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(4,844)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(5,358)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(103,517)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(116,494)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 net of valuation allowance</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In determining the need for a valuation allowance, the Company reviewed both positive and negative evidence pursuant to the requirements of ASC 740, Income Taxes, including current and historical results of operations, future income projections, and potential tax planning strategies. A significant piece of objective negative evidence evaluated was the cumulative loss incurred over the three-year period ended December 31, 2024. Such objective evidence limits the ability to consider other subjective evidence such as its projections for future growth. On the basis of this evaluation, as of December 31, 2023 and 2024, a full valuation allowance has been established.</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080"/>
          </w:cols>
          <w:pgMar w:left="320" w:top="451" w:right="49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A reconciliation of the beginning and ending amount of the Company’s valuation allowance during the years ended December 31, 2023 and 2024 is as follows (in thousands):</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
                <w:szCs w:val="1"/>
                <w:b w:val="1"/>
                <w:bCs w:val="1"/>
                <w:color w:val="auto"/>
                <w:w w:val="4294967291"/>
              </w:rPr>
              <w:t> </w:t>
            </w:r>
          </w:p>
        </w:tc>
        <w:tc>
          <w:tcPr>
            <w:tcW w:w="980" w:type="dxa"/>
            <w:vAlign w:val="bottom"/>
            <w:tcBorders>
              <w:top w:val="single" w:sz="8" w:color="auto"/>
            </w:tcBorders>
            <w:gridSpan w:val="2"/>
          </w:tcPr>
          <w:p>
            <w:pPr>
              <w:jc w:val="right"/>
              <w:ind w:right="340"/>
              <w:spacing w:after="0" w:line="141" w:lineRule="exact"/>
              <w:rPr>
                <w:sz w:val="20"/>
                <w:szCs w:val="20"/>
                <w:color w:val="auto"/>
              </w:rPr>
            </w:pPr>
            <w:r>
              <w:rPr>
                <w:rFonts w:ascii="Times New Roman" w:cs="Times New Roman" w:eastAsia="Times New Roman" w:hAnsi="Times New Roman"/>
                <w:sz w:val="14"/>
                <w:szCs w:val="14"/>
                <w:b w:val="1"/>
                <w:bCs w:val="1"/>
                <w:color w:val="auto"/>
                <w:w w:val="98"/>
              </w:rPr>
              <w:t xml:space="preserve">   2023    </w:t>
            </w:r>
          </w:p>
        </w:tc>
        <w:tc>
          <w:tcPr>
            <w:tcW w:w="300" w:type="dxa"/>
            <w:vAlign w:val="bottom"/>
            <w:tcBorders>
              <w:top w:val="single" w:sz="8" w:color="auto"/>
            </w:tcBorders>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Borders>
              <w:top w:val="single" w:sz="8" w:color="auto"/>
            </w:tcBorders>
          </w:tcPr>
          <w:p>
            <w:pPr>
              <w:jc w:val="right"/>
              <w:ind w:right="35"/>
              <w:spacing w:after="0" w:line="141" w:lineRule="exact"/>
              <w:rPr>
                <w:sz w:val="20"/>
                <w:szCs w:val="20"/>
                <w:color w:val="auto"/>
              </w:rPr>
            </w:pPr>
            <w:r>
              <w:rPr>
                <w:rFonts w:ascii="Times New Roman" w:cs="Times New Roman" w:eastAsia="Times New Roman" w:hAnsi="Times New Roman"/>
                <w:sz w:val="14"/>
                <w:szCs w:val="14"/>
                <w:b w:val="1"/>
                <w:bCs w:val="1"/>
                <w:color w:val="auto"/>
                <w:w w:val="98"/>
              </w:rPr>
              <w:t xml:space="preserve">   2024 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beginning of period</w:t>
            </w:r>
          </w:p>
        </w:tc>
        <w:tc>
          <w:tcPr>
            <w:tcW w:w="2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(17,183)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end of period</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(103,517)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of December 31, 2023 and 2024, the Company had tax net operating loss carryforwards and tax credit carryforwards as follows (in thousands):</w:t>
      </w:r>
    </w:p>
    <w:p>
      <w:pPr>
        <w:spacing w:after="0" w:line="25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57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0"/>
        </w:trPr>
        <w:tc>
          <w:tcPr>
            <w:tcW w:w="57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2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40" w:type="dxa"/>
            <w:vAlign w:val="bottom"/>
            <w:tcBorders>
              <w:top w:val="single" w:sz="8" w:color="auto"/>
            </w:tcBorders>
          </w:tcPr>
          <w:p>
            <w:pPr>
              <w:jc w:val="right"/>
              <w:ind w:right="37"/>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700" w:type="dxa"/>
            <w:vAlign w:val="bottom"/>
            <w:tcBorders>
              <w:top w:val="single" w:sz="8" w:color="auto"/>
            </w:tcBorders>
            <w:gridSpan w:val="2"/>
          </w:tcPr>
          <w:p>
            <w:pPr>
              <w:ind w:left="4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20" w:type="dxa"/>
            <w:vAlign w:val="bottom"/>
            <w:tcBorders>
              <w:top w:val="single" w:sz="8" w:color="auto"/>
            </w:tcBorders>
          </w:tcPr>
          <w:p>
            <w:pPr>
              <w:jc w:val="right"/>
              <w:ind w:right="15"/>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60" w:type="dxa"/>
            <w:vAlign w:val="bottom"/>
          </w:tcPr>
          <w:p>
            <w:pPr>
              <w:spacing w:after="0"/>
              <w:rPr>
                <w:sz w:val="12"/>
                <w:szCs w:val="12"/>
                <w:color w:val="auto"/>
              </w:rPr>
            </w:pPr>
          </w:p>
        </w:tc>
      </w:tr>
      <w:tr>
        <w:trPr>
          <w:trHeight w:val="207"/>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 federal</w:t>
            </w:r>
          </w:p>
        </w:tc>
        <w:tc>
          <w:tcPr>
            <w:tcW w:w="2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306,885</w:t>
            </w: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317,173</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 state</w:t>
            </w: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203,782</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206,626</w:t>
            </w:r>
          </w:p>
        </w:tc>
        <w:tc>
          <w:tcPr>
            <w:tcW w:w="60" w:type="dxa"/>
            <w:vAlign w:val="bottom"/>
          </w:tcPr>
          <w:p>
            <w:pPr>
              <w:spacing w:after="0"/>
              <w:rPr>
                <w:sz w:val="18"/>
                <w:szCs w:val="18"/>
                <w:color w:val="auto"/>
              </w:rPr>
            </w:pPr>
          </w:p>
        </w:tc>
      </w:tr>
      <w:tr>
        <w:trPr>
          <w:trHeight w:val="214"/>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 federal</w:t>
            </w:r>
          </w:p>
        </w:tc>
        <w:tc>
          <w:tcPr>
            <w:tcW w:w="2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10,616</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13,384</w:t>
            </w:r>
          </w:p>
        </w:tc>
        <w:tc>
          <w:tcPr>
            <w:tcW w:w="60" w:type="dxa"/>
            <w:vAlign w:val="bottom"/>
            <w:shd w:val="clear" w:color="auto" w:fill="CCEEFF"/>
          </w:tcPr>
          <w:p>
            <w:pPr>
              <w:spacing w:after="0"/>
              <w:rPr>
                <w:sz w:val="18"/>
                <w:szCs w:val="18"/>
                <w:color w:val="auto"/>
              </w:rPr>
            </w:pPr>
          </w:p>
        </w:tc>
      </w:tr>
      <w:tr>
        <w:trPr>
          <w:trHeight w:val="23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Tax credit, state</w:t>
            </w:r>
          </w:p>
        </w:tc>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60" w:type="dxa"/>
            <w:vAlign w:val="bottom"/>
          </w:tcPr>
          <w:p>
            <w:pPr>
              <w:spacing w:after="0"/>
              <w:rPr>
                <w:sz w:val="20"/>
                <w:szCs w:val="20"/>
                <w:color w:val="auto"/>
              </w:rPr>
            </w:pPr>
          </w:p>
        </w:tc>
      </w:tr>
    </w:tbl>
    <w:p>
      <w:pPr>
        <w:spacing w:after="0" w:line="176"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As of December 31, 2024, the Company had $317.2 million of federal and $206.6 million of state net operating loss carryforwards available to offset future taxable income. Carryforwards generated in tax years ended December 31, 2017 and prior will expire in varying amounts beginning in 2031 for federal and state purposes. Carryforwards generated in the tax year ended December 31, 2018 and future years do not expire for federal purposes.</w:t>
      </w:r>
    </w:p>
    <w:p>
      <w:pPr>
        <w:spacing w:after="0" w:line="182"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As of December 31, 2024, the Company had federal and state research and development tax credits of $13.4 million and $7.9 million, respectively. If not utilized, the federal research and development credits will expire in 2031. The California research and development credits can be carried forward indefinitely.</w:t>
      </w:r>
    </w:p>
    <w:p>
      <w:pPr>
        <w:spacing w:after="0" w:line="177"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The Company’s ability to utilize the net operating loss and tax credit carryforwards in the future may be subject to substantial restrictions in the event of past or future ownership changes as defined in Section 382 of the Internal Revenue Code and similar state tax laws. In the event the Company should experience an ownership change, as defined, utilization of its net operating loss carryforwards and tax credits could be limited.</w:t>
      </w:r>
    </w:p>
    <w:p>
      <w:pPr>
        <w:spacing w:after="0" w:line="177"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As of December 31, 2024, the total amount of unrecognized tax benefits, excluding interest, was $5.2 million, none of which would impact the effective tax rate if recognized. The Company’s policy is to include interest and penalties with its provision for income taxes. For the year ended December 31, 2024, the Company accrued less than $0.1 million in interest and penalties on its uncertain tax positions. The Company does not anticipate any significant changes to its unrecognized tax positions within the next twelve months.</w:t>
      </w:r>
    </w:p>
    <w:p>
      <w:pPr>
        <w:spacing w:after="0" w:line="182"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A reconciliation of the beginning and ending amount of the Company’s unrecognized tax benefits during the years ended December 31, 2023 and 2024 is as follows (in thousands):</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42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0"/>
        </w:trPr>
        <w:tc>
          <w:tcPr>
            <w:tcW w:w="42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4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000" w:type="dxa"/>
            <w:vAlign w:val="bottom"/>
            <w:tcBorders>
              <w:top w:val="single" w:sz="8" w:color="auto"/>
            </w:tcBorders>
            <w:gridSpan w:val="2"/>
          </w:tcPr>
          <w:p>
            <w:pPr>
              <w:jc w:val="right"/>
              <w:ind w:right="48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560" w:type="dxa"/>
            <w:vAlign w:val="bottom"/>
            <w:tcBorders>
              <w:top w:val="single" w:sz="8" w:color="auto"/>
            </w:tcBorders>
            <w:gridSpan w:val="2"/>
          </w:tcPr>
          <w:p>
            <w:pPr>
              <w:ind w:left="3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20" w:type="dxa"/>
            <w:vAlign w:val="bottom"/>
            <w:tcBorders>
              <w:top w:val="single" w:sz="8" w:color="auto"/>
            </w:tcBorders>
          </w:tcPr>
          <w:p>
            <w:pPr>
              <w:jc w:val="right"/>
              <w:ind w:right="15"/>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60" w:type="dxa"/>
            <w:vAlign w:val="bottom"/>
          </w:tcPr>
          <w:p>
            <w:pPr>
              <w:spacing w:after="0"/>
              <w:rPr>
                <w:sz w:val="12"/>
                <w:szCs w:val="12"/>
                <w:color w:val="auto"/>
              </w:rPr>
            </w:pPr>
          </w:p>
        </w:tc>
      </w:tr>
      <w:tr>
        <w:trPr>
          <w:trHeight w:val="207"/>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4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60" w:type="dxa"/>
            <w:vAlign w:val="bottom"/>
          </w:tcPr>
          <w:p>
            <w:pPr>
              <w:spacing w:after="0"/>
              <w:rPr>
                <w:sz w:val="18"/>
                <w:szCs w:val="18"/>
                <w:color w:val="auto"/>
              </w:rPr>
            </w:pPr>
          </w:p>
        </w:tc>
      </w:tr>
      <w:tr>
        <w:trPr>
          <w:trHeight w:val="21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Lapse of the applicable statute of limitations</w:t>
            </w:r>
          </w:p>
        </w:tc>
        <w:tc>
          <w:tcPr>
            <w:tcW w:w="4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4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6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5"/>
        </w:trPr>
        <w:tc>
          <w:tcPr>
            <w:tcW w:w="4240" w:type="dxa"/>
            <w:vAlign w:val="bottom"/>
          </w:tcPr>
          <w:p>
            <w:pPr>
              <w:spacing w:after="0"/>
              <w:rPr>
                <w:sz w:val="24"/>
                <w:szCs w:val="24"/>
                <w:color w:val="auto"/>
              </w:rPr>
            </w:pPr>
          </w:p>
        </w:tc>
        <w:tc>
          <w:tcPr>
            <w:tcW w:w="44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F-37</w:t>
            </w: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1" w:right="49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The Company is not currently under examination by the U.S. Internal Revenue Service (the “IRS”) or any other state, city, or local jurisdiction. The Company’s tax years from inception are subject to examination by the IRS and state taxing authorities due to the carryforward of unutilized net operating losses.</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16. Net Loss Per Share Attributable to Common Stockholders</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common share when shares are issued that meet the definition of participating securities. The two-class method determines net income (loss) per share of common stock and participating securities according to dividends declared or accumulated and participation rights in undistributed earnings. The two-class method requires income (loss) available to common stockholders for the period to be allocated between common stock and participating securities based upon their respective rights to receive dividends as if all income (loss) for the period had been distributed. The holders of the Company’s redeemable convertible preferred stock would be entitled to dividends in preference to common stockholders, at specified rates, if declared. Such dividends are not cumulative. Any remaining earnings would be distributed among the holders of redeemable convertible preferred stock and common stock pro rata on an as-converted basis. The holders of the Company’s redeemable convertible preferred stock are not contractually obligated to participate in the Company’s losses.</w:t>
      </w:r>
    </w:p>
    <w:p>
      <w:pPr>
        <w:spacing w:after="0" w:line="185"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common stockholders by the weighted-average number of shares of common stock outstanding during the period, less shares subject to repurchase. The diluted net loss per share is computed by giving effect to all potentially dilutive securities outstanding for the period using the treasury stock method or the if-converted method. For periods in which the Company reports net losses, diluted net loss per common share is the same as basic net loss per common share, because all potentially dilutive securities are anti-dilutive.</w:t>
      </w:r>
    </w:p>
    <w:p>
      <w:pPr>
        <w:spacing w:after="0" w:line="18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For the calculation of diluted net loss per share, net loss per share attributable to common stockholders for basic net loss per share is adjusted by the effect of dilutive securities, including awards under the 2011 Plan. Diluted net loss per share attributable to common stockholders is computed by dividing the resulting net loss attributable to common stockholders by the weighted-average number of fully diluted common shares outstanding. For the years ended December 31, 2023 and 2024, the Company’s potentially dilutive shares relating to stock options, redeemable convertible preferred stock, redeemable convertible preferred stock warrants, and common stock warrants were not included in the computation of diluted net loss per share as the effect of including these shares in the calculation would have been anti-dilutive.</w:t>
      </w:r>
    </w:p>
    <w:p>
      <w:pPr>
        <w:spacing w:after="0" w:line="187"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the Company’s common stockholders (in thousands, except per-share data):</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0"/>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840" w:type="dxa"/>
            <w:vAlign w:val="bottom"/>
            <w:tcBorders>
              <w:top w:val="single" w:sz="8" w:color="auto"/>
            </w:tcBorders>
            <w:gridSpan w:val="2"/>
          </w:tcPr>
          <w:p>
            <w:pPr>
              <w:jc w:val="right"/>
              <w:ind w:right="28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320" w:type="dxa"/>
            <w:vAlign w:val="bottom"/>
            <w:tcBorders>
              <w:top w:val="single" w:sz="8" w:color="auto"/>
            </w:tcBorders>
            <w:gridSpan w:val="2"/>
          </w:tcPr>
          <w:p>
            <w:pPr>
              <w:ind w:left="20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100" w:type="dxa"/>
            <w:vAlign w:val="bottom"/>
          </w:tcPr>
          <w:p>
            <w:pPr>
              <w:spacing w:after="0"/>
              <w:rPr>
                <w:sz w:val="12"/>
                <w:szCs w:val="12"/>
                <w:color w:val="auto"/>
              </w:rPr>
            </w:pPr>
          </w:p>
        </w:tc>
      </w:tr>
      <w:tr>
        <w:trPr>
          <w:trHeight w:val="194"/>
        </w:trPr>
        <w:tc>
          <w:tcPr>
            <w:tcW w:w="20" w:type="dxa"/>
            <w:vAlign w:val="bottom"/>
          </w:tcPr>
          <w:p>
            <w:pPr>
              <w:spacing w:after="0"/>
              <w:rPr>
                <w:sz w:val="16"/>
                <w:szCs w:val="16"/>
                <w:color w:val="auto"/>
              </w:rPr>
            </w:pPr>
          </w:p>
        </w:tc>
        <w:tc>
          <w:tcPr>
            <w:tcW w:w="85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Numerator:</w:t>
            </w: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(67,511)</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(47,137)</w:t>
            </w:r>
          </w:p>
        </w:tc>
      </w:tr>
      <w:tr>
        <w:trPr>
          <w:trHeight w:val="214"/>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85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Weighted-average number of shares used in computing net loss per share attributable to common stockholders, basic</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9"/>
        </w:trPr>
        <w:tc>
          <w:tcPr>
            <w:tcW w:w="20" w:type="dxa"/>
            <w:vAlign w:val="bottom"/>
          </w:tcPr>
          <w:p>
            <w:pPr>
              <w:spacing w:after="0"/>
              <w:rPr>
                <w:sz w:val="20"/>
                <w:szCs w:val="20"/>
                <w:color w:val="auto"/>
              </w:rPr>
            </w:pPr>
          </w:p>
        </w:tc>
        <w:tc>
          <w:tcPr>
            <w:tcW w:w="8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diluted</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7,721</w:t>
            </w:r>
          </w:p>
        </w:tc>
        <w:tc>
          <w:tcPr>
            <w:tcW w:w="100" w:type="dxa"/>
            <w:vAlign w:val="bottom"/>
          </w:tcPr>
          <w:p>
            <w:pPr>
              <w:spacing w:after="0"/>
              <w:rPr>
                <w:sz w:val="20"/>
                <w:szCs w:val="20"/>
                <w:color w:val="auto"/>
              </w:rPr>
            </w:pPr>
          </w:p>
        </w:tc>
      </w:tr>
      <w:tr>
        <w:trPr>
          <w:trHeight w:val="214"/>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(9.52)</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(6.11)</w:t>
            </w: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As the Company was in a loss position for the years ended December 31, 2023 and 2024, basic net loss per share is the same as diluted net loss per share as the inclusion of all potential shares of common stock outstanding</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080"/>
          </w:cols>
          <w:pgMar w:left="320" w:top="451" w:right="49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jc w:val="both"/>
        <w:ind w:left="180"/>
        <w:spacing w:after="0" w:line="277" w:lineRule="auto"/>
        <w:rPr>
          <w:sz w:val="20"/>
          <w:szCs w:val="20"/>
          <w:color w:val="auto"/>
        </w:rPr>
      </w:pPr>
      <w:r>
        <w:rPr>
          <w:rFonts w:ascii="Times New Roman" w:cs="Times New Roman" w:eastAsia="Times New Roman" w:hAnsi="Times New Roman"/>
          <w:sz w:val="18"/>
          <w:szCs w:val="18"/>
          <w:color w:val="auto"/>
        </w:rPr>
        <w:t>would have been anti-dilutive. Potentially dilutive securities that were not included in the diluted per-share calculations because they would have been anti-dilutive were as follows (in thousands):</w:t>
      </w:r>
    </w:p>
    <w:p>
      <w:pPr>
        <w:spacing w:after="0" w:line="184"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1" w:lineRule="exact"/>
        <w:rPr>
          <w:sz w:val="20"/>
          <w:szCs w:val="20"/>
          <w:color w:val="auto"/>
        </w:rPr>
      </w:pPr>
    </w:p>
    <w:tbl>
      <w:tblPr>
        <w:tblLayout w:type="fixed"/>
        <w:tblInd w:w="18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89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560" w:type="dxa"/>
            <w:vAlign w:val="bottom"/>
            <w:tcBorders>
              <w:top w:val="single" w:sz="8" w:color="auto"/>
              <w:bottom w:val="single" w:sz="8" w:color="auto"/>
            </w:tcBorders>
          </w:tcPr>
          <w:p>
            <w:pPr>
              <w:jc w:val="right"/>
              <w:ind w:right="94"/>
              <w:spacing w:after="0" w:line="141" w:lineRule="exact"/>
              <w:rPr>
                <w:sz w:val="20"/>
                <w:szCs w:val="20"/>
                <w:color w:val="auto"/>
              </w:rPr>
            </w:pPr>
            <w:r>
              <w:rPr>
                <w:rFonts w:ascii="Times New Roman" w:cs="Times New Roman" w:eastAsia="Times New Roman" w:hAnsi="Times New Roman"/>
                <w:sz w:val="14"/>
                <w:szCs w:val="14"/>
                <w:b w:val="1"/>
                <w:bCs w:val="1"/>
                <w:color w:val="auto"/>
                <w:w w:val="85"/>
              </w:rPr>
              <w:t>2023 </w:t>
            </w:r>
          </w:p>
        </w:tc>
        <w:tc>
          <w:tcPr>
            <w:tcW w:w="48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97"/>
              <w:spacing w:after="0" w:line="141" w:lineRule="exact"/>
              <w:rPr>
                <w:sz w:val="20"/>
                <w:szCs w:val="20"/>
                <w:color w:val="auto"/>
              </w:rPr>
            </w:pPr>
            <w:r>
              <w:rPr>
                <w:rFonts w:ascii="Times New Roman" w:cs="Times New Roman" w:eastAsia="Times New Roman" w:hAnsi="Times New Roman"/>
                <w:sz w:val="14"/>
                <w:szCs w:val="14"/>
                <w:b w:val="1"/>
                <w:bCs w:val="1"/>
                <w:color w:val="auto"/>
                <w:w w:val="82"/>
              </w:rPr>
              <w:t>   2024 </w:t>
            </w:r>
          </w:p>
        </w:tc>
        <w:tc>
          <w:tcPr>
            <w:tcW w:w="60" w:type="dxa"/>
            <w:vAlign w:val="bottom"/>
            <w:tcBorders>
              <w:bottom w:val="single" w:sz="8" w:color="CCEEFF"/>
            </w:tcBorders>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 outstanding on an as-converted basis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39,406</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39,406</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options outstanding</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 warrants outstanding on an as-converted basis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6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24"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The Company has evaluated subsequent events through March 14, 2025, the date the consolidated financial statements were issued, and with respect to the reverse stock split, described in Note 2, through May 29, 2025.</w:t>
      </w:r>
    </w:p>
    <w:p>
      <w:pPr>
        <w:spacing w:after="0" w:line="16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On March 7, 2025, the Company entered into an amendment to the MidCap Credit Agreement which, among other things, (i) extended the availability of the Second Tranche until December 31, 2025 and (ii) modified the Revenue Condition to require trailing 12-month revenue of $165.0 million if the Second Tranche is advanced during the first fiscal quarter of 2025, $170.0 million if the Second Tranche is advanced during the second fiscal quarter of 2025, $175.0 million if the Second Tranche is advanced during the third fiscal quarter of 2025, and $180.0 million if the Second Tranche is advanced during the fourth fiscal quarter of 2025.</w:t>
      </w:r>
    </w:p>
    <w:p>
      <w:pPr>
        <w:spacing w:after="0" w:line="183"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On May 27, 2025, the Company amended its restated certificate of incorporation, as amended, to effect the Reverse Stock Split of shares of the Company’s common stock on a one-for-three basis. The number of authorized shares and the par values of the common stock and redeemable convertible preferred stock were not adjusted as a result of the Reverse Stock Split. In connection with the Reverse Stock Split, the conversion ratio for the Company’s outstanding redeemable convertible preferred stock was proportionately adjusted such that the common stock issuable upon conversion of such preferred stock was decreased in proportion to the Reverse Stock Split. All references to common stock, common stock warrants, and options to purchase common stock share data, per share data, and related information contained in the consolidated financial statements have been retroactively adjusted to reflect the effect of the Reverse Stock Split for all periods presented.</w:t>
      </w:r>
    </w:p>
    <w:p>
      <w:pPr>
        <w:spacing w:after="0" w:line="189"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Upon the expiration date of May 19, 2025, the Series B redeemable convertible preferred stock warrants were automatically exercised on a cashless basis into 92,194 shares of Series B redeemable convertible preferred stock.</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080"/>
          </w:cols>
          <w:pgMar w:left="320" w:top="450" w:right="49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except per-share data, unaudited)</w:t>
      </w:r>
    </w:p>
    <w:p>
      <w:pPr>
        <w:spacing w:after="0" w:line="230" w:lineRule="exact"/>
        <w:rPr>
          <w:sz w:val="20"/>
          <w:szCs w:val="20"/>
          <w:color w:val="auto"/>
        </w:rPr>
      </w:pPr>
    </w:p>
    <w:tbl>
      <w:tblPr>
        <w:tblLayout w:type="fixed"/>
        <w:tblInd w:w="1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3"/>
          </w:tcPr>
          <w:p>
            <w:pPr>
              <w:jc w:val="right"/>
              <w:ind w:right="320"/>
              <w:spacing w:after="0" w:line="141" w:lineRule="exact"/>
              <w:rPr>
                <w:sz w:val="20"/>
                <w:szCs w:val="20"/>
                <w:color w:val="auto"/>
              </w:rPr>
            </w:pPr>
            <w:r>
              <w:rPr>
                <w:rFonts w:ascii="Times New Roman" w:cs="Times New Roman" w:eastAsia="Times New Roman" w:hAnsi="Times New Roman"/>
                <w:sz w:val="13"/>
                <w:szCs w:val="13"/>
                <w:b w:val="1"/>
                <w:bCs w:val="1"/>
                <w:color w:val="auto"/>
              </w:rPr>
              <w:t>December 31, 2024</w:t>
            </w:r>
          </w:p>
        </w:tc>
        <w:tc>
          <w:tcPr>
            <w:tcW w:w="40" w:type="dxa"/>
            <w:vAlign w:val="bottom"/>
          </w:tcPr>
          <w:p>
            <w:pPr>
              <w:spacing w:after="0"/>
              <w:rPr>
                <w:sz w:val="12"/>
                <w:szCs w:val="12"/>
                <w:color w:val="auto"/>
              </w:rPr>
            </w:pPr>
          </w:p>
        </w:tc>
        <w:tc>
          <w:tcPr>
            <w:tcW w:w="1040" w:type="dxa"/>
            <w:vAlign w:val="bottom"/>
            <w:gridSpan w:val="3"/>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March 31,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24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Assets</w:t>
            </w: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76,392</w:t>
            </w:r>
          </w:p>
        </w:tc>
        <w:tc>
          <w:tcPr>
            <w:tcW w:w="2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tcPr>
          <w:p>
            <w:pPr>
              <w:ind w:left="300"/>
              <w:spacing w:after="0" w:line="200" w:lineRule="exact"/>
              <w:rPr>
                <w:sz w:val="20"/>
                <w:szCs w:val="20"/>
                <w:color w:val="auto"/>
              </w:rPr>
            </w:pPr>
            <w:r>
              <w:rPr>
                <w:rFonts w:ascii="Times New Roman" w:cs="Times New Roman" w:eastAsia="Times New Roman" w:hAnsi="Times New Roman"/>
                <w:sz w:val="15"/>
                <w:szCs w:val="15"/>
                <w:color w:val="auto"/>
              </w:rPr>
              <w:t>Accounts receivable, net</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23,417</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Inventory</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3,296</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Deferred commissions, current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3,017</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6,937</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Total current assets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113,059</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5,625</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commissions, non-current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9,214</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4,263</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13,240</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5,044</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150,892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Liabilities, Redeemable Convertible Preferred Stock and Stockholders’ Deficit</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4,168</w:t>
            </w:r>
          </w:p>
        </w:tc>
        <w:tc>
          <w:tcPr>
            <w:tcW w:w="26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shd w:val="clear" w:color="auto" w:fill="CCEEFF"/>
          </w:tcPr>
          <w:p>
            <w:pPr>
              <w:ind w:left="300"/>
              <w:spacing w:after="0" w:line="200" w:lineRule="exact"/>
              <w:rPr>
                <w:sz w:val="20"/>
                <w:szCs w:val="20"/>
                <w:color w:val="auto"/>
              </w:rPr>
            </w:pPr>
            <w:r>
              <w:rPr>
                <w:rFonts w:ascii="Times New Roman" w:cs="Times New Roman" w:eastAsia="Times New Roman" w:hAnsi="Times New Roman"/>
                <w:sz w:val="15"/>
                <w:szCs w:val="15"/>
                <w:color w:val="auto"/>
              </w:rPr>
              <w:t>Accrued expenses and other current liabilities</w:t>
            </w:r>
            <w:r>
              <w:rPr>
                <w:rFonts w:ascii="Times New Roman" w:cs="Times New Roman" w:eastAsia="Times New Roman" w:hAnsi="Times New Roman"/>
                <w:sz w:val="23"/>
                <w:szCs w:val="23"/>
                <w:color w:val="auto"/>
                <w:vertAlign w:val="superscript"/>
              </w:rPr>
              <w:t>(2)</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29,840</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Operating lease liability, current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shd w:val="clear" w:color="auto" w:fill="CCEEFF"/>
          </w:tcPr>
          <w:p>
            <w:pPr>
              <w:ind w:left="300"/>
              <w:spacing w:after="0" w:line="200" w:lineRule="exact"/>
              <w:rPr>
                <w:sz w:val="20"/>
                <w:szCs w:val="20"/>
                <w:color w:val="auto"/>
              </w:rPr>
            </w:pPr>
            <w:r>
              <w:rPr>
                <w:rFonts w:ascii="Times New Roman" w:cs="Times New Roman" w:eastAsia="Times New Roman" w:hAnsi="Times New Roman"/>
                <w:sz w:val="15"/>
                <w:szCs w:val="15"/>
                <w:color w:val="auto"/>
              </w:rPr>
              <w:t>Deferred revenue</w:t>
            </w:r>
            <w:r>
              <w:rPr>
                <w:rFonts w:ascii="Times New Roman" w:cs="Times New Roman" w:eastAsia="Times New Roman" w:hAnsi="Times New Roman"/>
                <w:sz w:val="23"/>
                <w:szCs w:val="23"/>
                <w:color w:val="auto"/>
                <w:vertAlign w:val="superscript"/>
              </w:rPr>
              <w:t>(3)</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19,530</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53,953</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 term debt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29,771</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liabilities, non-current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 non-current</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Total liabilities</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86,261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7)</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Redeemable convertible preferred stock, $0.001 par value; 120,689 shares authorized as of December 31, 2024 and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March 31, 2025; 118,219 shares issued and outstanding as of December 31, 2024 and March 31, 2025; aggregate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liquidation preference of $455,588 as of December 31, 2024 and March 31, 2025, net of issuance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449,034</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deficit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Common stock, $0.001 par value; 181,500 shares authorized as of December 31, 2024 and March 31, 2025; 8,157 and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8,362 shares issued and outstanding as of December 31, 2024 and March 31, 2025, respectively</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59,555</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Accumulated deficit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(443,966)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(453,414)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(384,403)</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(390,049)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liabilities, redeemable convertible preferred stock and stockholders’ deficit</w:t>
            </w:r>
          </w:p>
        </w:tc>
        <w:tc>
          <w:tcPr>
            <w:tcW w:w="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150,892</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141,182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93345</wp:posOffset>
            </wp:positionV>
            <wp:extent cx="75501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58" w:lineRule="exact"/>
        <w:rPr>
          <w:sz w:val="20"/>
          <w:szCs w:val="20"/>
          <w:color w:val="auto"/>
        </w:rPr>
      </w:pPr>
    </w:p>
    <w:p>
      <w:pPr>
        <w:ind w:left="600" w:hanging="426"/>
        <w:spacing w:after="0"/>
        <w:tabs>
          <w:tab w:leader="none" w:pos="60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$13.2 million and $17.3 million as of December 31, 2024 and March 31, 2025, respectively.</w:t>
      </w:r>
    </w:p>
    <w:p>
      <w:pPr>
        <w:spacing w:after="0" w:line="1" w:lineRule="exact"/>
        <w:rPr>
          <w:rFonts w:ascii="Times New Roman" w:cs="Times New Roman" w:eastAsia="Times New Roman" w:hAnsi="Times New Roman"/>
          <w:sz w:val="14"/>
          <w:szCs w:val="14"/>
          <w:color w:val="auto"/>
        </w:rPr>
      </w:pPr>
    </w:p>
    <w:p>
      <w:pPr>
        <w:ind w:left="600" w:hanging="426"/>
        <w:spacing w:after="0" w:line="219" w:lineRule="auto"/>
        <w:tabs>
          <w:tab w:leader="none" w:pos="60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$2.2 million and $3.4 million as of December 31, 2024 and March 31, 2025, respectively.</w:t>
      </w:r>
    </w:p>
    <w:p>
      <w:pPr>
        <w:ind w:left="600" w:hanging="426"/>
        <w:spacing w:after="0"/>
        <w:tabs>
          <w:tab w:leader="none" w:pos="60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$13.2 million and $16.7 million as of December 31, 2024 and March 31, 2025, respectively.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1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080"/>
          </w:cols>
          <w:pgMar w:left="320" w:top="451" w:right="49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except per-share data, unaudited)</w:t>
      </w:r>
    </w:p>
    <w:p>
      <w:pPr>
        <w:spacing w:after="0" w:line="22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8"/>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880" w:type="dxa"/>
            <w:vAlign w:val="bottom"/>
            <w:tcBorders>
              <w:top w:val="single" w:sz="8" w:color="auto"/>
            </w:tcBorders>
            <w:gridSpan w:val="2"/>
          </w:tcPr>
          <w:p>
            <w:pPr>
              <w:jc w:val="right"/>
              <w:ind w:right="3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740" w:type="dxa"/>
            <w:vAlign w:val="bottom"/>
            <w:tcBorders>
              <w:top w:val="single" w:sz="8" w:color="auto"/>
            </w:tcBorders>
          </w:tcPr>
          <w:p>
            <w:pPr>
              <w:jc w:val="right"/>
              <w:ind w:right="132"/>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2025    </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Revenue</w:t>
            </w:r>
          </w:p>
        </w:tc>
        <w:tc>
          <w:tcPr>
            <w:tcW w:w="2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tcPr>
          <w:p>
            <w:pPr>
              <w:ind w:left="340"/>
              <w:spacing w:after="0" w:line="213" w:lineRule="exact"/>
              <w:rPr>
                <w:sz w:val="20"/>
                <w:szCs w:val="20"/>
                <w:color w:val="auto"/>
              </w:rPr>
            </w:pPr>
            <w:r>
              <w:rPr>
                <w:rFonts w:ascii="Times New Roman" w:cs="Times New Roman" w:eastAsia="Times New Roman" w:hAnsi="Times New Roman"/>
                <w:sz w:val="17"/>
                <w:szCs w:val="17"/>
                <w:color w:val="auto"/>
              </w:rPr>
              <w:t>Services</w:t>
            </w:r>
            <w:r>
              <w:rPr>
                <w:rFonts w:ascii="Times New Roman" w:cs="Times New Roman" w:eastAsia="Times New Roman" w:hAnsi="Times New Roman"/>
                <w:sz w:val="24"/>
                <w:szCs w:val="24"/>
                <w:color w:val="auto"/>
                <w:vertAlign w:val="superscript"/>
              </w:rPr>
              <w:t>(1)</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2"/>
              </w:rPr>
              <w:t> </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4"/>
              </w:rPr>
              <w:t>   31,904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4"/>
              </w:rPr>
              <w:t>   49,496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line="213" w:lineRule="exact"/>
              <w:rPr>
                <w:sz w:val="20"/>
                <w:szCs w:val="20"/>
                <w:color w:val="auto"/>
              </w:rPr>
            </w:pPr>
            <w:r>
              <w:rPr>
                <w:rFonts w:ascii="Times New Roman" w:cs="Times New Roman" w:eastAsia="Times New Roman" w:hAnsi="Times New Roman"/>
                <w:sz w:val="17"/>
                <w:szCs w:val="17"/>
                <w:color w:val="auto"/>
              </w:rPr>
              <w:t>Hardware</w:t>
            </w:r>
            <w:r>
              <w:rPr>
                <w:rFonts w:ascii="Times New Roman" w:cs="Times New Roman" w:eastAsia="Times New Roman" w:hAnsi="Times New Roman"/>
                <w:sz w:val="24"/>
                <w:szCs w:val="24"/>
                <w:color w:val="auto"/>
                <w:vertAlign w:val="superscript"/>
              </w:rPr>
              <w:t>(2)</w:t>
            </w:r>
          </w:p>
        </w:tc>
        <w:tc>
          <w:tcPr>
            <w:tcW w:w="2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tcPr>
          <w:p>
            <w:pPr>
              <w:ind w:left="340"/>
              <w:spacing w:after="0" w:line="213" w:lineRule="exact"/>
              <w:rPr>
                <w:sz w:val="20"/>
                <w:szCs w:val="20"/>
                <w:color w:val="auto"/>
              </w:rPr>
            </w:pPr>
            <w:r>
              <w:rPr>
                <w:rFonts w:ascii="Times New Roman" w:cs="Times New Roman" w:eastAsia="Times New Roman" w:hAnsi="Times New Roman"/>
                <w:sz w:val="17"/>
                <w:szCs w:val="17"/>
                <w:color w:val="auto"/>
              </w:rPr>
              <w:t>Services</w:t>
            </w:r>
            <w:r>
              <w:rPr>
                <w:rFonts w:ascii="Times New Roman" w:cs="Times New Roman" w:eastAsia="Times New Roman" w:hAnsi="Times New Roman"/>
                <w:sz w:val="24"/>
                <w:szCs w:val="24"/>
                <w:color w:val="auto"/>
                <w:vertAlign w:val="superscript"/>
              </w:rPr>
              <w:t>(3)</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Hardware</w:t>
            </w:r>
          </w:p>
        </w:tc>
        <w:tc>
          <w:tcPr>
            <w:tcW w:w="2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cost of revenue</w:t>
            </w:r>
          </w:p>
        </w:tc>
        <w:tc>
          <w:tcPr>
            <w:tcW w:w="2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Gross profit</w:t>
            </w:r>
          </w:p>
        </w:tc>
        <w:tc>
          <w:tcPr>
            <w:tcW w:w="2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line="213"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4"/>
                <w:szCs w:val="24"/>
                <w:color w:val="auto"/>
                <w:vertAlign w:val="superscript"/>
              </w:rPr>
              <w:t>(4)</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tcPr>
          <w:p>
            <w:pPr>
              <w:ind w:left="340"/>
              <w:spacing w:after="0" w:line="213" w:lineRule="exact"/>
              <w:rPr>
                <w:sz w:val="20"/>
                <w:szCs w:val="20"/>
                <w:color w:val="auto"/>
              </w:rPr>
            </w:pPr>
            <w:r>
              <w:rPr>
                <w:rFonts w:ascii="Times New Roman" w:cs="Times New Roman" w:eastAsia="Times New Roman" w:hAnsi="Times New Roman"/>
                <w:sz w:val="17"/>
                <w:szCs w:val="17"/>
                <w:color w:val="auto"/>
              </w:rPr>
              <w:t>Sales and marketing</w:t>
            </w:r>
            <w:r>
              <w:rPr>
                <w:rFonts w:ascii="Times New Roman" w:cs="Times New Roman" w:eastAsia="Times New Roman" w:hAnsi="Times New Roman"/>
                <w:sz w:val="24"/>
                <w:szCs w:val="24"/>
                <w:color w:val="auto"/>
                <w:vertAlign w:val="superscript"/>
              </w:rPr>
              <w:t>(5)</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line="213"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4"/>
                <w:szCs w:val="24"/>
                <w:color w:val="auto"/>
                <w:vertAlign w:val="superscript"/>
              </w:rPr>
              <w:t>(6)</w:t>
            </w:r>
          </w:p>
        </w:tc>
        <w:tc>
          <w:tcPr>
            <w:tcW w:w="2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40,296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other expense, net</w:t>
            </w:r>
          </w:p>
        </w:tc>
        <w:tc>
          <w:tcPr>
            <w:tcW w:w="2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(18,969)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(9,448)</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2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00" w:type="dxa"/>
            <w:vAlign w:val="bottom"/>
            <w:gridSpan w:val="2"/>
            <w:vMerge w:val="continue"/>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outstanding—basic and diluted</w:t>
            </w:r>
          </w:p>
        </w:tc>
        <w:tc>
          <w:tcPr>
            <w:tcW w:w="2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93345</wp:posOffset>
            </wp:positionV>
            <wp:extent cx="75501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58" w:lineRule="exact"/>
        <w:rPr>
          <w:sz w:val="20"/>
          <w:szCs w:val="20"/>
          <w:color w:val="auto"/>
        </w:rPr>
      </w:pPr>
    </w:p>
    <w:p>
      <w:pPr>
        <w:ind w:left="600" w:hanging="426"/>
        <w:spacing w:after="0"/>
        <w:tabs>
          <w:tab w:leader="none" w:pos="60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$17.4 million and $29.9 million for the three months ended March 31, 2024 and 2025, respectively.</w:t>
      </w:r>
    </w:p>
    <w:p>
      <w:pPr>
        <w:spacing w:after="0" w:line="1" w:lineRule="exact"/>
        <w:rPr>
          <w:rFonts w:ascii="Times New Roman" w:cs="Times New Roman" w:eastAsia="Times New Roman" w:hAnsi="Times New Roman"/>
          <w:sz w:val="14"/>
          <w:szCs w:val="14"/>
          <w:color w:val="auto"/>
        </w:rPr>
      </w:pPr>
    </w:p>
    <w:p>
      <w:pPr>
        <w:ind w:left="600" w:hanging="426"/>
        <w:spacing w:after="0" w:line="219" w:lineRule="auto"/>
        <w:tabs>
          <w:tab w:leader="none" w:pos="60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$1.5 million and $3.4 million for the three months ended March 31, 2024 and 2025, respectively.</w:t>
      </w:r>
    </w:p>
    <w:p>
      <w:pPr>
        <w:ind w:left="600" w:hanging="426"/>
        <w:spacing w:after="0" w:line="219" w:lineRule="auto"/>
        <w:tabs>
          <w:tab w:leader="none" w:pos="60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$0.9 million and $1.2 million for the three months ended March 31, 2024 and 2025, respectively.</w:t>
      </w:r>
    </w:p>
    <w:p>
      <w:pPr>
        <w:ind w:left="600" w:hanging="426"/>
        <w:spacing w:after="0" w:line="219" w:lineRule="auto"/>
        <w:tabs>
          <w:tab w:leader="none" w:pos="60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$0.4 million and $0.5 million for the three months ended March 31, 2024 and 2025, respectively.</w:t>
      </w:r>
    </w:p>
    <w:p>
      <w:pPr>
        <w:ind w:left="600" w:hanging="426"/>
        <w:spacing w:after="0" w:line="219" w:lineRule="auto"/>
        <w:tabs>
          <w:tab w:leader="none" w:pos="60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$3.6 million and $5.6 million for the three months ended March 31, 2024 and 2025, respectively.</w:t>
      </w:r>
    </w:p>
    <w:p>
      <w:pPr>
        <w:ind w:left="600" w:hanging="426"/>
        <w:spacing w:after="0"/>
        <w:tabs>
          <w:tab w:leader="none" w:pos="60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$0.3 million and $0.3 million for the three months ended March 31, 2024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080"/>
          </w:cols>
          <w:pgMar w:left="320" w:top="451" w:right="49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 STOCKHOLDERS’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DEFICIT</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unaudited)</w:t>
      </w:r>
    </w:p>
    <w:p>
      <w:pPr>
        <w:spacing w:after="0" w:line="219" w:lineRule="exact"/>
        <w:rPr>
          <w:sz w:val="20"/>
          <w:szCs w:val="20"/>
          <w:color w:val="auto"/>
        </w:rPr>
      </w:pPr>
    </w:p>
    <w:tbl>
      <w:tblPr>
        <w:tblLayout w:type="fixed"/>
        <w:tblInd w:w="18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5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gridSpan w:val="4"/>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80" w:type="dxa"/>
            <w:vAlign w:val="bottom"/>
            <w:gridSpan w:val="4"/>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vMerge w:val="restart"/>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560" w:type="dxa"/>
            <w:vAlign w:val="bottom"/>
            <w:gridSpan w:val="4"/>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560" w:type="dxa"/>
            <w:vAlign w:val="bottom"/>
            <w:tcBorders>
              <w:bottom w:val="single" w:sz="8" w:color="auto"/>
            </w:tcBorders>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4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Borders>
              <w:bottom w:val="single" w:sz="8" w:color="auto"/>
            </w:tcBorders>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280" w:type="dxa"/>
            <w:vAlign w:val="bottom"/>
            <w:gridSpan w:val="4"/>
            <w:vMerge w:val="continue"/>
          </w:tcPr>
          <w:p>
            <w:pPr>
              <w:spacing w:after="0"/>
              <w:rPr>
                <w:sz w:val="13"/>
                <w:szCs w:val="13"/>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660" w:type="dxa"/>
            <w:vAlign w:val="bottom"/>
          </w:tcPr>
          <w:p>
            <w:pPr>
              <w:jc w:val="right"/>
              <w:ind w:right="55"/>
              <w:spacing w:after="0" w:line="141"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33"/>
              <w:spacing w:after="0" w:line="141"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760" w:type="dxa"/>
            <w:vAlign w:val="bottom"/>
            <w:gridSpan w:val="3"/>
          </w:tcPr>
          <w:p>
            <w:pPr>
              <w:ind w:left="2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0" w:type="dxa"/>
            <w:vAlign w:val="bottom"/>
            <w:gridSpan w:val="3"/>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61"/>
              <w:spacing w:after="0" w:line="141"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1"/>
              <w:spacing w:after="0" w:line="141"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right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71"/>
              </w:rPr>
              <w:t> </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1"/>
                <w:szCs w:val="11"/>
                <w:color w:val="auto"/>
                <w:w w:val="72"/>
              </w:rPr>
              <w:t> </w:t>
            </w: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118,219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449,034</w:t>
            </w:r>
          </w:p>
        </w:tc>
        <w:tc>
          <w:tcPr>
            <w:tcW w:w="140" w:type="dxa"/>
            <w:vAlign w:val="bottom"/>
            <w:tcBorders>
              <w:right w:val="single" w:sz="8" w:color="auto"/>
            </w:tcBorders>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46,710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(396,829)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(350,112)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(18,969)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(18,969)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118,219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449,034</w:t>
            </w:r>
          </w:p>
        </w:tc>
        <w:tc>
          <w:tcPr>
            <w:tcW w:w="140" w:type="dxa"/>
            <w:vAlign w:val="bottom"/>
            <w:tcBorders>
              <w:right w:val="single" w:sz="8" w:color="auto"/>
            </w:tcBorders>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50,585</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(415,798)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(365,206)</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20" w:type="dxa"/>
            <w:vAlign w:val="bottom"/>
            <w:gridSpan w:val="2"/>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118,219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449,034</w:t>
            </w:r>
          </w:p>
        </w:tc>
        <w:tc>
          <w:tcPr>
            <w:tcW w:w="14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2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59,555</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(443,966)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(384,403)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(9,448)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(9,448)</w:t>
            </w:r>
          </w:p>
        </w:tc>
        <w:tc>
          <w:tcPr>
            <w:tcW w:w="0" w:type="dxa"/>
            <w:vAlign w:val="bottom"/>
          </w:tcPr>
          <w:p>
            <w:pPr>
              <w:spacing w:after="0"/>
              <w:rPr>
                <w:sz w:val="1"/>
                <w:szCs w:val="1"/>
                <w:color w:val="auto"/>
              </w:rPr>
            </w:pPr>
          </w:p>
        </w:tc>
      </w:tr>
      <w:tr>
        <w:trPr>
          <w:trHeight w:val="220"/>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118,219</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449,034</w:t>
            </w:r>
          </w:p>
        </w:tc>
        <w:tc>
          <w:tcPr>
            <w:tcW w:w="14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8,362</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63,357</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(453,414</w:t>
            </w:r>
          </w:p>
        </w:tc>
        <w:tc>
          <w:tcPr>
            <w:tcW w:w="180" w:type="dxa"/>
            <w:vAlign w:val="bottom"/>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(390,049</w:t>
            </w:r>
          </w:p>
        </w:tc>
        <w:tc>
          <w:tcPr>
            <w:tcW w:w="100" w:type="dxa"/>
            <w:vAlign w:val="bottom"/>
          </w:tcPr>
          <w:p>
            <w:pPr>
              <w:jc w:val="right"/>
              <w:ind w:right="2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080"/>
          </w:cols>
          <w:pgMar w:left="320" w:top="450" w:right="49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unaudited)</w:t>
      </w:r>
    </w:p>
    <w:p>
      <w:pPr>
        <w:spacing w:after="0" w:line="230" w:lineRule="exact"/>
        <w:rPr>
          <w:sz w:val="20"/>
          <w:szCs w:val="20"/>
          <w:color w:val="auto"/>
        </w:rPr>
      </w:pPr>
    </w:p>
    <w:tbl>
      <w:tblPr>
        <w:tblLayout w:type="fixed"/>
        <w:tblInd w:w="180" w:type="dxa"/>
        <w:tblCellMar>
          <w:top w:w="0" w:type="dxa"/>
          <w:left w:w="0" w:type="dxa"/>
          <w:bottom w:w="0" w:type="dxa"/>
          <w:right w:w="0" w:type="dxa"/>
        </w:tblCellMar>
      </w:tblPr>
      <w:tr>
        <w:trPr>
          <w:trHeight w:val="164"/>
        </w:trPr>
        <w:tc>
          <w:tcPr>
            <w:tcW w:w="8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6"/>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140"/>
        </w:trPr>
        <w:tc>
          <w:tcPr>
            <w:tcW w:w="8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1"/>
              <w:spacing w:after="0" w:line="141" w:lineRule="exact"/>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20"/>
              <w:spacing w:after="0" w:line="141"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2"/>
                <w:szCs w:val="12"/>
                <w:color w:val="auto"/>
              </w:rPr>
            </w:pPr>
          </w:p>
        </w:tc>
      </w:tr>
      <w:tr>
        <w:trPr>
          <w:trHeight w:val="180"/>
        </w:trPr>
        <w:tc>
          <w:tcPr>
            <w:tcW w:w="86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Operating activities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0"/>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4"/>
              </w:rPr>
              <w:t>      (18,969)</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(9,448)</w:t>
            </w:r>
          </w:p>
        </w:tc>
      </w:tr>
      <w:tr>
        <w:trPr>
          <w:trHeight w:val="20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0"/>
        </w:trPr>
        <w:tc>
          <w:tcPr>
            <w:tcW w:w="8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100" w:type="dxa"/>
            <w:vAlign w:val="bottom"/>
          </w:tcPr>
          <w:p>
            <w:pPr>
              <w:spacing w:after="0"/>
              <w:rPr>
                <w:sz w:val="17"/>
                <w:szCs w:val="17"/>
                <w:color w:val="auto"/>
              </w:rPr>
            </w:pPr>
          </w:p>
        </w:tc>
      </w:tr>
      <w:tr>
        <w:trPr>
          <w:trHeight w:val="200"/>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Share-based compensation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100" w:type="dxa"/>
            <w:vAlign w:val="bottom"/>
            <w:shd w:val="clear" w:color="auto" w:fill="CCEEFF"/>
          </w:tcPr>
          <w:p>
            <w:pPr>
              <w:spacing w:after="0"/>
              <w:rPr>
                <w:sz w:val="17"/>
                <w:szCs w:val="17"/>
                <w:color w:val="auto"/>
              </w:rPr>
            </w:pPr>
          </w:p>
        </w:tc>
      </w:tr>
      <w:tr>
        <w:trPr>
          <w:trHeight w:val="200"/>
        </w:trPr>
        <w:tc>
          <w:tcPr>
            <w:tcW w:w="8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r>
      <w:tr>
        <w:trPr>
          <w:trHeight w:val="200"/>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7"/>
                <w:szCs w:val="17"/>
                <w:color w:val="auto"/>
              </w:rPr>
            </w:pPr>
          </w:p>
        </w:tc>
      </w:tr>
      <w:tr>
        <w:trPr>
          <w:trHeight w:val="200"/>
        </w:trPr>
        <w:tc>
          <w:tcPr>
            <w:tcW w:w="8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7"/>
                <w:szCs w:val="17"/>
                <w:color w:val="auto"/>
              </w:rPr>
            </w:pPr>
          </w:p>
        </w:tc>
      </w:tr>
      <w:tr>
        <w:trPr>
          <w:trHeight w:val="200"/>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Change in fair value of warrants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shd w:val="clear" w:color="auto" w:fill="CCEEFF"/>
          </w:tcPr>
          <w:p>
            <w:pPr>
              <w:spacing w:after="0"/>
              <w:rPr>
                <w:sz w:val="17"/>
                <w:szCs w:val="17"/>
                <w:color w:val="auto"/>
              </w:rPr>
            </w:pPr>
          </w:p>
        </w:tc>
      </w:tr>
      <w:tr>
        <w:trPr>
          <w:trHeight w:val="200"/>
        </w:trPr>
        <w:tc>
          <w:tcPr>
            <w:tcW w:w="8680" w:type="dxa"/>
            <w:vAlign w:val="bottom"/>
          </w:tcPr>
          <w:p>
            <w:pPr>
              <w:ind w:left="320"/>
              <w:spacing w:after="0" w:line="200" w:lineRule="exact"/>
              <w:rPr>
                <w:sz w:val="20"/>
                <w:szCs w:val="20"/>
                <w:color w:val="auto"/>
              </w:rPr>
            </w:pPr>
            <w:r>
              <w:rPr>
                <w:rFonts w:ascii="Times New Roman" w:cs="Times New Roman" w:eastAsia="Times New Roman" w:hAnsi="Times New Roman"/>
                <w:sz w:val="15"/>
                <w:szCs w:val="15"/>
                <w:color w:val="auto"/>
              </w:rPr>
              <w:t>Provision for credit losses</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tcPr>
          <w:p>
            <w:pPr>
              <w:spacing w:after="0"/>
              <w:rPr>
                <w:sz w:val="17"/>
                <w:szCs w:val="17"/>
                <w:color w:val="auto"/>
              </w:rPr>
            </w:pPr>
          </w:p>
        </w:tc>
      </w:tr>
      <w:tr>
        <w:trPr>
          <w:trHeight w:val="200"/>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Amortization of deferred commissions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shd w:val="clear" w:color="auto" w:fill="CCEEFF"/>
          </w:tcPr>
          <w:p>
            <w:pPr>
              <w:spacing w:after="0"/>
              <w:rPr>
                <w:sz w:val="17"/>
                <w:szCs w:val="17"/>
                <w:color w:val="auto"/>
              </w:rPr>
            </w:pPr>
          </w:p>
        </w:tc>
      </w:tr>
      <w:tr>
        <w:trPr>
          <w:trHeight w:val="200"/>
        </w:trPr>
        <w:tc>
          <w:tcPr>
            <w:tcW w:w="8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8680" w:type="dxa"/>
            <w:vAlign w:val="bottom"/>
            <w:shd w:val="clear" w:color="auto" w:fill="CCEEFF"/>
          </w:tcPr>
          <w:p>
            <w:pPr>
              <w:ind w:left="640"/>
              <w:spacing w:after="0" w:line="200" w:lineRule="exact"/>
              <w:rPr>
                <w:sz w:val="20"/>
                <w:szCs w:val="20"/>
                <w:color w:val="auto"/>
              </w:rPr>
            </w:pPr>
            <w:r>
              <w:rPr>
                <w:rFonts w:ascii="Times New Roman" w:cs="Times New Roman" w:eastAsia="Times New Roman" w:hAnsi="Times New Roman"/>
                <w:sz w:val="15"/>
                <w:szCs w:val="15"/>
                <w:color w:val="auto"/>
              </w:rPr>
              <w:t>Accounts receivable</w:t>
            </w:r>
            <w:r>
              <w:rPr>
                <w:rFonts w:ascii="Times New Roman" w:cs="Times New Roman" w:eastAsia="Times New Roman" w:hAnsi="Times New Roman"/>
                <w:sz w:val="23"/>
                <w:szCs w:val="23"/>
                <w:color w:val="auto"/>
                <w:vertAlign w:val="superscript"/>
              </w:rPr>
              <w:t>(2)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(8,257)</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(6,496)</w:t>
            </w:r>
          </w:p>
        </w:tc>
      </w:tr>
      <w:tr>
        <w:trPr>
          <w:trHeight w:val="200"/>
        </w:trPr>
        <w:tc>
          <w:tcPr>
            <w:tcW w:w="86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Inventory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Pr>
          <w:p>
            <w:pPr>
              <w:spacing w:after="0"/>
              <w:rPr>
                <w:sz w:val="17"/>
                <w:szCs w:val="17"/>
                <w:color w:val="auto"/>
              </w:rPr>
            </w:pPr>
          </w:p>
        </w:tc>
      </w:tr>
      <w:tr>
        <w:trPr>
          <w:trHeight w:val="200"/>
        </w:trPr>
        <w:tc>
          <w:tcPr>
            <w:tcW w:w="86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(590)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(595)</w:t>
            </w:r>
          </w:p>
        </w:tc>
      </w:tr>
      <w:tr>
        <w:trPr>
          <w:trHeight w:val="200"/>
        </w:trPr>
        <w:tc>
          <w:tcPr>
            <w:tcW w:w="86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Deferred commissions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(2,018)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(1,200)</w:t>
            </w:r>
          </w:p>
        </w:tc>
      </w:tr>
      <w:tr>
        <w:trPr>
          <w:trHeight w:val="200"/>
        </w:trPr>
        <w:tc>
          <w:tcPr>
            <w:tcW w:w="86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Other non-current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7"/>
                <w:szCs w:val="17"/>
                <w:color w:val="auto"/>
              </w:rPr>
            </w:pPr>
          </w:p>
        </w:tc>
      </w:tr>
      <w:tr>
        <w:trPr>
          <w:trHeight w:val="200"/>
        </w:trPr>
        <w:tc>
          <w:tcPr>
            <w:tcW w:w="86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Accounts payable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(652)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17"/>
                <w:szCs w:val="17"/>
                <w:color w:val="auto"/>
              </w:rPr>
            </w:pPr>
          </w:p>
        </w:tc>
      </w:tr>
      <w:tr>
        <w:trPr>
          <w:trHeight w:val="200"/>
        </w:trPr>
        <w:tc>
          <w:tcPr>
            <w:tcW w:w="86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(189)</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(206)</w:t>
            </w:r>
          </w:p>
        </w:tc>
      </w:tr>
      <w:tr>
        <w:trPr>
          <w:trHeight w:val="200"/>
        </w:trPr>
        <w:tc>
          <w:tcPr>
            <w:tcW w:w="8680" w:type="dxa"/>
            <w:vAlign w:val="bottom"/>
          </w:tcPr>
          <w:p>
            <w:pPr>
              <w:ind w:left="640"/>
              <w:spacing w:after="0" w:line="200" w:lineRule="exact"/>
              <w:rPr>
                <w:sz w:val="20"/>
                <w:szCs w:val="20"/>
                <w:color w:val="auto"/>
              </w:rPr>
            </w:pPr>
            <w:r>
              <w:rPr>
                <w:rFonts w:ascii="Times New Roman" w:cs="Times New Roman" w:eastAsia="Times New Roman" w:hAnsi="Times New Roman"/>
                <w:sz w:val="15"/>
                <w:szCs w:val="15"/>
                <w:color w:val="auto"/>
              </w:rPr>
              <w:t>Accrued expenses and other current liabilities</w:t>
            </w:r>
            <w:r>
              <w:rPr>
                <w:rFonts w:ascii="Times New Roman" w:cs="Times New Roman" w:eastAsia="Times New Roman" w:hAnsi="Times New Roman"/>
                <w:sz w:val="23"/>
                <w:szCs w:val="23"/>
                <w:color w:val="auto"/>
                <w:vertAlign w:val="superscript"/>
              </w:rPr>
              <w:t>(3)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(3,400)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(8,425)</w:t>
            </w:r>
          </w:p>
        </w:tc>
      </w:tr>
      <w:tr>
        <w:trPr>
          <w:trHeight w:val="200"/>
        </w:trPr>
        <w:tc>
          <w:tcPr>
            <w:tcW w:w="8680" w:type="dxa"/>
            <w:vAlign w:val="bottom"/>
            <w:shd w:val="clear" w:color="auto" w:fill="CCEEFF"/>
          </w:tcPr>
          <w:p>
            <w:pPr>
              <w:ind w:left="640"/>
              <w:spacing w:after="0" w:line="200" w:lineRule="exact"/>
              <w:rPr>
                <w:sz w:val="20"/>
                <w:szCs w:val="20"/>
                <w:color w:val="auto"/>
              </w:rPr>
            </w:pPr>
            <w:r>
              <w:rPr>
                <w:rFonts w:ascii="Times New Roman" w:cs="Times New Roman" w:eastAsia="Times New Roman" w:hAnsi="Times New Roman"/>
                <w:sz w:val="15"/>
                <w:szCs w:val="15"/>
                <w:color w:val="auto"/>
              </w:rPr>
              <w:t>Deferred revenue</w:t>
            </w:r>
            <w:r>
              <w:rPr>
                <w:rFonts w:ascii="Times New Roman" w:cs="Times New Roman" w:eastAsia="Times New Roman" w:hAnsi="Times New Roman"/>
                <w:sz w:val="23"/>
                <w:szCs w:val="23"/>
                <w:color w:val="auto"/>
                <w:vertAlign w:val="superscript"/>
              </w:rPr>
              <w:t>(4)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3,256</w:t>
            </w:r>
          </w:p>
        </w:tc>
        <w:tc>
          <w:tcPr>
            <w:tcW w:w="100" w:type="dxa"/>
            <w:vAlign w:val="bottom"/>
            <w:shd w:val="clear" w:color="auto" w:fill="CCEEFF"/>
          </w:tcPr>
          <w:p>
            <w:pPr>
              <w:spacing w:after="0"/>
              <w:rPr>
                <w:sz w:val="17"/>
                <w:szCs w:val="17"/>
                <w:color w:val="auto"/>
              </w:rPr>
            </w:pPr>
          </w:p>
        </w:tc>
      </w:tr>
      <w:tr>
        <w:trPr>
          <w:trHeight w:val="207"/>
        </w:trPr>
        <w:tc>
          <w:tcPr>
            <w:tcW w:w="86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r>
      <w:tr>
        <w:trPr>
          <w:trHeight w:val="200"/>
        </w:trPr>
        <w:tc>
          <w:tcPr>
            <w:tcW w:w="86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(20,647)</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8"/>
              </w:rPr>
              <w:t>  (16,118)</w:t>
            </w:r>
          </w:p>
        </w:tc>
      </w:tr>
      <w:tr>
        <w:trPr>
          <w:trHeight w:val="202"/>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(184)</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(315)</w:t>
            </w:r>
          </w:p>
        </w:tc>
      </w:tr>
      <w:tr>
        <w:trPr>
          <w:trHeight w:val="200"/>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Capitalized internal-use software costs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(597)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(934)</w:t>
            </w:r>
          </w:p>
        </w:tc>
      </w:tr>
      <w:tr>
        <w:trPr>
          <w:trHeight w:val="27"/>
        </w:trPr>
        <w:tc>
          <w:tcPr>
            <w:tcW w:w="8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0"/>
        </w:trPr>
        <w:tc>
          <w:tcPr>
            <w:tcW w:w="86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(781)</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(1,249)</w:t>
            </w:r>
          </w:p>
        </w:tc>
      </w:tr>
      <w:tr>
        <w:trPr>
          <w:trHeight w:val="202"/>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100" w:type="dxa"/>
            <w:vAlign w:val="bottom"/>
            <w:shd w:val="clear" w:color="auto" w:fill="CCEEFF"/>
          </w:tcPr>
          <w:p>
            <w:pPr>
              <w:spacing w:after="0"/>
              <w:rPr>
                <w:sz w:val="17"/>
                <w:szCs w:val="17"/>
                <w:color w:val="auto"/>
              </w:rPr>
            </w:pPr>
          </w:p>
        </w:tc>
      </w:tr>
      <w:tr>
        <w:trPr>
          <w:trHeight w:val="207"/>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Payment of deferred offering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(432)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(547)</w:t>
            </w:r>
          </w:p>
        </w:tc>
      </w:tr>
      <w:tr>
        <w:trPr>
          <w:trHeight w:val="200"/>
        </w:trPr>
        <w:tc>
          <w:tcPr>
            <w:tcW w:w="86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shd w:val="clear" w:color="auto" w:fill="CCEEFF"/>
          </w:tcPr>
          <w:p>
            <w:pPr>
              <w:spacing w:after="0"/>
              <w:rPr>
                <w:sz w:val="17"/>
                <w:szCs w:val="17"/>
                <w:color w:val="auto"/>
              </w:rPr>
            </w:pPr>
          </w:p>
        </w:tc>
      </w:tr>
      <w:tr>
        <w:trPr>
          <w:trHeight w:val="202"/>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(16,995)</w:t>
            </w:r>
          </w:p>
        </w:tc>
        <w:tc>
          <w:tcPr>
            <w:tcW w:w="100" w:type="dxa"/>
            <w:vAlign w:val="bottom"/>
          </w:tcPr>
          <w:p>
            <w:pPr>
              <w:spacing w:after="0"/>
              <w:rPr>
                <w:sz w:val="17"/>
                <w:szCs w:val="17"/>
                <w:color w:val="auto"/>
              </w:rPr>
            </w:pPr>
          </w:p>
        </w:tc>
      </w:tr>
      <w:tr>
        <w:trPr>
          <w:trHeight w:val="205"/>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115,643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76,392</w:t>
            </w:r>
          </w:p>
        </w:tc>
        <w:tc>
          <w:tcPr>
            <w:tcW w:w="100" w:type="dxa"/>
            <w:vAlign w:val="bottom"/>
            <w:shd w:val="clear" w:color="auto" w:fill="CCEEFF"/>
          </w:tcPr>
          <w:p>
            <w:pPr>
              <w:spacing w:after="0"/>
              <w:rPr>
                <w:sz w:val="17"/>
                <w:szCs w:val="17"/>
                <w:color w:val="auto"/>
              </w:rPr>
            </w:pPr>
          </w:p>
        </w:tc>
      </w:tr>
      <w:tr>
        <w:trPr>
          <w:trHeight w:val="205"/>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94,771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59,397</w:t>
            </w:r>
          </w:p>
        </w:tc>
        <w:tc>
          <w:tcPr>
            <w:tcW w:w="100" w:type="dxa"/>
            <w:vAlign w:val="bottom"/>
          </w:tcPr>
          <w:p>
            <w:pPr>
              <w:spacing w:after="0"/>
              <w:rPr>
                <w:sz w:val="17"/>
                <w:szCs w:val="17"/>
                <w:color w:val="auto"/>
              </w:rPr>
            </w:pPr>
          </w:p>
        </w:tc>
      </w:tr>
      <w:tr>
        <w:trPr>
          <w:trHeight w:val="20"/>
        </w:trPr>
        <w:tc>
          <w:tcPr>
            <w:tcW w:w="8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93345</wp:posOffset>
            </wp:positionV>
            <wp:extent cx="75501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58" w:lineRule="exact"/>
        <w:rPr>
          <w:sz w:val="20"/>
          <w:szCs w:val="20"/>
          <w:color w:val="auto"/>
        </w:rPr>
      </w:pPr>
    </w:p>
    <w:p>
      <w:pPr>
        <w:ind w:left="600" w:hanging="426"/>
        <w:spacing w:after="0"/>
        <w:tabs>
          <w:tab w:leader="none" w:pos="60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changes in related party balances of $0.1 million and $0.1 million for the three months ended March 31, 2024 and 2025, respectively.</w:t>
      </w:r>
    </w:p>
    <w:p>
      <w:pPr>
        <w:spacing w:after="0" w:line="1" w:lineRule="exact"/>
        <w:rPr>
          <w:rFonts w:ascii="Times New Roman" w:cs="Times New Roman" w:eastAsia="Times New Roman" w:hAnsi="Times New Roman"/>
          <w:sz w:val="14"/>
          <w:szCs w:val="14"/>
          <w:color w:val="auto"/>
        </w:rPr>
      </w:pPr>
    </w:p>
    <w:p>
      <w:pPr>
        <w:ind w:left="600" w:hanging="426"/>
        <w:spacing w:after="0" w:line="219" w:lineRule="auto"/>
        <w:tabs>
          <w:tab w:leader="none" w:pos="60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changes in related party balances of $4.2 million and $4.2 million for the three months ended March 31, 2024 and 2025, respectively.</w:t>
      </w:r>
    </w:p>
    <w:p>
      <w:pPr>
        <w:ind w:left="600" w:hanging="426"/>
        <w:spacing w:after="0" w:line="219" w:lineRule="auto"/>
        <w:tabs>
          <w:tab w:leader="none" w:pos="60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changes in related party balances of $1.1 million and $1.2 million for the three months ended March 31, 2024 and 2025, respectively.</w:t>
      </w:r>
    </w:p>
    <w:p>
      <w:pPr>
        <w:ind w:left="600" w:hanging="426"/>
        <w:spacing w:after="0"/>
        <w:tabs>
          <w:tab w:leader="none" w:pos="60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changes in related party balances of $4.8 million and $3.5 million for the three months ended March 31, 2024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1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080"/>
          </w:cols>
          <w:pgMar w:left="320" w:top="451" w:right="49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unaudited)</w:t>
      </w:r>
    </w:p>
    <w:p>
      <w:pPr>
        <w:spacing w:after="0" w:line="22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7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07"/>
        </w:trPr>
        <w:tc>
          <w:tcPr>
            <w:tcW w:w="7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jc w:val="center"/>
              <w:ind w:right="15"/>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20" w:type="dxa"/>
            <w:vAlign w:val="bottom"/>
          </w:tcPr>
          <w:p>
            <w:pPr>
              <w:spacing w:after="0"/>
              <w:rPr>
                <w:sz w:val="18"/>
                <w:szCs w:val="18"/>
                <w:color w:val="auto"/>
              </w:rPr>
            </w:pPr>
          </w:p>
        </w:tc>
        <w:tc>
          <w:tcPr>
            <w:tcW w:w="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72"/>
              </w:rPr>
              <w:t>   2024 </w:t>
            </w:r>
          </w:p>
        </w:tc>
        <w:tc>
          <w:tcPr>
            <w:tcW w:w="2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85"/>
              </w:rPr>
              <w:t> </w:t>
            </w: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5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72"/>
              </w:rPr>
              <w:t>   2025 </w:t>
            </w:r>
          </w:p>
        </w:tc>
        <w:tc>
          <w:tcPr>
            <w:tcW w:w="1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200" w:type="dxa"/>
            <w:vAlign w:val="bottom"/>
            <w:gridSpan w:val="2"/>
          </w:tcPr>
          <w:p>
            <w:pPr>
              <w:spacing w:after="0"/>
              <w:rPr>
                <w:sz w:val="18"/>
                <w:szCs w:val="18"/>
                <w:color w:val="auto"/>
              </w:rPr>
            </w:pPr>
          </w:p>
        </w:tc>
      </w:tr>
      <w:tr>
        <w:trPr>
          <w:trHeight w:val="194"/>
        </w:trPr>
        <w:tc>
          <w:tcPr>
            <w:tcW w:w="70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720" w:type="dxa"/>
            <w:vAlign w:val="bottom"/>
            <w:gridSpan w:val="2"/>
            <w:shd w:val="clear" w:color="auto" w:fill="CCEEFF"/>
          </w:tcPr>
          <w:p>
            <w:pPr>
              <w:jc w:val="center"/>
              <w:ind w:left="1471"/>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966</w:t>
            </w:r>
          </w:p>
        </w:tc>
        <w:tc>
          <w:tcPr>
            <w:tcW w:w="5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896</w:t>
            </w:r>
          </w:p>
        </w:tc>
        <w:tc>
          <w:tcPr>
            <w:tcW w:w="60" w:type="dxa"/>
            <w:vAlign w:val="bottom"/>
            <w:shd w:val="clear" w:color="auto" w:fill="CCEEFF"/>
          </w:tcPr>
          <w:p>
            <w:pPr>
              <w:spacing w:after="0"/>
              <w:rPr>
                <w:sz w:val="18"/>
                <w:szCs w:val="18"/>
                <w:color w:val="auto"/>
              </w:rPr>
            </w:pPr>
          </w:p>
        </w:tc>
      </w:tr>
      <w:tr>
        <w:trPr>
          <w:trHeight w:val="214"/>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Unpaid property and equipment included in accounts payable</w:t>
            </w:r>
          </w:p>
        </w:tc>
        <w:tc>
          <w:tcPr>
            <w:tcW w:w="1720" w:type="dxa"/>
            <w:vAlign w:val="bottom"/>
            <w:gridSpan w:val="2"/>
            <w:shd w:val="clear" w:color="auto" w:fill="CCEEFF"/>
          </w:tcPr>
          <w:p>
            <w:pPr>
              <w:jc w:val="center"/>
              <w:ind w:left="1471"/>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shd w:val="clear" w:color="auto" w:fill="CCEEFF"/>
          </w:tcPr>
          <w:p>
            <w:pPr>
              <w:spacing w:after="0"/>
              <w:rPr>
                <w:sz w:val="18"/>
                <w:szCs w:val="18"/>
                <w:color w:val="auto"/>
              </w:rPr>
            </w:pPr>
          </w:p>
        </w:tc>
      </w:tr>
      <w:tr>
        <w:trPr>
          <w:trHeight w:val="214"/>
        </w:trPr>
        <w:tc>
          <w:tcPr>
            <w:tcW w:w="7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Unpaid deferred offering costs included in accounts payable</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575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494</w:t>
            </w:r>
          </w:p>
        </w:tc>
        <w:tc>
          <w:tcPr>
            <w:tcW w:w="60" w:type="dxa"/>
            <w:vAlign w:val="bottom"/>
          </w:tcPr>
          <w:p>
            <w:pPr>
              <w:spacing w:after="0"/>
              <w:rPr>
                <w:sz w:val="18"/>
                <w:szCs w:val="18"/>
                <w:color w:val="auto"/>
              </w:rPr>
            </w:pPr>
          </w:p>
        </w:tc>
      </w:tr>
      <w:tr>
        <w:trPr>
          <w:trHeight w:val="214"/>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 capitalized in internal-use software</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080"/>
          </w:cols>
          <w:pgMar w:left="320" w:top="451" w:right="49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Omada Health, Inc.’s (together with its subsidiary and consolidated professional corporation, the “Company” or “Omada”) mission is to bend disease curves. As part of that mission, the Company strives to inspire and enable people to make lasting health changes on their own terms. The Company delivers virtual care between doctor’s visits, providing an engaging, personalized, and integrated experience for its members that is designed to improve their health while delivering value for its customers and channel partners, including employers, health plans, health systems, and pharmacy benefits managers (“PBMs”). The Company offers cardiometabolic programs for prediabetes, diabetes, and hypertension; a physical therapy program to address musculoskeletal (“MSK”) conditions; additional support for members taking glucagon-like peptide-1 agonists (“GLP-1”) in its cardiometabolic programs (“GLP-1 Care Tracks”); and behavioral health support across all programs. The Company was incorporated in the State of Delaware in April 2011 and is headquartered in San Francisco, California.</w:t>
      </w:r>
    </w:p>
    <w:p>
      <w:pPr>
        <w:spacing w:after="0" w:line="181" w:lineRule="exact"/>
        <w:rPr>
          <w:sz w:val="20"/>
          <w:szCs w:val="20"/>
          <w:color w:val="auto"/>
        </w:rPr>
      </w:pPr>
    </w:p>
    <w:p>
      <w:pPr>
        <w:ind w:left="600" w:right="7380" w:hanging="426"/>
        <w:spacing w:after="0" w:line="497" w:lineRule="auto"/>
        <w:tabs>
          <w:tab w:leader="none" w:pos="342"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Reverse Stock Split</w:t>
      </w:r>
    </w:p>
    <w:p>
      <w:pPr>
        <w:spacing w:after="0" w:line="2"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On May 27, 2025, the Company amended its restated certificate of incorporation, as amended, to effect a reverse stock split of shares of the Company’s common stock on a one-for-three basis (the “Reverse Stock Split”). The common stock warrants and options to purchase common stock were subsequently adjusted as a result of the Reverse Stock Split. All impacted share and per-share information included in these consolidated financial statements and notes thereto have been retroactively adjusted to give effect to the Reverse Stock Split.</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conformity with accounting principles generally accepted in the United States of America (“U.S. GAAP”). The condensed consolidated financial statements include the accounts of Omada Health Inc., its subsidiary, Physera, Inc., and a professional corporation, Physera Physical Therapy Group, PC (“PPTG” or the “professional corporation”), which was determined to be a variable interest entity (“VIE”) for which Omada is the primary beneficiary. All intercompany balances and transactions have been eliminated in consolidation. The unaudited condensed consolidated financial statements have been prepared on the same basis as the audited consolidated financial statements and reflect, in the opinion of management, all the adjustments of a normal, recurring nature that are necessary for the fair statement of the Company’s financial position, results of operations, and cash flows for the interim periods but are not necessarily indicative of the results expected for the full year or any other period.</w:t>
      </w:r>
    </w:p>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Entity</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Some jurisdictions have laws that prohibit business entities, such as Omada, from practicing physical therapy, employing physical therapists, exercising control over certain decisions by physical therapists (collectively known as the corporate practice of physical therapy), or engaging in certain arrangements with physical therapists, such as fee-splitting. The Company operates in accordance with these restrictions by holding a variable interest through a long-term management agreement in a professional corporation, which is owned and operated by physical therapists and which engages in provision of physical therapy and contracts with physical therapists and other healthcare practitioners duly licensed to practice and provide physical therapy services and treatment. The most recent long-term agreement commenced in January 2022, has an initial term of ten years, and is automatically renewable for successive periods of five-year terms unless terminated by either party for cause.</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080"/>
          </w:cols>
          <w:pgMar w:left="320" w:top="451" w:right="49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The management agreement is not terminable by the professional corporation during the initial term, except in the case of material breach or bankruptcy of Omada. The professional corporation is considered a VIE since it does not have sufficient equity to finance its activities without additional subordinated financial support. An enterprise having a controlling financial interest in a VIE must consolidate the VIE if it is considered the primary beneficiary, which is described as having both (1) the power to direct the activities of a VIE that most significantly impact the VIE’s economic performance and (2) the obligation to absorb losses of the VIE that potentially could be significant to the VIE or the right to receive benefits from the VIE that potentially could be significant to the VIE. Through the management agreement and the Company’s relationship with the stockholders of the professional corporation, the Company has exclusive authority over all non-medical decision making related to the ongoing business operations of the professional corporation. Based on the provisions of the agreements with the professional corporation, the Company consolidated the VIE at inception, and upon reconsideration events, as the Company is considered the primary beneficiary as the Company has control over the operations of the VIE, provides full financial and management support, and takes all residual benefits and bears all residual losses from its operations. The Company will perform on-going reassessments of the VIE based on any reconsideration events to reevaluate whether a change to the consolidation conclusion is required each reporting period.</w:t>
      </w:r>
    </w:p>
    <w:p>
      <w:pPr>
        <w:spacing w:after="0" w:line="191"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The condensed consolidated balance sheets as of December 31, 2024 and March 31, 2025 include assets of the consolidated VIE, which can only be used to settle obligations of the VIE, and liabilities of the consolidated VIE. As of December 31, 2024, after the elimination of intercompany transaction balances, assets of the consolidated VIE totaled $0.9 million, and liabilities of the consolidated VIE totaled $0.2 million. As of March 31, 2025, after the elimination of intercompany transaction balances, assets of the consolidated VIE totaled $1.0 million, and liabilities of the consolidated VIE totaled $0.2 million.</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4"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income and expense during the reporting period. The Company’s significant estimates and assumptions made in the accompanying condensed consolidated financial statements include, but are not limited to, determining standalone selling price for performance obligations in contracts with customers and variable consideration, the period of benefit for deferred commissions, the fair value of common stock warrants, the fair value of redeemable convertible preferred stock warrants, the valuation and assumptions underlying share-based compensation including the per-share fair value of the Company’s common stock, the assessment of useful life and recoverability of long-lived assets, the valuation of deferred tax assets, reserves for uncertain tax positions, and the incremental borrowing rate used in the Company’s operating lease calculations. By their nature, estimates are subject to an inherent degree of uncertainty and actual results could differ from those estimates. The Company bases its estimates on historical experience and on various other assumptions that are believed to be reasonable. Actual results may differ from those estimates or assumptions.</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Company considers operating segments to be components of the Company in which separate financial information is available and is evaluated regularly by the Company’s chief operating decision maker (“CODM”) in deciding how to allocate resources and in assessing performance. The CODM for the Company is the Chief Executive Officer. The CODM reviews financial information on a consolidated basis to make decisions about how to allocate resources and how to measure the Company’s performance. The Company has determined that it has one operating and reportable segment (refer to Note 11 for additional information).</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080"/>
          </w:cols>
          <w:pgMar w:left="320" w:top="451" w:right="49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Significant Customers and Channel Partners</w:t>
      </w:r>
    </w:p>
    <w:p>
      <w:pPr>
        <w:spacing w:after="0" w:line="224"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and accounts receivable. The Company holds cash at major financial institutions that often exceed Federal Deposit Insurance Corporation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w:t>
      </w:r>
    </w:p>
    <w:p>
      <w:pPr>
        <w:spacing w:after="0" w:line="183"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Concentrations of credit risk with respect to accounts receivable are primarily limited to certain customers and channel partners to which the Company makes substantial sales. Significant customers and channel partners are those which represent 10% or more of the accounts receivable balance or revenue for the periods presented. Customers and channel partners that accounted for 10% or more of accounts receivable, net as of December 31, 2024 and March 31, 2025 or 10% or more of revenue for the three months ended March 31, 2024 and 2025 were as follows:</w:t>
      </w:r>
    </w:p>
    <w:p>
      <w:pPr>
        <w:spacing w:after="0" w:line="20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8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Accounts Receivable, net</w:t>
            </w: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3"/>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Revenue</w:t>
            </w:r>
          </w:p>
        </w:tc>
      </w:tr>
      <w:tr>
        <w:trPr>
          <w:trHeight w:val="140"/>
        </w:trPr>
        <w:tc>
          <w:tcPr>
            <w:tcW w:w="2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ind w:left="400"/>
              <w:spacing w:after="0" w:line="141" w:lineRule="exact"/>
              <w:rPr>
                <w:sz w:val="20"/>
                <w:szCs w:val="20"/>
                <w:color w:val="auto"/>
              </w:rPr>
            </w:pPr>
            <w:r>
              <w:rPr>
                <w:rFonts w:ascii="Times New Roman" w:cs="Times New Roman" w:eastAsia="Times New Roman" w:hAnsi="Times New Roman"/>
                <w:sz w:val="14"/>
                <w:szCs w:val="14"/>
                <w:b w:val="1"/>
                <w:bCs w:val="1"/>
                <w:color w:val="auto"/>
              </w:rPr>
              <w:t>As of</w:t>
            </w:r>
          </w:p>
        </w:tc>
        <w:tc>
          <w:tcPr>
            <w:tcW w:w="940" w:type="dxa"/>
            <w:vAlign w:val="bottom"/>
            <w:tcBorders>
              <w:top w:val="single" w:sz="8" w:color="auto"/>
              <w:bottom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2660" w:type="dxa"/>
            <w:vAlign w:val="bottom"/>
            <w:tcBorders>
              <w:top w:val="single" w:sz="8" w:color="auto"/>
              <w:bottom w:val="single" w:sz="8" w:color="auto"/>
            </w:tcBorders>
            <w:gridSpan w:val="4"/>
          </w:tcPr>
          <w:p>
            <w:pPr>
              <w:jc w:val="right"/>
              <w:ind w:right="280"/>
              <w:spacing w:after="0" w:line="141"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2"/>
                <w:szCs w:val="12"/>
                <w:color w:val="auto"/>
              </w:rPr>
            </w:pPr>
          </w:p>
        </w:tc>
      </w:tr>
      <w:tr>
        <w:trPr>
          <w:trHeight w:val="140"/>
        </w:trPr>
        <w:tc>
          <w:tcPr>
            <w:tcW w:w="216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3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98"/>
              </w:rPr>
              <w:t>March 31, 2025</w:t>
            </w:r>
          </w:p>
        </w:tc>
        <w:tc>
          <w:tcPr>
            <w:tcW w:w="9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40"/>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2"/>
                <w:szCs w:val="12"/>
                <w:color w:val="auto"/>
              </w:rPr>
            </w:pPr>
          </w:p>
        </w:tc>
      </w:tr>
      <w:tr>
        <w:trPr>
          <w:trHeight w:val="207"/>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 A</w:t>
            </w:r>
          </w:p>
        </w:tc>
        <w:tc>
          <w:tcPr>
            <w:tcW w:w="14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29%</w:t>
            </w:r>
          </w:p>
        </w:tc>
        <w:tc>
          <w:tcPr>
            <w:tcW w:w="192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24%</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0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r>
      <w:tr>
        <w:trPr>
          <w:trHeight w:val="23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Partner B</w:t>
            </w:r>
          </w:p>
        </w:tc>
        <w:tc>
          <w:tcPr>
            <w:tcW w:w="3960" w:type="dxa"/>
            <w:vAlign w:val="bottom"/>
            <w:gridSpan w:val="3"/>
          </w:tcPr>
          <w:p>
            <w:pPr>
              <w:ind w:left="2460"/>
              <w:spacing w:after="0"/>
              <w:rPr>
                <w:sz w:val="20"/>
                <w:szCs w:val="20"/>
                <w:color w:val="auto"/>
              </w:rPr>
            </w:pPr>
            <w:r>
              <w:rPr>
                <w:rFonts w:ascii="Times New Roman" w:cs="Times New Roman" w:eastAsia="Times New Roman" w:hAnsi="Times New Roman"/>
                <w:sz w:val="18"/>
                <w:szCs w:val="18"/>
                <w:color w:val="auto"/>
              </w:rPr>
              <w:t>28%</w:t>
            </w:r>
          </w:p>
        </w:tc>
        <w:tc>
          <w:tcPr>
            <w:tcW w:w="19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35%</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bl>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Certain financial instruments are required to be recorded at fair value. Other financial instruments, including cash and cash equivalents are recorded at cost, which approximates fair value. Additionally, the carrying amounts of accounts receivable, prepaid expenses and other current assets, accounts payable, accrued expenses, and other current liabilities approximate fair value due to their short-term nature.</w:t>
      </w:r>
    </w:p>
    <w:p>
      <w:pPr>
        <w:spacing w:after="0" w:line="177"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Level 1 inputs: Quoted prices for identical assets and liabilities in active markets.</w:t>
      </w:r>
    </w:p>
    <w:p>
      <w:pPr>
        <w:spacing w:after="0" w:line="114" w:lineRule="exact"/>
        <w:rPr>
          <w:sz w:val="20"/>
          <w:szCs w:val="20"/>
          <w:color w:val="auto"/>
        </w:rPr>
      </w:pPr>
    </w:p>
    <w:p>
      <w:pPr>
        <w:ind w:left="1160" w:right="20"/>
        <w:spacing w:after="0" w:line="277" w:lineRule="auto"/>
        <w:rPr>
          <w:sz w:val="20"/>
          <w:szCs w:val="20"/>
          <w:color w:val="auto"/>
        </w:rPr>
      </w:pPr>
      <w:r>
        <w:rPr>
          <w:rFonts w:ascii="Times New Roman" w:cs="Times New Roman" w:eastAsia="Times New Roman" w:hAnsi="Times New Roman"/>
          <w:sz w:val="18"/>
          <w:szCs w:val="18"/>
          <w:color w:val="auto"/>
        </w:rPr>
        <w:t>Level 2 inputs: Assets and liabilities based on observable market data for similar instruments, such as quoted prices for similar assets or liabilities or other inputs that are observable or can be corroborated by observable market data.</w:t>
      </w:r>
    </w:p>
    <w:p>
      <w:pPr>
        <w:spacing w:after="0" w:line="57" w:lineRule="exact"/>
        <w:rPr>
          <w:sz w:val="20"/>
          <w:szCs w:val="20"/>
          <w:color w:val="auto"/>
        </w:rPr>
      </w:pPr>
    </w:p>
    <w:p>
      <w:pPr>
        <w:ind w:left="1160" w:right="20"/>
        <w:spacing w:after="0" w:line="277" w:lineRule="auto"/>
        <w:rPr>
          <w:sz w:val="20"/>
          <w:szCs w:val="20"/>
          <w:color w:val="auto"/>
        </w:rPr>
      </w:pPr>
      <w:r>
        <w:rPr>
          <w:rFonts w:ascii="Times New Roman" w:cs="Times New Roman" w:eastAsia="Times New Roman" w:hAnsi="Times New Roman"/>
          <w:sz w:val="18"/>
          <w:szCs w:val="18"/>
          <w:color w:val="auto"/>
        </w:rPr>
        <w:t>Level 3 inputs: Unobservable inputs reflecting the Company’s assumptions, consistent with reasonably available assumptions made by other market participants. These valuations require judgment.</w:t>
      </w:r>
    </w:p>
    <w:p>
      <w:pPr>
        <w:spacing w:after="0" w:line="163"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fair value hierarchy also requires an entity to maximize the use of observable inputs and minimizes the use of unobservable inputs when measuring fair value.</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w:t>
      </w:r>
    </w:p>
    <w:p>
      <w:pPr>
        <w:spacing w:after="0" w:line="224" w:lineRule="exact"/>
        <w:rPr>
          <w:sz w:val="20"/>
          <w:szCs w:val="20"/>
          <w:color w:val="auto"/>
        </w:rPr>
      </w:pPr>
    </w:p>
    <w:p>
      <w:pPr>
        <w:ind w:left="180" w:firstLine="436"/>
        <w:spacing w:after="0" w:line="277" w:lineRule="auto"/>
        <w:rPr>
          <w:sz w:val="20"/>
          <w:szCs w:val="20"/>
          <w:color w:val="auto"/>
        </w:rPr>
      </w:pPr>
      <w:r>
        <w:rPr>
          <w:rFonts w:ascii="Times New Roman" w:cs="Times New Roman" w:eastAsia="Times New Roman" w:hAnsi="Times New Roman"/>
          <w:sz w:val="18"/>
          <w:szCs w:val="18"/>
          <w:color w:val="auto"/>
        </w:rPr>
        <w:t>Contract assets include amounts related to the Company’s enforceable right to consideration for completed performance obligations that cannot be invoiced yet under the terms of the contract. Contract assets relate</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080"/>
          </w:cols>
          <w:pgMar w:left="320" w:top="451" w:right="49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p>
      <w:pPr>
        <w:jc w:val="both"/>
        <w:ind w:left="180"/>
        <w:spacing w:after="0" w:line="262" w:lineRule="auto"/>
        <w:rPr>
          <w:sz w:val="20"/>
          <w:szCs w:val="20"/>
          <w:color w:val="auto"/>
        </w:rPr>
      </w:pPr>
      <w:r>
        <w:rPr>
          <w:rFonts w:ascii="Times New Roman" w:cs="Times New Roman" w:eastAsia="Times New Roman" w:hAnsi="Times New Roman"/>
          <w:sz w:val="18"/>
          <w:szCs w:val="18"/>
          <w:color w:val="auto"/>
        </w:rPr>
        <w:t>primarily to hardware revenue that is recognized upon shipment and has not yet been invoiced. The contract assets are transferred to accounts receivable, net when the rights become unconditional. As of December 31, 2024 and March 31, 2025, the Company had $0.5 million and $0.7 million short-term contract assets, respectively, included in prepaid expenses and other current assets in the condensed consolidated balance sheets.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Deferred revenue consists primarily of payments received and accounts receivable recorded in advance of the delivery or completion of the services. Deferred revenue associated with upfront payments for enrollment is generally recognized over the estimated benefit period to the member of twelve months. As of December 31, 2024 and March 31, 2025, deferred revenue was classified as a current liability based on the anticipated recognition period of twelve months or less.</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 summary of the activity impacting deferred revenue balances is presented below (in thousands):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8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8"/>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0"/>
        </w:trPr>
        <w:tc>
          <w:tcPr>
            <w:tcW w:w="8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880" w:type="dxa"/>
            <w:vAlign w:val="bottom"/>
            <w:tcBorders>
              <w:top w:val="single" w:sz="8" w:color="auto"/>
            </w:tcBorders>
            <w:gridSpan w:val="2"/>
          </w:tcPr>
          <w:p>
            <w:pPr>
              <w:jc w:val="right"/>
              <w:ind w:right="3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740" w:type="dxa"/>
            <w:vAlign w:val="bottom"/>
            <w:tcBorders>
              <w:top w:val="single" w:sz="8" w:color="auto"/>
            </w:tcBorders>
          </w:tcPr>
          <w:p>
            <w:pPr>
              <w:jc w:val="right"/>
              <w:ind w:right="135"/>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2025    </w:t>
            </w:r>
          </w:p>
        </w:tc>
        <w:tc>
          <w:tcPr>
            <w:tcW w:w="140" w:type="dxa"/>
            <w:vAlign w:val="bottom"/>
          </w:tcPr>
          <w:p>
            <w:pPr>
              <w:spacing w:after="0"/>
              <w:rPr>
                <w:sz w:val="12"/>
                <w:szCs w:val="12"/>
                <w:color w:val="auto"/>
              </w:rPr>
            </w:pPr>
          </w:p>
        </w:tc>
      </w:tr>
      <w:tr>
        <w:trPr>
          <w:trHeight w:val="207"/>
        </w:trPr>
        <w:tc>
          <w:tcPr>
            <w:tcW w:w="8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2"/>
              </w:rPr>
              <w:t> </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14,885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19,530</w:t>
            </w:r>
          </w:p>
        </w:tc>
        <w:tc>
          <w:tcPr>
            <w:tcW w:w="140" w:type="dxa"/>
            <w:vAlign w:val="bottom"/>
            <w:tcBorders>
              <w:top w:val="single" w:sz="8" w:color="CCEEFF"/>
            </w:tcBorders>
            <w:shd w:val="clear" w:color="auto" w:fill="CCEEFF"/>
          </w:tcPr>
          <w:p>
            <w:pPr>
              <w:spacing w:after="0"/>
              <w:rPr>
                <w:sz w:val="18"/>
                <w:szCs w:val="18"/>
                <w:color w:val="auto"/>
              </w:rPr>
            </w:pPr>
          </w:p>
        </w:tc>
      </w:tr>
      <w:tr>
        <w:trPr>
          <w:trHeight w:val="214"/>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(35,095)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(54,963)</w:t>
            </w:r>
          </w:p>
        </w:tc>
      </w:tr>
      <w:tr>
        <w:trPr>
          <w:trHeight w:val="214"/>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amounts deferred</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58,219</w:t>
            </w:r>
          </w:p>
        </w:tc>
        <w:tc>
          <w:tcPr>
            <w:tcW w:w="140" w:type="dxa"/>
            <w:vAlign w:val="bottom"/>
            <w:shd w:val="clear" w:color="auto" w:fill="CCEEFF"/>
          </w:tcPr>
          <w:p>
            <w:pPr>
              <w:spacing w:after="0"/>
              <w:rPr>
                <w:sz w:val="18"/>
                <w:szCs w:val="18"/>
                <w:color w:val="auto"/>
              </w:rPr>
            </w:pPr>
          </w:p>
        </w:tc>
      </w:tr>
      <w:tr>
        <w:trPr>
          <w:trHeight w:val="220"/>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22,786</w:t>
            </w:r>
          </w:p>
        </w:tc>
        <w:tc>
          <w:tcPr>
            <w:tcW w:w="140" w:type="dxa"/>
            <w:vAlign w:val="bottom"/>
          </w:tcPr>
          <w:p>
            <w:pPr>
              <w:spacing w:after="0"/>
              <w:rPr>
                <w:sz w:val="19"/>
                <w:szCs w:val="19"/>
                <w:color w:val="auto"/>
              </w:rPr>
            </w:pPr>
          </w:p>
        </w:tc>
      </w:tr>
    </w:tbl>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Deferred offering costs, consisting of legal, accounting, and other fees and costs relating to the Company’s planned initial public offering (“IPO”) are capitalized within other assets on the condensed consolidated balance sheets. The deferred offering costs will be offset against the proceeds received by the Company upon the closing of the planned IPO. In the event the planned IPO is terminated, all of the deferred offering costs will be expensed within operating loss. The Company deferred $4.8 million and $5.7 million of planned IPO costs as of December 31, 2024 and March 31, 2025, respectively.</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224"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Income Taxes (Topic 740): Improvements to Income Tax Disclosures (“ASU 2023-09”). ASU 2023-09 requires disaggregated information about a reporting entity’s effective tax rate reconciliation as well as information on income taxes paid. The updates in this ASU may be applied on a prospective or retrospective application basis and are effective for annual periods beginning after December 15, 2025. Early adoption is permitted. The Company is currently evaluating the impact of the new standard on its condensed consolidated financial statements.</w:t>
      </w:r>
    </w:p>
    <w:p>
      <w:pPr>
        <w:spacing w:after="0" w:line="18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which requires disclosures about specific types of expenses included in the expense captions presented on the face of the income statement as well as disclosures about selling expenses. The new guidance is effective for annual reporting periods beginning after December 15, 2026 and interim reporting periods beginning after December 15, 2027. Early adoption is permitted. The requirements will be applied prospectively with the option for retrospective application. The Company is currently evaluating the impact of the new standard on its condensed consolidated financial statement disclosures.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080"/>
          </w:cols>
          <w:pgMar w:left="320" w:top="451" w:right="49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measured at fair value on a recurring basis based on the fair value hierarchy as follows (in thousands):</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4520" w:type="dxa"/>
            <w:vAlign w:val="bottom"/>
            <w:tcBorders>
              <w:bottom w:val="single" w:sz="8" w:color="CCEEFF"/>
            </w:tcBorders>
          </w:tcPr>
          <w:p>
            <w:pPr>
              <w:spacing w:after="0"/>
              <w:rPr>
                <w:sz w:val="12"/>
                <w:szCs w:val="12"/>
                <w:color w:val="auto"/>
              </w:rPr>
            </w:pPr>
          </w:p>
        </w:tc>
        <w:tc>
          <w:tcPr>
            <w:tcW w:w="26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5"/>
              <w:spacing w:after="0" w:line="141"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2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5"/>
              <w:spacing w:after="0" w:line="141"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Borders>
              <w:bottom w:val="single" w:sz="8" w:color="CCEEFF"/>
            </w:tcBorders>
          </w:tcPr>
          <w:p>
            <w:pPr>
              <w:spacing w:after="0"/>
              <w:rPr>
                <w:sz w:val="12"/>
                <w:szCs w:val="12"/>
                <w:color w:val="auto"/>
              </w:rPr>
            </w:pPr>
          </w:p>
        </w:tc>
      </w:tr>
      <w:tr>
        <w:trPr>
          <w:trHeight w:val="194"/>
        </w:trPr>
        <w:tc>
          <w:tcPr>
            <w:tcW w:w="20" w:type="dxa"/>
            <w:vAlign w:val="bottom"/>
          </w:tcPr>
          <w:p>
            <w:pPr>
              <w:spacing w:after="0"/>
              <w:rPr>
                <w:sz w:val="16"/>
                <w:szCs w:val="16"/>
                <w:color w:val="auto"/>
              </w:rPr>
            </w:pPr>
          </w:p>
        </w:tc>
        <w:tc>
          <w:tcPr>
            <w:tcW w:w="45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Assets</w:t>
            </w:r>
          </w:p>
        </w:tc>
        <w:tc>
          <w:tcPr>
            <w:tcW w:w="2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2800" w:type="dxa"/>
            <w:vAlign w:val="bottom"/>
            <w:gridSpan w:val="2"/>
            <w:shd w:val="clear" w:color="auto" w:fill="CCEEFF"/>
          </w:tcPr>
          <w:p>
            <w:pPr>
              <w:ind w:left="2640"/>
              <w:spacing w:after="0"/>
              <w:rPr>
                <w:sz w:val="20"/>
                <w:szCs w:val="20"/>
                <w:color w:val="auto"/>
              </w:rPr>
            </w:pPr>
            <w:r>
              <w:rPr>
                <w:rFonts w:ascii="Times New Roman" w:cs="Times New Roman" w:eastAsia="Times New Roman" w:hAnsi="Times New Roman"/>
                <w:sz w:val="18"/>
                <w:szCs w:val="18"/>
                <w:color w:val="auto"/>
              </w:rPr>
              <w:t xml:space="preserve">$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64,501</w:t>
            </w: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64,501</w:t>
            </w:r>
          </w:p>
        </w:tc>
        <w:tc>
          <w:tcPr>
            <w:tcW w:w="60" w:type="dxa"/>
            <w:vAlign w:val="bottom"/>
            <w:shd w:val="clear" w:color="auto" w:fill="CCEEFF"/>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64,501</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64,501</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 liabilities</w:t>
            </w:r>
          </w:p>
        </w:tc>
        <w:tc>
          <w:tcPr>
            <w:tcW w:w="26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48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4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6"/>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0"/>
        </w:trPr>
        <w:tc>
          <w:tcPr>
            <w:tcW w:w="20" w:type="dxa"/>
            <w:vAlign w:val="bottom"/>
          </w:tcPr>
          <w:p>
            <w:pPr>
              <w:spacing w:after="0"/>
              <w:rPr>
                <w:sz w:val="12"/>
                <w:szCs w:val="12"/>
                <w:color w:val="auto"/>
              </w:rPr>
            </w:pPr>
          </w:p>
        </w:tc>
        <w:tc>
          <w:tcPr>
            <w:tcW w:w="4520" w:type="dxa"/>
            <w:vAlign w:val="bottom"/>
            <w:tcBorders>
              <w:bottom w:val="single" w:sz="8" w:color="CCEEFF"/>
            </w:tcBorders>
          </w:tcPr>
          <w:p>
            <w:pPr>
              <w:spacing w:after="0"/>
              <w:rPr>
                <w:sz w:val="12"/>
                <w:szCs w:val="12"/>
                <w:color w:val="auto"/>
              </w:rPr>
            </w:pPr>
          </w:p>
        </w:tc>
        <w:tc>
          <w:tcPr>
            <w:tcW w:w="26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5"/>
              <w:spacing w:after="0" w:line="141"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2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5"/>
              <w:spacing w:after="0" w:line="141"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Borders>
              <w:bottom w:val="single" w:sz="8" w:color="CCEEFF"/>
            </w:tcBorders>
          </w:tcPr>
          <w:p>
            <w:pPr>
              <w:spacing w:after="0"/>
              <w:rPr>
                <w:sz w:val="12"/>
                <w:szCs w:val="12"/>
                <w:color w:val="auto"/>
              </w:rPr>
            </w:pPr>
          </w:p>
        </w:tc>
      </w:tr>
      <w:tr>
        <w:trPr>
          <w:trHeight w:val="194"/>
        </w:trPr>
        <w:tc>
          <w:tcPr>
            <w:tcW w:w="20" w:type="dxa"/>
            <w:vAlign w:val="bottom"/>
          </w:tcPr>
          <w:p>
            <w:pPr>
              <w:spacing w:after="0"/>
              <w:rPr>
                <w:sz w:val="16"/>
                <w:szCs w:val="16"/>
                <w:color w:val="auto"/>
              </w:rPr>
            </w:pPr>
          </w:p>
        </w:tc>
        <w:tc>
          <w:tcPr>
            <w:tcW w:w="45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Assets</w:t>
            </w:r>
          </w:p>
        </w:tc>
        <w:tc>
          <w:tcPr>
            <w:tcW w:w="2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2800" w:type="dxa"/>
            <w:vAlign w:val="bottom"/>
            <w:gridSpan w:val="2"/>
            <w:shd w:val="clear" w:color="auto" w:fill="CCEEFF"/>
          </w:tcPr>
          <w:p>
            <w:pPr>
              <w:ind w:left="2640"/>
              <w:spacing w:after="0"/>
              <w:rPr>
                <w:sz w:val="20"/>
                <w:szCs w:val="20"/>
                <w:color w:val="auto"/>
              </w:rPr>
            </w:pPr>
            <w:r>
              <w:rPr>
                <w:rFonts w:ascii="Times New Roman" w:cs="Times New Roman" w:eastAsia="Times New Roman" w:hAnsi="Times New Roman"/>
                <w:sz w:val="18"/>
                <w:szCs w:val="18"/>
                <w:color w:val="auto"/>
              </w:rPr>
              <w:t xml:space="preserve">$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43,678</w:t>
            </w: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43,678</w:t>
            </w:r>
          </w:p>
        </w:tc>
        <w:tc>
          <w:tcPr>
            <w:tcW w:w="60" w:type="dxa"/>
            <w:vAlign w:val="bottom"/>
            <w:shd w:val="clear" w:color="auto" w:fill="CCEEFF"/>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43,678</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43,678</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 liabilities</w:t>
            </w:r>
          </w:p>
        </w:tc>
        <w:tc>
          <w:tcPr>
            <w:tcW w:w="26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48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4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Level 3 liabilities that are measured at fair value on a recurring basis consist of redeemable convertible preferred stock warrant liabilities and common stock warrant liabilities associated with warrants issued in connection with the Company’s financing arrangements (refer to Note 5 and Note 8 for additional information). The fair values of the outstanding warrants are measured using the Black-Scholes option-pricing model. Inputs used to determine estimated fair value include the estimated fair value of the underlying stock at the valuation measurement date, the remaining contractual term of the warrants, risk-free interest rates, expected dividends, and the expected volatility of the underlying stock. The carrying value of long-term debt approximates its fair value based on Level 2 inputs as the principal amounts outstanding are subject to variable interest rates that are based on market rates (see Note 5, “Financing Arrangements”).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080"/>
          </w:cols>
          <w:pgMar w:left="320" w:top="451" w:right="49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tables present the quantitative information regarding Level 3 fair value measurements of the warrant liabilities: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8"/>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20" w:type="dxa"/>
            <w:vAlign w:val="bottom"/>
          </w:tcPr>
          <w:p>
            <w:pPr>
              <w:spacing w:after="0"/>
              <w:rPr>
                <w:sz w:val="12"/>
                <w:szCs w:val="12"/>
                <w:color w:val="auto"/>
              </w:rPr>
            </w:pPr>
          </w:p>
        </w:tc>
        <w:tc>
          <w:tcPr>
            <w:tcW w:w="1120" w:type="dxa"/>
            <w:vAlign w:val="bottom"/>
            <w:gridSpan w:val="4"/>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Series B </w:t>
            </w:r>
          </w:p>
        </w:tc>
        <w:tc>
          <w:tcPr>
            <w:tcW w:w="2040" w:type="dxa"/>
            <w:vAlign w:val="bottom"/>
            <w:gridSpan w:val="8"/>
          </w:tcPr>
          <w:p>
            <w:pPr>
              <w:jc w:val="right"/>
              <w:ind w:right="904"/>
              <w:spacing w:after="0" w:line="141" w:lineRule="exact"/>
              <w:rPr>
                <w:sz w:val="20"/>
                <w:szCs w:val="20"/>
                <w:color w:val="auto"/>
              </w:rPr>
            </w:pPr>
            <w:r>
              <w:rPr>
                <w:rFonts w:ascii="Times New Roman" w:cs="Times New Roman" w:eastAsia="Times New Roman" w:hAnsi="Times New Roman"/>
                <w:sz w:val="14"/>
                <w:szCs w:val="14"/>
                <w:b w:val="1"/>
                <w:bCs w:val="1"/>
                <w:color w:val="auto"/>
              </w:rPr>
              <w:t>   Series D </w:t>
            </w:r>
          </w:p>
        </w:tc>
        <w:tc>
          <w:tcPr>
            <w:tcW w:w="160" w:type="dxa"/>
            <w:vAlign w:val="bottom"/>
            <w:gridSpan w:val="2"/>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40" w:type="dxa"/>
            <w:vAlign w:val="bottom"/>
          </w:tcPr>
          <w:p>
            <w:pPr>
              <w:jc w:val="right"/>
              <w:ind w:right="33"/>
              <w:spacing w:after="0" w:line="141" w:lineRule="exact"/>
              <w:rPr>
                <w:sz w:val="20"/>
                <w:szCs w:val="20"/>
                <w:color w:val="auto"/>
              </w:rPr>
            </w:pPr>
            <w:r>
              <w:rPr>
                <w:rFonts w:ascii="Times New Roman" w:cs="Times New Roman" w:eastAsia="Times New Roman" w:hAnsi="Times New Roman"/>
                <w:sz w:val="14"/>
                <w:szCs w:val="14"/>
                <w:b w:val="1"/>
                <w:bCs w:val="1"/>
                <w:color w:val="auto"/>
                <w:w w:val="86"/>
              </w:rPr>
              <w:t>Common </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06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3"/>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4.21%</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4.38%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8"/>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000" w:type="dxa"/>
            <w:vAlign w:val="bottom"/>
            <w:gridSpan w:val="3"/>
          </w:tcPr>
          <w:p>
            <w:pPr>
              <w:jc w:val="right"/>
              <w:ind w:right="460"/>
              <w:spacing w:after="0" w:line="141" w:lineRule="exact"/>
              <w:rPr>
                <w:sz w:val="20"/>
                <w:szCs w:val="20"/>
                <w:color w:val="auto"/>
              </w:rPr>
            </w:pPr>
            <w:r>
              <w:rPr>
                <w:rFonts w:ascii="Times New Roman" w:cs="Times New Roman" w:eastAsia="Times New Roman" w:hAnsi="Times New Roman"/>
                <w:sz w:val="14"/>
                <w:szCs w:val="14"/>
                <w:b w:val="1"/>
                <w:bCs w:val="1"/>
                <w:color w:val="auto"/>
                <w:w w:val="82"/>
              </w:rPr>
              <w:t>Series B </w:t>
            </w:r>
          </w:p>
        </w:tc>
        <w:tc>
          <w:tcPr>
            <w:tcW w:w="420" w:type="dxa"/>
            <w:vAlign w:val="bottom"/>
          </w:tcPr>
          <w:p>
            <w:pPr>
              <w:spacing w:after="0"/>
              <w:rPr>
                <w:sz w:val="12"/>
                <w:szCs w:val="12"/>
                <w:color w:val="auto"/>
              </w:rPr>
            </w:pPr>
          </w:p>
        </w:tc>
        <w:tc>
          <w:tcPr>
            <w:tcW w:w="1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440" w:type="dxa"/>
            <w:vAlign w:val="bottom"/>
            <w:gridSpan w:val="5"/>
          </w:tcPr>
          <w:p>
            <w:pPr>
              <w:jc w:val="right"/>
              <w:ind w:right="824"/>
              <w:spacing w:after="0" w:line="141" w:lineRule="exact"/>
              <w:rPr>
                <w:sz w:val="20"/>
                <w:szCs w:val="20"/>
                <w:color w:val="auto"/>
              </w:rPr>
            </w:pPr>
            <w:r>
              <w:rPr>
                <w:rFonts w:ascii="Times New Roman" w:cs="Times New Roman" w:eastAsia="Times New Roman" w:hAnsi="Times New Roman"/>
                <w:sz w:val="14"/>
                <w:szCs w:val="14"/>
                <w:b w:val="1"/>
                <w:bCs w:val="1"/>
                <w:color w:val="auto"/>
                <w:w w:val="85"/>
              </w:rPr>
              <w:t>Series D </w:t>
            </w:r>
          </w:p>
        </w:tc>
        <w:tc>
          <w:tcPr>
            <w:tcW w:w="160" w:type="dxa"/>
            <w:vAlign w:val="bottom"/>
            <w:gridSpan w:val="2"/>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40" w:type="dxa"/>
            <w:vAlign w:val="bottom"/>
          </w:tcPr>
          <w:p>
            <w:pPr>
              <w:jc w:val="right"/>
              <w:ind w:right="33"/>
              <w:spacing w:after="0" w:line="141" w:lineRule="exact"/>
              <w:rPr>
                <w:sz w:val="20"/>
                <w:szCs w:val="20"/>
                <w:color w:val="auto"/>
              </w:rPr>
            </w:pPr>
            <w:r>
              <w:rPr>
                <w:rFonts w:ascii="Times New Roman" w:cs="Times New Roman" w:eastAsia="Times New Roman" w:hAnsi="Times New Roman"/>
                <w:sz w:val="14"/>
                <w:szCs w:val="14"/>
                <w:b w:val="1"/>
                <w:bCs w:val="1"/>
                <w:color w:val="auto"/>
                <w:w w:val="86"/>
              </w:rPr>
              <w:t>Common </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5.22</w:t>
            </w:r>
          </w:p>
        </w:tc>
        <w:tc>
          <w:tcPr>
            <w:tcW w:w="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40" w:type="dxa"/>
            <w:vAlign w:val="bottom"/>
          </w:tcPr>
          <w:p>
            <w:pPr>
              <w:spacing w:after="0"/>
              <w:rPr>
                <w:sz w:val="18"/>
                <w:szCs w:val="18"/>
                <w:color w:val="auto"/>
              </w:rPr>
            </w:pPr>
          </w:p>
        </w:tc>
        <w:tc>
          <w:tcPr>
            <w:tcW w:w="6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5.04</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4.14%</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3.96%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7740" w:type="dxa"/>
            <w:vAlign w:val="bottom"/>
            <w:gridSpan w:val="8"/>
          </w:tcPr>
          <w:p>
            <w:pPr>
              <w:jc w:val="right"/>
              <w:ind w:right="80"/>
              <w:spacing w:after="0"/>
              <w:rPr>
                <w:sz w:val="20"/>
                <w:szCs w:val="20"/>
                <w:color w:val="auto"/>
              </w:rPr>
            </w:pPr>
            <w:r>
              <w:rPr>
                <w:rFonts w:ascii="Times New Roman" w:cs="Times New Roman" w:eastAsia="Times New Roman" w:hAnsi="Times New Roman"/>
                <w:sz w:val="18"/>
                <w:szCs w:val="18"/>
                <w:color w:val="auto"/>
              </w:rPr>
              <w:t>The following table sets forth a summary of changes in fair value of Level 3 liabilities (in thousands):</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45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warrant liabilities</w:t>
            </w: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560" w:type="dxa"/>
            <w:vAlign w:val="bottom"/>
            <w:gridSpan w:val="2"/>
            <w:vMerge w:val="continue"/>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warrant liabilities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2,772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The Company recognizes transfers among Level 1, Level 2, and Level 3 classifications as of the actual date of the events or change in circumstances that caused the transfers. During the three months ended March 31, 2024 and 2025, the Company had no transfers of financial assets or liabilities between levels of the fair value hierarchy.</w:t>
      </w:r>
    </w:p>
    <w:p>
      <w:pPr>
        <w:spacing w:after="0" w:line="173" w:lineRule="exact"/>
        <w:rPr>
          <w:sz w:val="20"/>
          <w:szCs w:val="20"/>
          <w:color w:val="auto"/>
        </w:rPr>
      </w:pPr>
    </w:p>
    <w:p>
      <w:pPr>
        <w:ind w:left="600" w:right="7620" w:hanging="426"/>
        <w:spacing w:after="0" w:line="527" w:lineRule="auto"/>
        <w:tabs>
          <w:tab w:leader="none" w:pos="342" w:val="left"/>
        </w:tabs>
        <w:numPr>
          <w:ilvl w:val="0"/>
          <w:numId w:val="1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Consolidated Balance Sheet Components </w:t>
      </w:r>
      <w:r>
        <w:rPr>
          <w:rFonts w:ascii="Times New Roman" w:cs="Times New Roman" w:eastAsia="Times New Roman" w:hAnsi="Times New Roman"/>
          <w:sz w:val="17"/>
          <w:szCs w:val="17"/>
          <w:b w:val="1"/>
          <w:bCs w:val="1"/>
          <w:i w:val="1"/>
          <w:iCs w:val="1"/>
          <w:color w:val="auto"/>
        </w:rPr>
        <w:t>Accounts Receivable, Net</w:t>
      </w: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Accounts receivable, net consisted of the following (in thousands):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7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0"/>
        </w:trPr>
        <w:tc>
          <w:tcPr>
            <w:tcW w:w="37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54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2"/>
                <w:szCs w:val="12"/>
                <w:color w:val="auto"/>
              </w:rPr>
            </w:pPr>
          </w:p>
        </w:tc>
        <w:tc>
          <w:tcPr>
            <w:tcW w:w="100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2"/>
                <w:szCs w:val="12"/>
                <w:color w:val="auto"/>
              </w:rPr>
            </w:pPr>
          </w:p>
        </w:tc>
      </w:tr>
      <w:tr>
        <w:trPr>
          <w:trHeight w:val="207"/>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Billed accounts receivable</w:t>
            </w:r>
          </w:p>
        </w:tc>
        <w:tc>
          <w:tcPr>
            <w:tcW w:w="4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20,190</w:t>
            </w:r>
          </w:p>
        </w:tc>
        <w:tc>
          <w:tcPr>
            <w:tcW w:w="120" w:type="dxa"/>
            <w:vAlign w:val="bottom"/>
          </w:tcPr>
          <w:p>
            <w:pPr>
              <w:spacing w:after="0"/>
              <w:rPr>
                <w:sz w:val="18"/>
                <w:szCs w:val="18"/>
                <w:color w:val="auto"/>
              </w:rPr>
            </w:pPr>
          </w:p>
        </w:tc>
      </w:tr>
      <w:tr>
        <w:trPr>
          <w:trHeight w:val="214"/>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(1,985)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(2,103)</w:t>
            </w:r>
          </w:p>
        </w:tc>
      </w:tr>
      <w:tr>
        <w:trPr>
          <w:trHeight w:val="22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44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23,417</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29,282</w:t>
            </w:r>
          </w:p>
        </w:tc>
        <w:tc>
          <w:tcPr>
            <w:tcW w:w="120" w:type="dxa"/>
            <w:vAlign w:val="bottom"/>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5"/>
        </w:trPr>
        <w:tc>
          <w:tcPr>
            <w:tcW w:w="3700" w:type="dxa"/>
            <w:vAlign w:val="bottom"/>
          </w:tcPr>
          <w:p>
            <w:pPr>
              <w:spacing w:after="0"/>
              <w:rPr>
                <w:sz w:val="24"/>
                <w:szCs w:val="24"/>
                <w:color w:val="auto"/>
              </w:rPr>
            </w:pPr>
          </w:p>
        </w:tc>
        <w:tc>
          <w:tcPr>
            <w:tcW w:w="46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F-50</w:t>
            </w: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80"/>
          </w:cols>
          <w:pgMar w:left="320" w:top="451" w:right="49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 roll forward of the Company’s allowance for credit losses was as follows (in thousands):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8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0"/>
        </w:trPr>
        <w:tc>
          <w:tcPr>
            <w:tcW w:w="8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4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76"/>
              </w:rPr>
              <w:t>2024 </w:t>
            </w:r>
          </w:p>
        </w:tc>
        <w:tc>
          <w:tcPr>
            <w:tcW w:w="720" w:type="dxa"/>
            <w:vAlign w:val="bottom"/>
            <w:gridSpan w:val="2"/>
          </w:tcPr>
          <w:p>
            <w:pPr>
              <w:jc w:val="right"/>
              <w:ind w:right="60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1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20" w:type="dxa"/>
            <w:vAlign w:val="bottom"/>
          </w:tcPr>
          <w:p>
            <w:pPr>
              <w:jc w:val="right"/>
              <w:ind w:right="135"/>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2025    </w:t>
            </w:r>
          </w:p>
        </w:tc>
        <w:tc>
          <w:tcPr>
            <w:tcW w:w="140" w:type="dxa"/>
            <w:vAlign w:val="bottom"/>
          </w:tcPr>
          <w:p>
            <w:pPr>
              <w:spacing w:after="0"/>
              <w:rPr>
                <w:sz w:val="12"/>
                <w:szCs w:val="12"/>
                <w:color w:val="auto"/>
              </w:rPr>
            </w:pPr>
          </w:p>
        </w:tc>
      </w:tr>
      <w:tr>
        <w:trPr>
          <w:trHeight w:val="207"/>
        </w:trPr>
        <w:tc>
          <w:tcPr>
            <w:tcW w:w="8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(630)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5"/>
              </w:rPr>
              <w:t>  </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(1,985)</w:t>
            </w:r>
          </w:p>
        </w:tc>
        <w:tc>
          <w:tcPr>
            <w:tcW w:w="140" w:type="dxa"/>
            <w:vAlign w:val="bottom"/>
            <w:tcBorders>
              <w:top w:val="single" w:sz="8" w:color="CCEEFF"/>
            </w:tcBorders>
            <w:shd w:val="clear" w:color="auto" w:fill="CCEEFF"/>
          </w:tcPr>
          <w:p>
            <w:pPr>
              <w:spacing w:after="0"/>
              <w:rPr>
                <w:sz w:val="18"/>
                <w:szCs w:val="18"/>
                <w:color w:val="auto"/>
              </w:rPr>
            </w:pPr>
          </w:p>
        </w:tc>
      </w:tr>
      <w:tr>
        <w:trPr>
          <w:trHeight w:val="214"/>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(631)</w:t>
            </w:r>
          </w:p>
        </w:tc>
      </w:tr>
      <w:tr>
        <w:trPr>
          <w:trHeight w:val="214"/>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 and write-offs</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40" w:type="dxa"/>
            <w:vAlign w:val="bottom"/>
            <w:shd w:val="clear" w:color="auto" w:fill="CCEEFF"/>
          </w:tcPr>
          <w:p>
            <w:pPr>
              <w:spacing w:after="0"/>
              <w:rPr>
                <w:sz w:val="18"/>
                <w:szCs w:val="18"/>
                <w:color w:val="auto"/>
              </w:rPr>
            </w:pPr>
          </w:p>
        </w:tc>
      </w:tr>
      <w:tr>
        <w:trPr>
          <w:trHeight w:val="220"/>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(738)</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40" w:type="dxa"/>
            <w:vAlign w:val="bottom"/>
          </w:tcPr>
          <w:p>
            <w:pPr>
              <w:spacing w:after="0"/>
              <w:rPr>
                <w:sz w:val="19"/>
                <w:szCs w:val="19"/>
                <w:color w:val="auto"/>
              </w:rPr>
            </w:pPr>
          </w:p>
        </w:tc>
      </w:tr>
      <w:tr>
        <w:trPr>
          <w:trHeight w:val="20"/>
        </w:trPr>
        <w:tc>
          <w:tcPr>
            <w:tcW w:w="8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4"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Inventory is comprised of finished goods inventory. There was no reserve for excess and obsolete inventory recorded as of December 31, 2024 and March 31, 2025.</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5. Financing Arrangements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Company’s financing arrangements consisted of the following (in thousands):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8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0"/>
        </w:trPr>
        <w:tc>
          <w:tcPr>
            <w:tcW w:w="8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2"/>
                <w:szCs w:val="12"/>
                <w:color w:val="auto"/>
              </w:rPr>
            </w:pPr>
          </w:p>
        </w:tc>
        <w:tc>
          <w:tcPr>
            <w:tcW w:w="100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2"/>
                <w:szCs w:val="12"/>
                <w:color w:val="auto"/>
              </w:rPr>
            </w:pPr>
          </w:p>
        </w:tc>
      </w:tr>
      <w:tr>
        <w:trPr>
          <w:trHeight w:val="207"/>
        </w:trPr>
        <w:tc>
          <w:tcPr>
            <w:tcW w:w="8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30,000</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4"/>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Revolving line of credit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tcPr>
          <w:p>
            <w:pPr>
              <w:spacing w:after="0"/>
              <w:rPr>
                <w:sz w:val="18"/>
                <w:szCs w:val="18"/>
                <w:color w:val="auto"/>
              </w:rPr>
            </w:pPr>
          </w:p>
        </w:tc>
      </w:tr>
      <w:tr>
        <w:trPr>
          <w:trHeight w:val="214"/>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 net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(1,192)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(1,095)</w:t>
            </w:r>
          </w:p>
        </w:tc>
      </w:tr>
      <w:tr>
        <w:trPr>
          <w:trHeight w:val="220"/>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Long term debt</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29,868</w:t>
            </w:r>
          </w:p>
        </w:tc>
        <w:tc>
          <w:tcPr>
            <w:tcW w:w="120" w:type="dxa"/>
            <w:vAlign w:val="bottom"/>
          </w:tcPr>
          <w:p>
            <w:pPr>
              <w:spacing w:after="0"/>
              <w:rPr>
                <w:sz w:val="19"/>
                <w:szCs w:val="19"/>
                <w:color w:val="auto"/>
              </w:rPr>
            </w:pPr>
          </w:p>
        </w:tc>
      </w:tr>
      <w:tr>
        <w:trPr>
          <w:trHeight w:val="20"/>
        </w:trPr>
        <w:tc>
          <w:tcPr>
            <w:tcW w:w="8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MidCap Credit Agreement</w:t>
      </w:r>
    </w:p>
    <w:p>
      <w:pPr>
        <w:spacing w:after="0" w:line="224" w:lineRule="exact"/>
        <w:rPr>
          <w:sz w:val="20"/>
          <w:szCs w:val="20"/>
          <w:color w:val="auto"/>
        </w:rPr>
      </w:pPr>
    </w:p>
    <w:p>
      <w:pPr>
        <w:jc w:val="both"/>
        <w:ind w:left="180" w:firstLine="436"/>
        <w:spacing w:after="0" w:line="265" w:lineRule="auto"/>
        <w:rPr>
          <w:sz w:val="20"/>
          <w:szCs w:val="20"/>
          <w:color w:val="auto"/>
        </w:rPr>
      </w:pPr>
      <w:r>
        <w:rPr>
          <w:rFonts w:ascii="Times New Roman" w:cs="Times New Roman" w:eastAsia="Times New Roman" w:hAnsi="Times New Roman"/>
          <w:sz w:val="17"/>
          <w:szCs w:val="17"/>
          <w:color w:val="auto"/>
        </w:rPr>
        <w:t>In June 2023, the Company entered into a financing arrangement with Physera, Inc., MidCap Funding IV Trust (“MidCap”), as administrative agent, MidCap Financial Trust, as term loan servicer, certain funds managed by MidCap, as lenders, and the lenders, additional borrowers, and guarantors from time to time party thereto (as amended, restated, amended and restated, supplemented, or otherwise modified from time to time, the “MidCap Credit Agreement”) for a senior secured term loan (the “MidCap Term Facility”) in an aggregate principal amount of up to $60.0 million, with up to $30.0 million available upon the initial closing date and up to $30.0 million (the “Second Tranche”) available for draw from October 2024 through March 2025 conditional upon achievement of $120.0 million of trailing 12-month revenue (the “Revenue Condition”) and $60.0 million liquidity. On March 7, 2025, the Company entered into an amendment to the MidCap Credit Agreement which, among other things, (i) extended the availability of the Second Tranche until December 31, 2025 and (ii) modified the Revenue Condition to require trailing 12-month revenue of $165.0 million if the Second Tranche is advanced during the first fiscal quarter of 2025, $170.0 million if the Second Tranche is advanced during the second fiscal quarter of 2025, $175.0 million if the Second Tranche is advanced during the third fiscal quarter of 2025, and $180.0 million if the Second Tranche is advanced during the fourth fiscal quarter of 2025. Upon the initial closing date of the MidCap Credit Agreement, the Company drew down on $30.0 million of the MidCap Term Facility and used a portion of the proceeds to repay the outstanding principal balance (including prepayment premium) and accrued interest on a prior credit agreement with Perceptive Credit Holdings, III, LP. The MidCap Term Facility is interest-only for 48 months. At the end of the initial interest-only period, the Company can elect to extend the interest-only period an additional 12 months if the Company meets a certain</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080"/>
          </w:cols>
          <w:pgMar w:left="320" w:top="451" w:right="49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p>
      <w:pPr>
        <w:jc w:val="both"/>
        <w:ind w:left="180"/>
        <w:spacing w:after="0" w:line="252" w:lineRule="auto"/>
        <w:rPr>
          <w:sz w:val="20"/>
          <w:szCs w:val="20"/>
          <w:color w:val="auto"/>
        </w:rPr>
      </w:pPr>
      <w:r>
        <w:rPr>
          <w:rFonts w:ascii="Times New Roman" w:cs="Times New Roman" w:eastAsia="Times New Roman" w:hAnsi="Times New Roman"/>
          <w:sz w:val="18"/>
          <w:szCs w:val="18"/>
          <w:color w:val="auto"/>
        </w:rPr>
        <w:t>trailing 12-month revenue level (the “Minimum Net Revenue”) and no event of default has occurred and is continuing. The MidCap Credit Agreement also includes a revolving line of credit facility (the “MidCap Revolving Facility”) allowing for up to $20.0 million in revolving borrowings. The availability of the MidCap Revolving Facility is calculated as a percentage of the Company’s outstanding accounts receivable and inventory balances (“Availability”). The Company is required to maintain a minimum drawn balance on the MidCap Revolving Facility of no less than 20% of Availability, or will be required to pay a fee equal to the MidCap Revolving Facility interest rate on the difference between the amount of revolving loans drawn and 20% of Availability. Upon the initial closing date of the MidCap Credit Agreement, the Company drew $1.0 million on the MidCap Revolving Facility. The maturity date of the MidCap Term Facility and the MidCap Revolving Facility is June 1, 2028.</w:t>
      </w:r>
    </w:p>
    <w:p>
      <w:pPr>
        <w:spacing w:after="0" w:line="189"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7"/>
          <w:szCs w:val="17"/>
          <w:color w:val="auto"/>
        </w:rPr>
        <w:t>Interest is charged on any outstanding principal of the MidCap Term Facility at the sum of (i) the one-month forward-looking term SOFR, plus 0.10% (“Adjusted SOFR”), plus 7.00%, subject to a floor of 2.50%. Interest on the MidCap Revolving Facility is charged at the sum of Adjusted SOFR, plus 4.00%, subject to a floor of 2.50%. Both interest rates are reset monthly. The effective interest rate for the three months ended March 31, 2024 and 2025 on the MidCap Term Facility was 14.4% and 13.4%, respectively, and 12.0% and 11.3% on the MidCap Revolving Facility, respectively.</w:t>
      </w:r>
    </w:p>
    <w:p>
      <w:pPr>
        <w:spacing w:after="0" w:line="166"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A fully nonrefundable origination fee of 1.00% of the $60 million MidCap Term Facility ($0.6 million) was paid upon the effective date of the MidCap Credit Agreement. The Company was also required to pay all of the lender legal fees and out-of-pocket expenses totaling $0.7 million. Additionally, an annual administrative fee of 0.25% of the amount borrowed under the MidCap Term Facility is due annually. At the time of final payment of the MidCap Term Facility, the Company will pay a fee of 3% on the amount borrowed under the MidCap Term Facility.</w:t>
      </w:r>
    </w:p>
    <w:p>
      <w:pPr>
        <w:spacing w:after="0" w:line="182"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A fully nonrefundable origination fee of 0.5% of the $20 million MidCap Revolving Facility ($0.1 million) was paid upon the closing of the MidCap Credit Agreement. The Company shall pay a collateral management fee of 0.5% per annum on the outstanding balance of the MidCap Revolving Facility, payable monthly in arrears. Additionally, the Company will pay an unused line fee of 0.50% per annum of the average unused portion of the MidCap Revolving Facility, payable monthly in arrears. The Company incurred other debt issuance costs of $0.4 million related to other fees paid to the lender and legal fees incurred by the Company.</w:t>
      </w:r>
    </w:p>
    <w:p>
      <w:pPr>
        <w:spacing w:after="0" w:line="183"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In connection with the March 7, 2025 amendment to the MidCap Credit Agreement, the Company incurred debt issuance costs of $0.2 million. As the Company has not borrowed against the Second Tranche modified in the amendment, the debt issuance costs are classified in prepaid expenses and other current assets in the condensed consolidated balance sheets as of March 31, 2025.</w:t>
      </w:r>
    </w:p>
    <w:p>
      <w:pPr>
        <w:spacing w:after="0" w:line="177"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With respect to any prepayment of all or any portion of the outstanding principal amount of MidCap Term Facility, or permanent reduction of the commitments under the MidCap Revolving Facility, a prepayment premium or deferred revolving origination fee, as applicable, will be due as follows: 3% if prepaid or reduced, as applicable, before June 1, 2024, 2% if prepaid or reduced, as applicable, between June 2, 2024 and June 1, 2025, and 1% if prepaid or reduced, as applicable, thereafter.</w:t>
      </w:r>
    </w:p>
    <w:p>
      <w:pPr>
        <w:spacing w:after="0" w:line="182"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The MidCap Credit Agreement includes customary covenants for a facility of this type, including monthly reporting requirements and, at any time that liquidity is less than 1.50x the outstanding principal balance of the MidCap Term Facility, a financial covenant to maintain minimum trailing 12-month net revenue levels specified in the MidCap Credit Agreement. The MidCap Credit Agreement also contains various covenants that limit the Company’s ability to, among other things: sell, transfer, lease, or dispose of its assets subject to certain</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080"/>
          </w:cols>
          <w:pgMar w:left="320" w:top="451" w:right="49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exclusions; create, incur, assume, guarantee, or assume additional indebtedness, other than certain permitted indebtedness; encumber or permit liens on any of its assets other than certain permitted liens; make restricted payments, including paying cash dividends on, repurchasing or making distributions with respect to any of its capital stock; make specified investments; consolidate, merge with, or acquire any other entity, or sell or otherwise dispose of all or substantially all of its assets; and enter into certain transactions with its affiliates, in each case, subject to certain exceptions, baskets, and thresholds set forth in the MidCap Credit Agreement. As of December 31, 2024 and March 31, 2025, the Company was in compliance with its financial covenants.</w:t>
      </w:r>
    </w:p>
    <w:p>
      <w:pPr>
        <w:spacing w:after="0" w:line="187"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Interest expense related to amortization of the debt discount for long-term debt for the three months ended March 31, 2024 and 2025 was $0.1 million and $0.1 million, respectively, and is included in interest expense in the condensed consolidated statements of operations and comprehensive loss.</w:t>
      </w:r>
    </w:p>
    <w:p>
      <w:pPr>
        <w:spacing w:after="0" w:line="177"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The Company believes that it is probable that it will meet the Minimum Net Revenue and will elect to extend the interest-only period for an additional 12 months. As of March 31, 2025, the future maturities of the financing arrangements in aggregate, by year ended December 31, were as follows (in thousands):</w:t>
      </w:r>
    </w:p>
    <w:p>
      <w:pPr>
        <w:spacing w:after="0" w:line="222" w:lineRule="exact"/>
        <w:rPr>
          <w:sz w:val="20"/>
          <w:szCs w:val="20"/>
          <w:color w:val="auto"/>
        </w:rPr>
      </w:pPr>
    </w:p>
    <w:tbl>
      <w:tblPr>
        <w:tblLayout w:type="fixed"/>
        <w:tblInd w:w="18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3840" w:type="dxa"/>
            <w:vAlign w:val="bottom"/>
            <w:gridSpan w:val="2"/>
            <w:shd w:val="clear" w:color="auto" w:fill="CCEEFF"/>
          </w:tcPr>
          <w:p>
            <w:pPr>
              <w:ind w:left="36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payments</w:t>
            </w:r>
          </w:p>
        </w:tc>
        <w:tc>
          <w:tcPr>
            <w:tcW w:w="3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financing arrangements</w:t>
            </w:r>
          </w:p>
        </w:tc>
        <w:tc>
          <w:tcPr>
            <w:tcW w:w="3840" w:type="dxa"/>
            <w:vAlign w:val="bottom"/>
            <w:gridSpan w:val="2"/>
            <w:shd w:val="clear" w:color="auto" w:fill="CCEEFF"/>
          </w:tcPr>
          <w:p>
            <w:pPr>
              <w:ind w:left="3640"/>
              <w:spacing w:after="0"/>
              <w:rPr>
                <w:sz w:val="20"/>
                <w:szCs w:val="20"/>
                <w:color w:val="auto"/>
              </w:rPr>
            </w:pPr>
            <w:r>
              <w:rPr>
                <w:rFonts w:ascii="Times New Roman" w:cs="Times New Roman" w:eastAsia="Times New Roman" w:hAnsi="Times New Roman"/>
                <w:sz w:val="18"/>
                <w:szCs w:val="18"/>
                <w:color w:val="auto"/>
              </w:rPr>
              <w:t xml:space="preserve">$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Company has an operating lease for a corporate office located in San Francisco, California that expires in July 2025. The lease includes the option to extend the lease term, generally at the then-market rates. The Company excludes extension options that are not reasonably certain to be exercised from its lease terms. The Company’s lease payments consist primarily of fixed rental payments for the right to use the underlying leased assets over the lease term. The Company is responsible for operating expenses that exceed the amount of the base operating expenses as defined in the original lease agreement.</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components of lease expense, included in operating expenses, were as follows (in thousands):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9"/>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160" w:type="dxa"/>
            <w:vAlign w:val="bottom"/>
            <w:tcBorders>
              <w:top w:val="single" w:sz="8" w:color="auto"/>
            </w:tcBorders>
            <w:gridSpan w:val="3"/>
          </w:tcPr>
          <w:p>
            <w:pPr>
              <w:jc w:val="right"/>
              <w:ind w:right="2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gridSpan w:val="2"/>
          </w:tcPr>
          <w:p>
            <w:pPr>
              <w:ind w:left="8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840" w:type="dxa"/>
            <w:vAlign w:val="bottom"/>
            <w:tcBorders>
              <w:top w:val="single" w:sz="8" w:color="auto"/>
            </w:tcBorders>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2025      </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7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4160" w:type="dxa"/>
            <w:vAlign w:val="bottom"/>
            <w:gridSpan w:val="3"/>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846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The weighted-average remaining operating lease term and weighted-average discount rate were as follows:</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580" w:type="dxa"/>
            <w:vAlign w:val="bottom"/>
            <w:gridSpan w:val="5"/>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060" w:type="dxa"/>
            <w:vAlign w:val="bottom"/>
            <w:gridSpan w:val="4"/>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37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1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F-53</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Other information related to the Company’s operating leases were as follows (in thousands):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0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220" w:type="dxa"/>
            <w:vAlign w:val="bottom"/>
            <w:tcBorders>
              <w:top w:val="single" w:sz="8" w:color="auto"/>
            </w:tcBorders>
            <w:gridSpan w:val="2"/>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   2024       </w:t>
            </w:r>
          </w:p>
        </w:tc>
        <w:tc>
          <w:tcPr>
            <w:tcW w:w="180" w:type="dxa"/>
            <w:vAlign w:val="bottom"/>
            <w:tcBorders>
              <w:top w:val="single" w:sz="8" w:color="auto"/>
            </w:tcBorders>
            <w:gridSpan w:val="2"/>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560" w:type="dxa"/>
            <w:vAlign w:val="bottom"/>
            <w:tcBorders>
              <w:top w:val="single" w:sz="8" w:color="auto"/>
            </w:tcBorders>
            <w:gridSpan w:val="3"/>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w w:val="76"/>
              </w:rPr>
              <w:t>   2025 </w:t>
            </w:r>
          </w:p>
        </w:tc>
        <w:tc>
          <w:tcPr>
            <w:tcW w:w="3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7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Supplemental cash flow information:</w:t>
            </w:r>
          </w:p>
        </w:tc>
        <w:tc>
          <w:tcPr>
            <w:tcW w:w="26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820" w:type="dxa"/>
            <w:vAlign w:val="bottom"/>
            <w:gridSpan w:val="2"/>
          </w:tcPr>
          <w:p>
            <w:pPr>
              <w:ind w:left="26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9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As of March 31, 2025, the future minimum operating lease payments, by year ended December 31, were as follows (in thousands):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57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57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Total future minimum lease payments</w:t>
            </w:r>
          </w:p>
        </w:tc>
        <w:tc>
          <w:tcPr>
            <w:tcW w:w="2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ind w:right="53"/>
              <w:spacing w:after="0" w:line="202" w:lineRule="exact"/>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obligations under lease</w:t>
            </w: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lease obligations</w:t>
            </w:r>
          </w:p>
        </w:tc>
        <w:tc>
          <w:tcPr>
            <w:tcW w:w="2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600" w:right="8200" w:hanging="426"/>
        <w:spacing w:after="0" w:line="497" w:lineRule="auto"/>
        <w:tabs>
          <w:tab w:leader="none" w:pos="342"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Legal Matters</w:t>
      </w:r>
    </w:p>
    <w:p>
      <w:pPr>
        <w:spacing w:after="0" w:line="2"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From time to time, the Company may become subject to legal proceedings, claims, and litigation arising in the ordinary course of business. The Company is not presently a party to any such litigation the outcome of which, the Company believes, if determined adversely to the Company, would individually, or taken together, have a material adverse effect on the Company’s business, operating results, cash flows, or financial condition.</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In the ordinary course of business, the Company includes in its agreements indemnification provisions of varying scope and terms pursuant to which it agrees to indemnify customers, channel partners, suppliers, vendors, lessors, business partners, and other parties with respect to certain matters, including, but not limited to, losses arising out of the breach of such agreements, services to be provided by the Company, or from intellectual property infringement claims made by third parties. The term of these indemnification provisions generally survive the termination of the agreements indefinitely. The maximum potential amount of future payments the Company could be required to make under these arrangements is not determinable. No demands have ever been made upon the Company to provide indemnification under such agreements, and there are no claims under those indemnification terms that the Company is aware of that could have a material effect on the condensed consolidated balance sheets, condensed consolidated statements of operations and comprehensive loss, or condensed consolidated statements of cash flows. Accordingly, the Company had no liabilities recorded for these provisions as of December 31, 2024 and March 31, 2025.</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080"/>
          </w:cols>
          <w:pgMar w:left="320" w:top="451" w:right="49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Other contractual commitments primarily consist of technology and cloud services related to the Company’s daily business operations. As of March 31, 2025, future minimum payments under the Company’s non-cancellable purchase commitments, for the years ended December 31, were as follows (in thousands):</w:t>
      </w:r>
    </w:p>
    <w:p>
      <w:pPr>
        <w:spacing w:after="0" w:line="222" w:lineRule="exact"/>
        <w:rPr>
          <w:sz w:val="20"/>
          <w:szCs w:val="20"/>
          <w:color w:val="auto"/>
        </w:rPr>
      </w:pPr>
    </w:p>
    <w:tbl>
      <w:tblPr>
        <w:tblLayout w:type="fixed"/>
        <w:tblInd w:w="18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5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4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4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$ 8,926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The purchase obligation amounts do not represent the entire anticipated purchases in the future but represent only those items for which the Company is contractually obligated. The majority of the Company’s goods and services are purchased as needed, with no unconditional commitment. For this reason, these amounts do not provide an indication of the Company’s expected future cash outflows related to purchases.</w:t>
      </w:r>
    </w:p>
    <w:p>
      <w:pPr>
        <w:spacing w:after="0" w:line="177"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 addition to the amounts above, the repayment of outstanding amounts under the MidCap Credit Agreement in an aggregate principal amount of $31.0 million is due on June 1, 2028. Refer to Note 5 for further information regarding the MidCap Credit Agreement.</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8. Stock Warrants</w:t>
      </w:r>
    </w:p>
    <w:p>
      <w:pPr>
        <w:spacing w:after="0" w:line="224"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The Company has issued common and redeemable convertible preferred stock warrants in connection with certain notes payable and debt financing transactions. Warrants outstanding as of December 31, 2024 and March 31, 2025 were as follows (in thousands, except for per-share data):</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7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Stock Series</w:t>
            </w:r>
          </w:p>
        </w:tc>
        <w:tc>
          <w:tcPr>
            <w:tcW w:w="4240" w:type="dxa"/>
            <w:vAlign w:val="bottom"/>
          </w:tcPr>
          <w:p>
            <w:pPr>
              <w:spacing w:after="0"/>
              <w:rPr>
                <w:sz w:val="10"/>
                <w:szCs w:val="10"/>
                <w:color w:val="auto"/>
              </w:rPr>
            </w:pPr>
          </w:p>
        </w:tc>
        <w:tc>
          <w:tcPr>
            <w:tcW w:w="16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Date Issued</w:t>
            </w:r>
          </w:p>
        </w:tc>
        <w:tc>
          <w:tcPr>
            <w:tcW w:w="1240" w:type="dxa"/>
            <w:vAlign w:val="bottom"/>
            <w:vMerge w:val="restart"/>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960" w:type="dxa"/>
            <w:vAlign w:val="bottom"/>
            <w:gridSpan w:val="3"/>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Price Per</w:t>
            </w:r>
          </w:p>
        </w:tc>
        <w:tc>
          <w:tcPr>
            <w:tcW w:w="1040" w:type="dxa"/>
            <w:vAlign w:val="bottom"/>
            <w:gridSpan w:val="2"/>
          </w:tcPr>
          <w:p>
            <w:pPr>
              <w:jc w:val="center"/>
              <w:ind w:left="259"/>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360" w:type="dxa"/>
            <w:vAlign w:val="bottom"/>
          </w:tcPr>
          <w:p>
            <w:pPr>
              <w:spacing w:after="0"/>
              <w:rPr>
                <w:sz w:val="10"/>
                <w:szCs w:val="10"/>
                <w:color w:val="auto"/>
              </w:rPr>
            </w:pPr>
          </w:p>
        </w:tc>
        <w:tc>
          <w:tcPr>
            <w:tcW w:w="7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vMerge w:val="continue"/>
          </w:tcPr>
          <w:p>
            <w:pPr>
              <w:spacing w:after="0"/>
              <w:rPr>
                <w:sz w:val="15"/>
                <w:szCs w:val="15"/>
                <w:color w:val="auto"/>
              </w:rPr>
            </w:pPr>
          </w:p>
        </w:tc>
        <w:tc>
          <w:tcPr>
            <w:tcW w:w="424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35"/>
              <w:spacing w:after="0" w:line="158" w:lineRule="exact"/>
              <w:rPr>
                <w:sz w:val="20"/>
                <w:szCs w:val="20"/>
                <w:color w:val="auto"/>
              </w:rPr>
            </w:pPr>
            <w:r>
              <w:rPr>
                <w:rFonts w:ascii="Times New Roman" w:cs="Times New Roman" w:eastAsia="Times New Roman" w:hAnsi="Times New Roman"/>
                <w:sz w:val="14"/>
                <w:szCs w:val="14"/>
                <w:b w:val="1"/>
                <w:bCs w:val="1"/>
                <w:color w:val="auto"/>
              </w:rPr>
              <w:t>Share</w:t>
            </w:r>
          </w:p>
        </w:tc>
        <w:tc>
          <w:tcPr>
            <w:tcW w:w="36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40" w:type="dxa"/>
            <w:vAlign w:val="bottom"/>
            <w:tcBorders>
              <w:top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Series B</w:t>
            </w:r>
          </w:p>
        </w:tc>
        <w:tc>
          <w:tcPr>
            <w:tcW w:w="4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May 20, 2015</w:t>
            </w:r>
          </w:p>
        </w:tc>
        <w:tc>
          <w:tcPr>
            <w:tcW w:w="3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May 19, 2025</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1.18</w:t>
            </w: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118</w:t>
            </w:r>
          </w:p>
        </w:tc>
        <w:tc>
          <w:tcPr>
            <w:tcW w:w="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273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Series D</w:t>
            </w:r>
          </w:p>
        </w:tc>
        <w:tc>
          <w:tcPr>
            <w:tcW w:w="4240" w:type="dxa"/>
            <w:vAlign w:val="bottom"/>
          </w:tcPr>
          <w:p>
            <w:pPr>
              <w:spacing w:after="0"/>
              <w:rPr>
                <w:sz w:val="18"/>
                <w:szCs w:val="18"/>
                <w:color w:val="auto"/>
              </w:rPr>
            </w:pP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May 18, 2020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18, 2030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4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August 29, 2017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29, 2027</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gridSpan w:val="4"/>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7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Stock Series</w:t>
            </w:r>
          </w:p>
        </w:tc>
        <w:tc>
          <w:tcPr>
            <w:tcW w:w="4240" w:type="dxa"/>
            <w:vAlign w:val="bottom"/>
          </w:tcPr>
          <w:p>
            <w:pPr>
              <w:spacing w:after="0"/>
              <w:rPr>
                <w:sz w:val="10"/>
                <w:szCs w:val="10"/>
                <w:color w:val="auto"/>
              </w:rPr>
            </w:pPr>
          </w:p>
        </w:tc>
        <w:tc>
          <w:tcPr>
            <w:tcW w:w="16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Date Issued</w:t>
            </w:r>
          </w:p>
        </w:tc>
        <w:tc>
          <w:tcPr>
            <w:tcW w:w="1240" w:type="dxa"/>
            <w:vAlign w:val="bottom"/>
            <w:vMerge w:val="restart"/>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960" w:type="dxa"/>
            <w:vAlign w:val="bottom"/>
            <w:gridSpan w:val="3"/>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Price Per</w:t>
            </w:r>
          </w:p>
        </w:tc>
        <w:tc>
          <w:tcPr>
            <w:tcW w:w="1040" w:type="dxa"/>
            <w:vAlign w:val="bottom"/>
            <w:gridSpan w:val="2"/>
          </w:tcPr>
          <w:p>
            <w:pPr>
              <w:jc w:val="center"/>
              <w:ind w:left="259"/>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360" w:type="dxa"/>
            <w:vAlign w:val="bottom"/>
          </w:tcPr>
          <w:p>
            <w:pPr>
              <w:spacing w:after="0"/>
              <w:rPr>
                <w:sz w:val="10"/>
                <w:szCs w:val="10"/>
                <w:color w:val="auto"/>
              </w:rPr>
            </w:pPr>
          </w:p>
        </w:tc>
        <w:tc>
          <w:tcPr>
            <w:tcW w:w="7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vMerge w:val="continue"/>
          </w:tcPr>
          <w:p>
            <w:pPr>
              <w:spacing w:after="0"/>
              <w:rPr>
                <w:sz w:val="15"/>
                <w:szCs w:val="15"/>
                <w:color w:val="auto"/>
              </w:rPr>
            </w:pPr>
          </w:p>
        </w:tc>
        <w:tc>
          <w:tcPr>
            <w:tcW w:w="424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35"/>
              <w:spacing w:after="0" w:line="158" w:lineRule="exact"/>
              <w:rPr>
                <w:sz w:val="20"/>
                <w:szCs w:val="20"/>
                <w:color w:val="auto"/>
              </w:rPr>
            </w:pPr>
            <w:r>
              <w:rPr>
                <w:rFonts w:ascii="Times New Roman" w:cs="Times New Roman" w:eastAsia="Times New Roman" w:hAnsi="Times New Roman"/>
                <w:sz w:val="14"/>
                <w:szCs w:val="14"/>
                <w:b w:val="1"/>
                <w:bCs w:val="1"/>
                <w:color w:val="auto"/>
              </w:rPr>
              <w:t>Share</w:t>
            </w:r>
          </w:p>
        </w:tc>
        <w:tc>
          <w:tcPr>
            <w:tcW w:w="36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40" w:type="dxa"/>
            <w:vAlign w:val="bottom"/>
            <w:tcBorders>
              <w:top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Series B</w:t>
            </w:r>
          </w:p>
        </w:tc>
        <w:tc>
          <w:tcPr>
            <w:tcW w:w="4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May 20, 2015</w:t>
            </w:r>
          </w:p>
        </w:tc>
        <w:tc>
          <w:tcPr>
            <w:tcW w:w="3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May 19, 2025</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1.18</w:t>
            </w: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118</w:t>
            </w:r>
          </w:p>
        </w:tc>
        <w:tc>
          <w:tcPr>
            <w:tcW w:w="38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384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Series D</w:t>
            </w:r>
          </w:p>
        </w:tc>
        <w:tc>
          <w:tcPr>
            <w:tcW w:w="4240" w:type="dxa"/>
            <w:vAlign w:val="bottom"/>
          </w:tcPr>
          <w:p>
            <w:pPr>
              <w:spacing w:after="0"/>
              <w:rPr>
                <w:sz w:val="18"/>
                <w:szCs w:val="18"/>
                <w:color w:val="auto"/>
              </w:rPr>
            </w:pP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May 18, 2020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18, 2030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4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August 29, 2017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29, 2027</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 August 2017, the Company issued warrants to purchase common stock in conjunction with a loan and security agreement with Silicon Valley Bank (“SVB”). The number of shares that the holder may purchase is</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080"/>
          </w:cols>
          <w:pgMar w:left="320" w:top="451" w:right="49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equal to 43,420 and is related to a borrowing under the agreement. The warrants will be automatically exercised under the cashless exercise method upon the expiration date of each respective warrant or upon a cash or public acquisition. The warrants issued allow SVB to acquire shares of common stock at an exercise price of $3.24 per share and expire ten years after issuance. These warrants were concluded to be liabilities accounted for at fair value, using the Black-Scholes pricing model, on the date of issuance with subsequent remeasurements recorded in earnings. The fair value on the date of issuance was recorded as warrant liabilities and debt discount. The debt discount was fully amortized upon the debt being repaid in May 2020. The change in fair value for the three months ended March 31, 2024 and 2025 was a loss of $0.1 million and $0.1 million, respectively.</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 Warrants</w:t>
      </w:r>
    </w:p>
    <w:p>
      <w:pPr>
        <w:spacing w:after="0" w:line="224" w:lineRule="exact"/>
        <w:rPr>
          <w:sz w:val="20"/>
          <w:szCs w:val="20"/>
          <w:color w:val="auto"/>
        </w:rPr>
      </w:pPr>
    </w:p>
    <w:p>
      <w:pPr>
        <w:jc w:val="both"/>
        <w:ind w:left="180" w:right="20" w:firstLine="436"/>
        <w:spacing w:after="0" w:line="252" w:lineRule="auto"/>
        <w:rPr>
          <w:sz w:val="20"/>
          <w:szCs w:val="20"/>
          <w:color w:val="auto"/>
        </w:rPr>
      </w:pPr>
      <w:r>
        <w:rPr>
          <w:rFonts w:ascii="Times New Roman" w:cs="Times New Roman" w:eastAsia="Times New Roman" w:hAnsi="Times New Roman"/>
          <w:sz w:val="18"/>
          <w:szCs w:val="18"/>
          <w:color w:val="auto"/>
        </w:rPr>
        <w:t>In May 2015, the Company issued warrants to purchase a total of 118,363 shares of Series B redeemable convertible preferred stock at an exercise price of $1.1828 per share in conjunction with other borrowings under the loan and security agreement with SVB discussed above. These warrants will be automatically exercised under the cashless exercise method upon the expiration date of each respective warrant or upon a cash or public acquisition. These warrants were concluded to be a liability accounted for at fair value, using the Black-Scholes pricing model, on the date of issuance with subsequent remeasurements recorded in earnings. The fair value of these warrants was recorded as warrant liabilities and debt discount upon issuance. The debt discount was fully amortized upon the debt being repaid in August 2017. The change in fair value for the three months ended March 31, 2024 and 2025 was a loss of $0.1 million and $0.1 million, respectively.</w:t>
      </w:r>
    </w:p>
    <w:p>
      <w:pPr>
        <w:spacing w:after="0" w:line="18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In May 2020, the Company issued warrants to purchase a total of 660,000 shares of Series D redeemable convertible preferred stock at an exercise price of $5.0365 per share in conjunction with a credit agreement with Perceptive Credit Holdings III, LP. These warrants will be automatically exercised under the cashless exercise method upon the expiration date of the warrant, upon completion of a Qualified Initial Public Offering, or upon an acquisition of the Company. These warrants were concluded to be a liability accounted for at fair value, using the Black-Scholes pricing model, on the date of issuance with subsequent remeasurements recorded in earnings. The fair value of these warrants was recorded as warrant liabilities and debt discount upon issuance. The debt discount was fully amortized upon the debt being repaid in June 2023. The change in fair value for the three months ended March 31, 2024 and 2025 was a loss of $0.2 million and $0.3 million, respectively.</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9. Share-Based Compensation</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A summary of share-based compensation expense recognized in the condensed consolidated statement of operations and comprehensive loss was as follows (in thousands):</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0"/>
        </w:trPr>
        <w:tc>
          <w:tcPr>
            <w:tcW w:w="20" w:type="dxa"/>
            <w:vAlign w:val="bottom"/>
          </w:tcPr>
          <w:p>
            <w:pPr>
              <w:spacing w:after="0"/>
              <w:rPr>
                <w:sz w:val="12"/>
                <w:szCs w:val="12"/>
                <w:color w:val="auto"/>
              </w:rPr>
            </w:pPr>
          </w:p>
        </w:tc>
        <w:tc>
          <w:tcPr>
            <w:tcW w:w="572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660" w:type="dxa"/>
            <w:vAlign w:val="bottom"/>
            <w:tcBorders>
              <w:top w:val="single" w:sz="8" w:color="auto"/>
              <w:bottom w:val="single" w:sz="8" w:color="auto"/>
            </w:tcBorders>
          </w:tcPr>
          <w:p>
            <w:pPr>
              <w:jc w:val="right"/>
              <w:ind w:right="54"/>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3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680" w:type="dxa"/>
            <w:vAlign w:val="bottom"/>
            <w:tcBorders>
              <w:top w:val="single" w:sz="8" w:color="auto"/>
              <w:bottom w:val="single" w:sz="8" w:color="auto"/>
            </w:tcBorders>
          </w:tcPr>
          <w:p>
            <w:pPr>
              <w:jc w:val="right"/>
              <w:ind w:right="74"/>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2025    </w:t>
            </w:r>
          </w:p>
        </w:tc>
        <w:tc>
          <w:tcPr>
            <w:tcW w:w="60" w:type="dxa"/>
            <w:vAlign w:val="bottom"/>
            <w:tcBorders>
              <w:bottom w:val="single" w:sz="8" w:color="CCEEFF"/>
            </w:tcBorders>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cost of revenue</w:t>
            </w: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6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980" w:type="dxa"/>
            <w:vAlign w:val="bottom"/>
            <w:gridSpan w:val="2"/>
            <w:shd w:val="clear" w:color="auto" w:fill="CCEEFF"/>
          </w:tcPr>
          <w:p>
            <w:pPr>
              <w:jc w:val="center"/>
              <w:ind w:left="2731"/>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2,869</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4"/>
              </w:rPr>
              <w:t>   2,844</w:t>
            </w: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As of December 31, 2024 and March 31, 2025, there was approximately $17.3 million and $24.6 million, respectively, of total unrecognized compensation costs related to unvested stock options, which is expected to be recognized over the weighted-average period of 2.6 years and 3.0 years, respectively, using the straight-line</w:t>
      </w:r>
    </w:p>
    <w:p>
      <w:pPr>
        <w:spacing w:after="0" w:line="1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080"/>
          </w:cols>
          <w:pgMar w:left="320" w:top="451" w:right="49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p>
      <w:pPr>
        <w:jc w:val="both"/>
        <w:ind w:left="180"/>
        <w:spacing w:after="0" w:line="262" w:lineRule="auto"/>
        <w:rPr>
          <w:sz w:val="20"/>
          <w:szCs w:val="20"/>
          <w:color w:val="auto"/>
        </w:rPr>
      </w:pPr>
      <w:r>
        <w:rPr>
          <w:rFonts w:ascii="Times New Roman" w:cs="Times New Roman" w:eastAsia="Times New Roman" w:hAnsi="Times New Roman"/>
          <w:sz w:val="18"/>
          <w:szCs w:val="18"/>
          <w:color w:val="auto"/>
        </w:rPr>
        <w:t>method. During the three months ended March 31, 2025, the Company granted 1,552,763 stock options with a weighted-average exercise price of $9.71 per share and a weighted-average grant date fair value of $6.74 per share. Stock options granted generally vest with continuous service over a requisite service period.</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Secondary Stock Transactions</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During the three months ended March 31, 2024 and 2025, certain former employees sold 0.5 million and 0.2 million shares, respectively, of the Company’s common stock at a purchase price in excess of the then-current fair market value to existing investors of the Company. As a result, during the three months ended March 31, 2024 and 2025, the Company recorded a total of $1.0 million and $0.4 million, respectively, in share-based compensation expense for the excess of the purchase price paid by these investors over the fair value of shares sold.</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10. Related Party</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Commercial Arrangements with Cigna and its Affiliates</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The Company’s customers, channel partners, and vendors include affiliates of The Cigna Group, which beneficially owns more than 5% of the Company’s outstanding capital stock through Cigna Ventures, LLC. The Company has entered into agreements with these affiliates that, among other things, provide for the provision of the Company’s programs to eligible individuals covered by these affiliates and, in certain cases, for the provision of services by such affiliates in connection with the administration of the Company’s programs. The Company also has agreements with these affiliates for the provision of certain benefits provided to the Company’s employees. Pursuant to these agreements, in addition to the amounts disclosed in the condensed consolidated balance sheets, condensed consolidated statements of operations and comprehensive loss, and condensed consolidated statements of cash flows, affiliates of The Cigna Group made payments to the Company of $19.2 million and $31.0 million during the three months ended March 31, 2024 and 2025, respectively. Additionally, the Company made payments to affiliates of The Cigna Group of $3.6 million and $4.8 million during the three months ended March 31, 2024 and 2025, respectively.</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11. Segment Reporting</w:t>
      </w:r>
    </w:p>
    <w:p>
      <w:pPr>
        <w:spacing w:after="0" w:line="224"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The Company has one operating and reportable segment, which includes all virtual care program product offerings. The CODM manages the allocation of resources and assesses performance at the operating segment level.</w:t>
      </w:r>
    </w:p>
    <w:p>
      <w:pPr>
        <w:spacing w:after="0" w:line="16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CODM reviews information presented on a consolidated basis for purposes of making operating decisions, assessing financial performance, and allocating resources. The CODM assesses performance and decides how to allocate resources based on components reported on the condensed consolidated statement of operations including consolidated net loss. The CODM uses net loss to evaluate the return on assets and to determine investment opportunities related to development of new virtual care service offerings, new technologies, and platform enhancements. The CODM also uses net loss to monitor budget versus actual results.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080"/>
          </w:cols>
          <w:pgMar w:left="320" w:top="451" w:right="49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p>
      <w:pPr>
        <w:ind w:left="180" w:firstLine="436"/>
        <w:spacing w:after="0" w:line="277" w:lineRule="auto"/>
        <w:rPr>
          <w:sz w:val="20"/>
          <w:szCs w:val="20"/>
          <w:color w:val="auto"/>
        </w:rPr>
      </w:pPr>
      <w:r>
        <w:rPr>
          <w:rFonts w:ascii="Times New Roman" w:cs="Times New Roman" w:eastAsia="Times New Roman" w:hAnsi="Times New Roman"/>
          <w:sz w:val="18"/>
          <w:szCs w:val="18"/>
          <w:color w:val="auto"/>
        </w:rPr>
        <w:t>The Company’s segment net loss and significant expenses for the three months ended March 31, 2024 and 2025, consisted of the following (in thousands):</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0"/>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900" w:type="dxa"/>
            <w:vAlign w:val="bottom"/>
            <w:tcBorders>
              <w:top w:val="single" w:sz="8" w:color="auto"/>
            </w:tcBorders>
            <w:gridSpan w:val="2"/>
          </w:tcPr>
          <w:p>
            <w:pPr>
              <w:jc w:val="right"/>
              <w:ind w:right="38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60" w:type="dxa"/>
            <w:vAlign w:val="bottom"/>
            <w:tcBorders>
              <w:top w:val="single" w:sz="8" w:color="auto"/>
            </w:tcBorders>
          </w:tcPr>
          <w:p>
            <w:pPr>
              <w:jc w:val="right"/>
              <w:ind w:right="54"/>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2025    </w:t>
            </w:r>
          </w:p>
        </w:tc>
        <w:tc>
          <w:tcPr>
            <w:tcW w:w="100" w:type="dxa"/>
            <w:vAlign w:val="bottom"/>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4"/>
                <w:szCs w:val="4"/>
                <w:color w:val="auto"/>
                <w:w w:val="98"/>
              </w:rPr>
              <w:t> </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35,095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54,963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60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Cost of revenue</w:t>
            </w:r>
            <w:r>
              <w:rPr>
                <w:rFonts w:ascii="Times New Roman" w:cs="Times New Roman" w:eastAsia="Times New Roman" w:hAnsi="Times New Roman"/>
                <w:sz w:val="24"/>
                <w:szCs w:val="24"/>
                <w:color w:val="auto"/>
                <w:vertAlign w:val="superscript"/>
              </w:rPr>
              <w:t>(1)</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23,063</w:t>
            </w:r>
          </w:p>
        </w:tc>
        <w:tc>
          <w:tcPr>
            <w:tcW w:w="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60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Employee compensation</w:t>
            </w:r>
            <w:r>
              <w:rPr>
                <w:rFonts w:ascii="Times New Roman" w:cs="Times New Roman" w:eastAsia="Times New Roman" w:hAnsi="Times New Roman"/>
                <w:sz w:val="24"/>
                <w:szCs w:val="24"/>
                <w:color w:val="auto"/>
                <w:vertAlign w:val="superscript"/>
              </w:rPr>
              <w:t>(2)</w:t>
            </w: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28,720</w:t>
            </w:r>
          </w:p>
        </w:tc>
        <w:tc>
          <w:tcPr>
            <w:tcW w:w="10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560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4"/>
                <w:szCs w:val="24"/>
                <w:color w:val="auto"/>
                <w:vertAlign w:val="superscript"/>
              </w:rPr>
              <w:t>(3)</w:t>
            </w:r>
          </w:p>
        </w:tc>
        <w:tc>
          <w:tcPr>
            <w:tcW w:w="2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12,628</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loss from operations</w:t>
            </w:r>
          </w:p>
        </w:tc>
        <w:tc>
          <w:tcPr>
            <w:tcW w:w="3060" w:type="dxa"/>
            <w:vAlign w:val="bottom"/>
            <w:gridSpan w:val="2"/>
            <w:shd w:val="clear" w:color="auto" w:fill="CCEEFF"/>
          </w:tcPr>
          <w:p>
            <w:pPr>
              <w:ind w:left="2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(18,969)</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(9,448)</w:t>
            </w: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1" w:lineRule="exact"/>
        <w:rPr>
          <w:sz w:val="20"/>
          <w:szCs w:val="20"/>
          <w:color w:val="auto"/>
        </w:rPr>
      </w:pPr>
    </w:p>
    <w:p>
      <w:pPr>
        <w:ind w:left="600" w:hanging="426"/>
        <w:spacing w:after="0"/>
        <w:tabs>
          <w:tab w:leader="none" w:pos="60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included in cost of revenue was $1.0 million and $1.2 million for the three months ended March 31, 2024, and 2025, respectively.</w:t>
      </w:r>
    </w:p>
    <w:p>
      <w:pPr>
        <w:spacing w:after="0" w:line="1" w:lineRule="exact"/>
        <w:rPr>
          <w:rFonts w:ascii="Times New Roman" w:cs="Times New Roman" w:eastAsia="Times New Roman" w:hAnsi="Times New Roman"/>
          <w:sz w:val="14"/>
          <w:szCs w:val="14"/>
          <w:color w:val="auto"/>
        </w:rPr>
      </w:pPr>
    </w:p>
    <w:p>
      <w:pPr>
        <w:ind w:left="600" w:right="20" w:hanging="426"/>
        <w:spacing w:after="0" w:line="219" w:lineRule="auto"/>
        <w:tabs>
          <w:tab w:leader="none" w:pos="60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compensation is part of research and development, sales and marketing and general and administrative expenses and included salaries, share-based compensation expense, sales commissions, employee bonuses, benefits, and other employee-related expenses.</w:t>
      </w:r>
    </w:p>
    <w:p>
      <w:pPr>
        <w:ind w:left="600" w:hanging="426"/>
        <w:spacing w:after="0" w:line="235" w:lineRule="auto"/>
        <w:tabs>
          <w:tab w:leader="none" w:pos="60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included third-party consulting services and professional services, software and infrastructure, hosting, marketing and advertising, and other income and other expenses.</w:t>
      </w:r>
    </w:p>
    <w:p>
      <w:pPr>
        <w:spacing w:after="0" w:line="181"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All of the Company’s long-lived assets were located in the United States (“U.S.”), and all revenue was earned in the U.S. for the three months ended March 31, 2024 and 2025.</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During the three months ended March 31, 2024 and 2025, the Company recorded no income tax benefits for the net operating losses incurred due to the uncertainty of realizing a benefit from those items. The Company continues to maintain a full valuation allowance against its net deferred tax assets. The effective tax rate was a 0% expense on pre-tax loss for the three months ended March 31, 2025 compared to a 0% expense on pre-tax loss for the three months ended March 31, 2024.</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13. Net Loss Per Share Attributable to Common Stockholders</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the Company’s common stockholders (in thousands, except per-share data):</w:t>
      </w:r>
    </w:p>
    <w:p>
      <w:pPr>
        <w:spacing w:after="0" w:line="17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5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9"/>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5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7"/>
              </w:rPr>
              <w:t>(18,969)</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(9,448)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5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Weighted-average number of shares used in computing net loss per share attributable to common stockholders, basic</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740"/>
              <w:spacing w:after="0" w:line="195" w:lineRule="exact"/>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diluted</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vMerge w:val="restart"/>
          </w:tcPr>
          <w:p>
            <w:pPr>
              <w:ind w:left="5260"/>
              <w:spacing w:after="0"/>
              <w:rPr>
                <w:sz w:val="20"/>
                <w:szCs w:val="20"/>
                <w:color w:val="auto"/>
              </w:rPr>
            </w:pPr>
            <w:r>
              <w:rPr>
                <w:rFonts w:ascii="Times New Roman" w:cs="Times New Roman" w:eastAsia="Times New Roman" w:hAnsi="Times New Roman"/>
                <w:sz w:val="18"/>
                <w:szCs w:val="18"/>
                <w:color w:val="auto"/>
              </w:rPr>
              <w:t>F-58</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8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As the Company was in a loss position for the three months ended March 31, 2024 and 2025, basic net loss per share is the same as diluted net loss per share as the inclusion of all potential shares of common stock outstanding would have been anti-dilutive. Potentially dilutive securities that were not included in the diluted per-share calculations because they would have been anti-dilutive were as follows (in thousands):</w:t>
      </w:r>
    </w:p>
    <w:p>
      <w:pPr>
        <w:spacing w:after="0" w:line="18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2"/>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8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740" w:type="dxa"/>
            <w:vAlign w:val="bottom"/>
            <w:tcBorders>
              <w:bottom w:val="single" w:sz="8" w:color="auto"/>
            </w:tcBorders>
          </w:tcPr>
          <w:p>
            <w:pPr>
              <w:jc w:val="right"/>
              <w:ind w:right="118"/>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740" w:type="dxa"/>
            <w:vAlign w:val="bottom"/>
            <w:tcBorders>
              <w:bottom w:val="single" w:sz="8" w:color="auto"/>
            </w:tcBorders>
          </w:tcPr>
          <w:p>
            <w:pPr>
              <w:jc w:val="right"/>
              <w:ind w:right="134"/>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2025    </w:t>
            </w:r>
          </w:p>
        </w:tc>
        <w:tc>
          <w:tcPr>
            <w:tcW w:w="60" w:type="dxa"/>
            <w:vAlign w:val="bottom"/>
            <w:tcBorders>
              <w:bottom w:val="single" w:sz="8" w:color="CCEEFF"/>
            </w:tcBorders>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 outstanding on an as-converted basis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39,406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39,406</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options outstanding</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12,250</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 warrants outstanding on an as-converted basis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6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The Company has evaluated subsequent events for recognition and measurement purposes through May 9, 2025, which is the date the unaudited condensed consolidated financial statements were available to be issued, and with respect to the reverse stock split, described in Note 2, through May 29, 2025.</w:t>
      </w:r>
    </w:p>
    <w:p>
      <w:pPr>
        <w:spacing w:after="0" w:line="177"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As of December 31, 2024, the Company was in compliance with all covenants and no event of default had occurred. In April 2025, the Company obtained a temporary waiver to extend the requirement for audited financial statements for fiscal year 2024 to be provided no later than May 31, 2025.</w:t>
      </w:r>
    </w:p>
    <w:p>
      <w:pPr>
        <w:spacing w:after="0" w:line="163"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On May 27, 2025, the Company amended its restated certificate of incorporation, as amended, to effect the Reverse Stock Split of shares of the Company’s common stock on a one-for-three basis. The number of authorized shares and the par values of the common stock and redeemable convertible preferred stock were not adjusted as a result of the Reverse Stock Split. In connection with the Reverse Stock Split, the conversion ratio for the Company’s outstanding redeemable convertible preferred stock was proportionately adjusted such that the common stock issuable upon conversion of such preferred stock was decreased in proportion to the Reverse Stock Split. All references to common stock, common stock warrants, and options to purchase common stock share data, per share data, and related information contained in the consolidated financial statements have been retroactively adjusted to reflect the effect of the Reverse Stock Split for all periods presented.</w:t>
      </w:r>
    </w:p>
    <w:p>
      <w:pPr>
        <w:spacing w:after="0" w:line="189"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Upon the expiration date of May 19, 2025, the Series B redeemable convertible preferred stock warrants were automatically exercised on a cashless basis into 92,194 shares of Series B redeemable convertible preferred stock.</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080"/>
          </w:cols>
          <w:pgMar w:left="320" w:top="451" w:right="49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7085965" cy="9161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085965" cy="916114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246380</wp:posOffset>
            </wp:positionV>
            <wp:extent cx="692150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21500" cy="1714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297180</wp:posOffset>
            </wp:positionV>
            <wp:extent cx="692150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320"/>
          </w:cols>
          <w:pgMar w:left="320" w:top="450"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28"/>
          <w:szCs w:val="28"/>
          <w:i w:val="1"/>
          <w:iCs w:val="1"/>
          <w:color w:val="auto"/>
        </w:rPr>
        <w:t>7,900,000</w:t>
      </w:r>
    </w:p>
    <w:p>
      <w:pPr>
        <w:spacing w:after="0" w:line="48"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28"/>
          <w:szCs w:val="28"/>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1598930</wp:posOffset>
            </wp:positionH>
            <wp:positionV relativeFrom="paragraph">
              <wp:posOffset>533400</wp:posOffset>
            </wp:positionV>
            <wp:extent cx="3944620" cy="94170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944620" cy="94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5"/>
          <w:szCs w:val="25"/>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1259840</wp:posOffset>
            </wp:positionV>
            <wp:extent cx="145034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1"/>
          <w:szCs w:val="21"/>
          <w:i w:val="1"/>
          <w:i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248285</wp:posOffset>
            </wp:positionV>
            <wp:extent cx="145034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320"/>
        <w:spacing w:after="0"/>
        <w:tabs>
          <w:tab w:leader="none" w:pos="4500" w:val="left"/>
          <w:tab w:leader="none" w:pos="8760" w:val="left"/>
        </w:tabs>
        <w:rPr>
          <w:sz w:val="20"/>
          <w:szCs w:val="20"/>
          <w:color w:val="auto"/>
        </w:rPr>
      </w:pPr>
      <w:r>
        <w:rPr>
          <w:rFonts w:ascii="Times New Roman" w:cs="Times New Roman" w:eastAsia="Times New Roman" w:hAnsi="Times New Roman"/>
          <w:sz w:val="21"/>
          <w:szCs w:val="21"/>
          <w:b w:val="1"/>
          <w:bCs w:val="1"/>
          <w:i w:val="1"/>
          <w:iCs w:val="1"/>
          <w:color w:val="auto"/>
        </w:rPr>
        <w:t>Morgan Stanley</w:t>
      </w:r>
      <w:r>
        <w:rPr>
          <w:sz w:val="20"/>
          <w:szCs w:val="20"/>
          <w:color w:val="auto"/>
        </w:rPr>
        <w:tab/>
      </w:r>
      <w:r>
        <w:rPr>
          <w:rFonts w:ascii="Times New Roman" w:cs="Times New Roman" w:eastAsia="Times New Roman" w:hAnsi="Times New Roman"/>
          <w:sz w:val="21"/>
          <w:szCs w:val="21"/>
          <w:b w:val="1"/>
          <w:bCs w:val="1"/>
          <w:i w:val="1"/>
          <w:iCs w:val="1"/>
          <w:color w:val="auto"/>
        </w:rPr>
        <w:t>Goldman Sachs &amp; Co. LLC</w:t>
      </w:r>
      <w:r>
        <w:rPr>
          <w:sz w:val="20"/>
          <w:szCs w:val="20"/>
          <w:color w:val="auto"/>
        </w:rPr>
        <w:tab/>
      </w:r>
      <w:r>
        <w:rPr>
          <w:rFonts w:ascii="Times New Roman" w:cs="Times New Roman" w:eastAsia="Times New Roman" w:hAnsi="Times New Roman"/>
          <w:sz w:val="21"/>
          <w:szCs w:val="21"/>
          <w:b w:val="1"/>
          <w:bCs w:val="1"/>
          <w:i w:val="1"/>
          <w:iCs w:val="1"/>
          <w:color w:val="auto"/>
        </w:rPr>
        <w:t>J.P. Morgan</w:t>
      </w:r>
    </w:p>
    <w:p>
      <w:pPr>
        <w:spacing w:after="0" w:line="239" w:lineRule="exact"/>
        <w:rPr>
          <w:sz w:val="20"/>
          <w:szCs w:val="20"/>
          <w:color w:val="auto"/>
        </w:rPr>
      </w:pPr>
    </w:p>
    <w:p>
      <w:pPr>
        <w:ind w:left="3020"/>
        <w:spacing w:after="0"/>
        <w:tabs>
          <w:tab w:leader="none" w:pos="6960" w:val="left"/>
        </w:tabs>
        <w:rPr>
          <w:sz w:val="20"/>
          <w:szCs w:val="20"/>
          <w:color w:val="auto"/>
        </w:rPr>
      </w:pPr>
      <w:r>
        <w:rPr>
          <w:rFonts w:ascii="Times New Roman" w:cs="Times New Roman" w:eastAsia="Times New Roman" w:hAnsi="Times New Roman"/>
          <w:sz w:val="21"/>
          <w:szCs w:val="21"/>
          <w:b w:val="1"/>
          <w:bCs w:val="1"/>
          <w:i w:val="1"/>
          <w:iCs w:val="1"/>
          <w:color w:val="auto"/>
        </w:rPr>
        <w:t>Barclays</w:t>
      </w:r>
      <w:r>
        <w:rPr>
          <w:sz w:val="20"/>
          <w:szCs w:val="20"/>
          <w:color w:val="auto"/>
        </w:rPr>
        <w:tab/>
      </w:r>
      <w:r>
        <w:rPr>
          <w:rFonts w:ascii="Times New Roman" w:cs="Times New Roman" w:eastAsia="Times New Roman" w:hAnsi="Times New Roman"/>
          <w:sz w:val="21"/>
          <w:szCs w:val="21"/>
          <w:b w:val="1"/>
          <w:bCs w:val="1"/>
          <w:i w:val="1"/>
          <w:iCs w:val="1"/>
          <w:color w:val="auto"/>
        </w:rPr>
        <w:t>Evercore ISI</w:t>
      </w:r>
    </w:p>
    <w:p>
      <w:pPr>
        <w:spacing w:after="0" w:line="239" w:lineRule="exact"/>
        <w:rPr>
          <w:sz w:val="20"/>
          <w:szCs w:val="20"/>
          <w:color w:val="auto"/>
        </w:rPr>
      </w:pPr>
    </w:p>
    <w:p>
      <w:pPr>
        <w:ind w:left="1160"/>
        <w:spacing w:after="0"/>
        <w:tabs>
          <w:tab w:leader="none" w:pos="5300" w:val="left"/>
          <w:tab w:leader="none" w:pos="8340" w:val="left"/>
        </w:tabs>
        <w:rPr>
          <w:sz w:val="20"/>
          <w:szCs w:val="20"/>
          <w:color w:val="auto"/>
        </w:rPr>
      </w:pPr>
      <w:r>
        <w:rPr>
          <w:rFonts w:ascii="Times New Roman" w:cs="Times New Roman" w:eastAsia="Times New Roman" w:hAnsi="Times New Roman"/>
          <w:sz w:val="21"/>
          <w:szCs w:val="21"/>
          <w:b w:val="1"/>
          <w:bCs w:val="1"/>
          <w:i w:val="1"/>
          <w:iCs w:val="1"/>
          <w:color w:val="auto"/>
        </w:rPr>
        <w:t>Canaccord Genuity</w:t>
      </w:r>
      <w:r>
        <w:rPr>
          <w:sz w:val="20"/>
          <w:szCs w:val="20"/>
          <w:color w:val="auto"/>
        </w:rPr>
        <w:tab/>
      </w:r>
      <w:r>
        <w:rPr>
          <w:rFonts w:ascii="Times New Roman" w:cs="Times New Roman" w:eastAsia="Times New Roman" w:hAnsi="Times New Roman"/>
          <w:sz w:val="21"/>
          <w:szCs w:val="21"/>
          <w:b w:val="1"/>
          <w:bCs w:val="1"/>
          <w:i w:val="1"/>
          <w:iCs w:val="1"/>
          <w:color w:val="auto"/>
        </w:rPr>
        <w:t xml:space="preserve">          </w:t>
      </w:r>
      <w:r>
        <w:rPr>
          <w:sz w:val="20"/>
          <w:szCs w:val="20"/>
          <w:color w:val="auto"/>
        </w:rPr>
        <w:tab/>
      </w:r>
      <w:r>
        <w:rPr>
          <w:rFonts w:ascii="Times New Roman" w:cs="Times New Roman" w:eastAsia="Times New Roman" w:hAnsi="Times New Roman"/>
          <w:sz w:val="21"/>
          <w:szCs w:val="21"/>
          <w:b w:val="1"/>
          <w:bCs w:val="1"/>
          <w:i w:val="1"/>
          <w:iCs w:val="1"/>
          <w:color w:val="auto"/>
        </w:rPr>
        <w:t>Needham &amp;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410845</wp:posOffset>
            </wp:positionV>
            <wp:extent cx="145034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425450</wp:posOffset>
            </wp:positionV>
            <wp:extent cx="692150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493395</wp:posOffset>
            </wp:positionV>
            <wp:extent cx="6921500"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921500" cy="17145"/>
                    </a:xfrm>
                    <a:prstGeom prst="rect">
                      <a:avLst/>
                    </a:prstGeom>
                    <a:noFill/>
                  </pic:spPr>
                </pic:pic>
              </a:graphicData>
            </a:graphic>
          </wp:anchor>
        </w:drawing>
      </w:r>
    </w:p>
    <w:p>
      <w:pPr>
        <w:sectPr>
          <w:pgSz w:w="11900" w:h="16838" w:orient="portrait"/>
          <w:cols w:equalWidth="0" w:num="1">
            <w:col w:w="10320"/>
          </w:cols>
          <w:pgMar w:left="320" w:top="450" w:right="1259" w:bottom="1440" w:gutter="0" w:footer="0" w:header="0"/>
          <w:type w:val="continuous"/>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18" w:lineRule="exact"/>
        <w:rPr>
          <w:sz w:val="20"/>
          <w:szCs w:val="20"/>
          <w:color w:val="auto"/>
        </w:rPr>
      </w:pPr>
    </w:p>
    <w:p>
      <w:pPr>
        <w:jc w:val="both"/>
        <w:ind w:left="180" w:firstLine="436"/>
        <w:spacing w:after="0" w:line="285" w:lineRule="auto"/>
        <w:rPr>
          <w:sz w:val="20"/>
          <w:szCs w:val="20"/>
          <w:color w:val="auto"/>
        </w:rPr>
      </w:pPr>
      <w:r>
        <w:rPr>
          <w:rFonts w:ascii="Times New Roman" w:cs="Times New Roman" w:eastAsia="Times New Roman" w:hAnsi="Times New Roman"/>
          <w:sz w:val="17"/>
          <w:szCs w:val="17"/>
          <w:color w:val="auto"/>
        </w:rPr>
        <w:t>The following table sets forth the costs and expenses, other than the underwriting discounts and commissions, payable by Omada Health, Inc. (the “registrant”) in connection with the sale of the common stock being registered. All amounts are estimates except for the U.S. Securities and Exchange Commission (the “SEC”) registration fee, the Financial Industry Regulatory Authority (“FINRA”) filing fee, and the Nasdaq Global Market listing fee.</w:t>
      </w:r>
    </w:p>
    <w:p>
      <w:pPr>
        <w:spacing w:after="0" w:line="165"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to Be</w:t>
            </w:r>
          </w:p>
        </w:tc>
      </w:tr>
      <w:tr>
        <w:trPr>
          <w:trHeight w:val="172"/>
        </w:trPr>
        <w:tc>
          <w:tcPr>
            <w:tcW w:w="61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w:t>
            </w:r>
          </w:p>
        </w:tc>
      </w:tr>
      <w:tr>
        <w:trPr>
          <w:trHeight w:val="207"/>
        </w:trPr>
        <w:tc>
          <w:tcPr>
            <w:tcW w:w="6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27,818</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27,755</w:t>
            </w:r>
          </w:p>
        </w:tc>
        <w:tc>
          <w:tcPr>
            <w:tcW w:w="60" w:type="dxa"/>
            <w:vAlign w:val="bottom"/>
          </w:tcPr>
          <w:p>
            <w:pPr>
              <w:spacing w:after="0"/>
              <w:rPr>
                <w:sz w:val="18"/>
                <w:szCs w:val="18"/>
                <w:color w:val="auto"/>
              </w:rPr>
            </w:pPr>
          </w:p>
        </w:tc>
      </w:tr>
      <w:tr>
        <w:trPr>
          <w:trHeight w:val="214"/>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Global Market listing fee</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295,000</w:t>
            </w:r>
          </w:p>
        </w:tc>
        <w:tc>
          <w:tcPr>
            <w:tcW w:w="60" w:type="dxa"/>
            <w:vAlign w:val="bottom"/>
            <w:shd w:val="clear" w:color="auto" w:fill="CCEEFF"/>
          </w:tcPr>
          <w:p>
            <w:pPr>
              <w:spacing w:after="0"/>
              <w:rPr>
                <w:sz w:val="18"/>
                <w:szCs w:val="18"/>
                <w:color w:val="auto"/>
              </w:rPr>
            </w:pPr>
          </w:p>
        </w:tc>
      </w:tr>
      <w:tr>
        <w:trPr>
          <w:trHeight w:val="21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agent’s fees and expenses</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60" w:type="dxa"/>
            <w:vAlign w:val="bottom"/>
          </w:tcPr>
          <w:p>
            <w:pPr>
              <w:spacing w:after="0"/>
              <w:rPr>
                <w:sz w:val="18"/>
                <w:szCs w:val="18"/>
                <w:color w:val="auto"/>
              </w:rPr>
            </w:pPr>
          </w:p>
        </w:tc>
      </w:tr>
      <w:tr>
        <w:trPr>
          <w:trHeight w:val="214"/>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583,138</w:t>
            </w:r>
          </w:p>
        </w:tc>
        <w:tc>
          <w:tcPr>
            <w:tcW w:w="60" w:type="dxa"/>
            <w:vAlign w:val="bottom"/>
            <w:shd w:val="clear" w:color="auto" w:fill="CCEEFF"/>
          </w:tcPr>
          <w:p>
            <w:pPr>
              <w:spacing w:after="0"/>
              <w:rPr>
                <w:sz w:val="18"/>
                <w:szCs w:val="18"/>
                <w:color w:val="auto"/>
              </w:rPr>
            </w:pPr>
          </w:p>
        </w:tc>
      </w:tr>
      <w:tr>
        <w:trPr>
          <w:trHeight w:val="21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3,463,065</w:t>
            </w:r>
          </w:p>
        </w:tc>
        <w:tc>
          <w:tcPr>
            <w:tcW w:w="60" w:type="dxa"/>
            <w:vAlign w:val="bottom"/>
          </w:tcPr>
          <w:p>
            <w:pPr>
              <w:spacing w:after="0"/>
              <w:rPr>
                <w:sz w:val="18"/>
                <w:szCs w:val="18"/>
                <w:color w:val="auto"/>
              </w:rPr>
            </w:pPr>
          </w:p>
        </w:tc>
      </w:tr>
      <w:tr>
        <w:trPr>
          <w:trHeight w:val="214"/>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1,848,143</w:t>
            </w:r>
          </w:p>
        </w:tc>
        <w:tc>
          <w:tcPr>
            <w:tcW w:w="60" w:type="dxa"/>
            <w:vAlign w:val="bottom"/>
            <w:shd w:val="clear" w:color="auto" w:fill="CCEEFF"/>
          </w:tcPr>
          <w:p>
            <w:pPr>
              <w:spacing w:after="0"/>
              <w:rPr>
                <w:sz w:val="18"/>
                <w:szCs w:val="18"/>
                <w:color w:val="auto"/>
              </w:rPr>
            </w:pPr>
          </w:p>
        </w:tc>
      </w:tr>
      <w:tr>
        <w:trPr>
          <w:trHeight w:val="22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3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151,581</w:t>
            </w:r>
          </w:p>
        </w:tc>
        <w:tc>
          <w:tcPr>
            <w:tcW w:w="60" w:type="dxa"/>
            <w:vAlign w:val="bottom"/>
          </w:tcPr>
          <w:p>
            <w:pPr>
              <w:spacing w:after="0"/>
              <w:rPr>
                <w:sz w:val="19"/>
                <w:szCs w:val="19"/>
                <w:color w:val="auto"/>
              </w:rPr>
            </w:pPr>
          </w:p>
        </w:tc>
      </w:tr>
      <w:tr>
        <w:trPr>
          <w:trHeight w:val="214"/>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6,400,000</w:t>
            </w:r>
          </w:p>
        </w:tc>
        <w:tc>
          <w:tcPr>
            <w:tcW w:w="60" w:type="dxa"/>
            <w:vAlign w:val="bottom"/>
            <w:shd w:val="clear" w:color="auto" w:fill="CCEEFF"/>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18"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Section 145 of the General Corporation Law of the State of Delaware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The registrant’s restated certificate of incorporation provides for indemnification by the registrant of its directors, officers, and employees to the fullest extent permitted by the Delaware General Corporation Law. The registrant has entered into indemnification agreements with each of its current directors, executive officers, and certain other officers to provide these directors and officers additional contractual assurances regarding the scope of the indemnification set forth in the registrant’s restated certificate of incorporation and amended and restated bylaws and to provide additional procedural protections.</w:t>
      </w:r>
    </w:p>
    <w:p>
      <w:pPr>
        <w:spacing w:after="0" w:line="186"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Section 102(b)(7) of the Delaware General Corporation Law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(i) for any breach of the director’s or officer’s duty of loyalty to the corporation or its stockholders, (ii) for acts or omissions not in good faith or which involve intentional misconduct or a knowing violation of law, (iii) in the case of directors, for unlawful payments of dividends or unlawful stock repurchases, redemptions, or other distributions, or (iv) for any transaction from which the director or officer derived an improper personal benefit; provided that officers may not be indemnified for actions by or in the right of the corporation. The registrant’s restated certificate of incorporation provides for such limitation of liability.</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80"/>
          </w:cols>
          <w:pgMar w:left="320" w:top="451" w:right="49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The registrant maintains standard policies of insurance under which coverage is provided (a) to its directors and officers against loss rising from claims made by reason of breach of duty or other wrongful act and (b) to the registrant with respect to payments that may be made by the registrant to such officers and directors pursuant to the above indemnification provision or otherwise as a matter of law.</w:t>
      </w:r>
    </w:p>
    <w:p>
      <w:pPr>
        <w:spacing w:after="0" w:line="177"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proposed form of underwriting agreement filed as Exhibit 1.1 to this registration statement provides for indemnification of officers and directors of the registrant by the underwriters against certain liabilities.</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Since January 1, 2022, the registrant made sales of the following unregistered securities:</w:t>
      </w:r>
    </w:p>
    <w:p>
      <w:pPr>
        <w:spacing w:after="0" w:line="1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i w:val="1"/>
          <w:iCs w:val="1"/>
          <w:color w:val="auto"/>
        </w:rPr>
        <w:t>Equity Plan-Related Issuances</w:t>
      </w:r>
    </w:p>
    <w:p>
      <w:pPr>
        <w:spacing w:after="0" w:line="129" w:lineRule="exact"/>
        <w:rPr>
          <w:sz w:val="20"/>
          <w:szCs w:val="20"/>
          <w:color w:val="auto"/>
        </w:rPr>
      </w:pPr>
    </w:p>
    <w:p>
      <w:pPr>
        <w:jc w:val="both"/>
        <w:ind w:left="1580" w:hanging="431"/>
        <w:spacing w:after="0" w:line="308" w:lineRule="auto"/>
        <w:tabs>
          <w:tab w:leader="none" w:pos="158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1, 2022, the registrant granted to its directors, employees, consultants, and other service providers options to purchase an aggregate of 9,973,851 shares of its common stock under its 2011 Plan, at exercise prices ranging from $4.74 to $12.72 per share.</w:t>
      </w:r>
    </w:p>
    <w:p>
      <w:pPr>
        <w:spacing w:after="0" w:line="45" w:lineRule="exact"/>
        <w:rPr>
          <w:rFonts w:ascii="Times New Roman" w:cs="Times New Roman" w:eastAsia="Times New Roman" w:hAnsi="Times New Roman"/>
          <w:sz w:val="17"/>
          <w:szCs w:val="17"/>
          <w:color w:val="auto"/>
        </w:rPr>
      </w:pPr>
    </w:p>
    <w:p>
      <w:pPr>
        <w:jc w:val="both"/>
        <w:ind w:left="1580" w:hanging="431"/>
        <w:spacing w:after="0" w:line="262" w:lineRule="auto"/>
        <w:tabs>
          <w:tab w:leader="none" w:pos="15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the registrant issued and sold to its directors, employees, consultants, and other service providers an aggregate of 2,190,017 shares of its common stock upon the exercise of stock options under its 2011 Plan, at exercise prices ranging from $0.33 to $10.92 per share, for a weighted-average exercise price of $4.33.</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i w:val="1"/>
          <w:iCs w:val="1"/>
          <w:color w:val="auto"/>
        </w:rPr>
        <w:t>Sales of Preferred Stock</w:t>
      </w:r>
    </w:p>
    <w:p>
      <w:pPr>
        <w:spacing w:after="0" w:line="129" w:lineRule="exact"/>
        <w:rPr>
          <w:sz w:val="20"/>
          <w:szCs w:val="20"/>
          <w:color w:val="auto"/>
        </w:rPr>
      </w:pPr>
    </w:p>
    <w:p>
      <w:pPr>
        <w:jc w:val="both"/>
        <w:ind w:left="1580" w:right="20" w:hanging="431"/>
        <w:spacing w:after="0" w:line="262" w:lineRule="auto"/>
        <w:tabs>
          <w:tab w:leader="none" w:pos="15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2022 through March 2022, the registrant sold an aggregate of 2,434,278 shares of its Series E redeemable convertible preferred stock to four accredited investors at a purchase price of $5.9952 per share, for an aggregate purchase price of $14.6 million.</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29" w:lineRule="exact"/>
        <w:rPr>
          <w:sz w:val="20"/>
          <w:szCs w:val="20"/>
          <w:color w:val="auto"/>
        </w:rPr>
      </w:pPr>
    </w:p>
    <w:p>
      <w:pPr>
        <w:ind w:left="1580" w:right="20" w:hanging="431"/>
        <w:spacing w:after="0" w:line="277" w:lineRule="auto"/>
        <w:tabs>
          <w:tab w:leader="none" w:pos="15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2023, the registrant issued an aggregate of 89,503 shares of Series A redeemable convertible preferred stock to one accredited investor upon the net exercise of warrants at a purchase price of $0.5342 per share.</w:t>
      </w:r>
    </w:p>
    <w:p>
      <w:pPr>
        <w:spacing w:after="0" w:line="16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No underwriters were involved in these transactions. The offers, sales, and issuances of the securities described in paragraphs (1) and (2) were deemed to be exempt from registration under Rule 701 promulgated under the Securities Act as transactions under compensatory benefit plans and contracts relating to compensation, or under Section 4(a)(2) of the Securities Act as a transaction by an issuer not involving a public offering. The recipients of such securities were our directors, employees, or bona fide consultants and received the securities under our equity incentive plans. Appropriate legends were affixed to the securities issued in these transactions. Each of the recipients of securities in these transactions had adequate access, through employment, business or other relationships, to information about us.</w:t>
      </w:r>
    </w:p>
    <w:p>
      <w:pPr>
        <w:spacing w:after="0" w:line="187" w:lineRule="exact"/>
        <w:rPr>
          <w:sz w:val="20"/>
          <w:szCs w:val="20"/>
          <w:color w:val="auto"/>
        </w:rPr>
      </w:pPr>
    </w:p>
    <w:p>
      <w:pPr>
        <w:jc w:val="both"/>
        <w:ind w:left="180" w:right="20" w:firstLine="436"/>
        <w:spacing w:after="0" w:line="273" w:lineRule="auto"/>
        <w:rPr>
          <w:sz w:val="20"/>
          <w:szCs w:val="20"/>
          <w:color w:val="auto"/>
        </w:rPr>
      </w:pPr>
      <w:r>
        <w:rPr>
          <w:rFonts w:ascii="Times New Roman" w:cs="Times New Roman" w:eastAsia="Times New Roman" w:hAnsi="Times New Roman"/>
          <w:sz w:val="17"/>
          <w:szCs w:val="17"/>
          <w:color w:val="auto"/>
        </w:rPr>
        <w:t>The offers, sales, and issuances of the securities described in paragraphs (3) and (4) were deemed to be exempt under Section 4(a)(2) of the Securities Act or Rule 506 of Regulation D under the Securities Act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within the meaning of Rule 501 of Regulation D under the Securities Act and had adequate access to information about us.</w:t>
      </w:r>
    </w:p>
    <w:p>
      <w:pPr>
        <w:spacing w:after="0" w:line="1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080"/>
          </w:cols>
          <w:pgMar w:left="320" w:top="451" w:right="49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See the Exhibit Index attached to this registration statement, which Exhibit Index is incorporated herein by reference.</w:t>
      </w:r>
    </w:p>
    <w:p>
      <w:pPr>
        <w:spacing w:after="0" w:line="220"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Schedules not listed above have been omitted because the information required to be set forth therein is not applicable or is shown in the financial statements or notes thereto.</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31" w:lineRule="exact"/>
        <w:rPr>
          <w:sz w:val="20"/>
          <w:szCs w:val="20"/>
          <w:color w:val="auto"/>
        </w:rPr>
      </w:pPr>
    </w:p>
    <w:p>
      <w:pPr>
        <w:jc w:val="both"/>
        <w:ind w:left="1140" w:hanging="416"/>
        <w:spacing w:after="0" w:line="252" w:lineRule="auto"/>
        <w:tabs>
          <w:tab w:leader="none" w:pos="11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91" w:lineRule="exact"/>
        <w:rPr>
          <w:rFonts w:ascii="Times New Roman" w:cs="Times New Roman" w:eastAsia="Times New Roman" w:hAnsi="Times New Roman"/>
          <w:sz w:val="18"/>
          <w:szCs w:val="18"/>
          <w:color w:val="auto"/>
        </w:rPr>
      </w:pPr>
    </w:p>
    <w:p>
      <w:pPr>
        <w:ind w:left="1140" w:hanging="426"/>
        <w:spacing w:after="0"/>
        <w:tabs>
          <w:tab w:leader="none" w:pos="11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26" w:lineRule="exact"/>
        <w:rPr>
          <w:rFonts w:ascii="Times New Roman" w:cs="Times New Roman" w:eastAsia="Times New Roman" w:hAnsi="Times New Roman"/>
          <w:sz w:val="18"/>
          <w:szCs w:val="18"/>
          <w:color w:val="auto"/>
        </w:rPr>
      </w:pPr>
    </w:p>
    <w:p>
      <w:pPr>
        <w:jc w:val="both"/>
        <w:ind w:left="1580" w:hanging="431"/>
        <w:spacing w:after="0" w:line="257" w:lineRule="auto"/>
        <w:tabs>
          <w:tab w:leader="none" w:pos="158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88" w:lineRule="exact"/>
        <w:rPr>
          <w:rFonts w:ascii="Times New Roman" w:cs="Times New Roman" w:eastAsia="Times New Roman" w:hAnsi="Times New Roman"/>
          <w:sz w:val="18"/>
          <w:szCs w:val="18"/>
          <w:color w:val="auto"/>
        </w:rPr>
      </w:pPr>
    </w:p>
    <w:p>
      <w:pPr>
        <w:jc w:val="both"/>
        <w:ind w:left="1580" w:hanging="431"/>
        <w:spacing w:after="0" w:line="262" w:lineRule="auto"/>
        <w:tabs>
          <w:tab w:leader="none" w:pos="158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080"/>
          </w:cols>
          <w:pgMar w:left="320" w:top="451" w:right="49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Table of Contents</w:t>
      </w:r>
    </w:p>
    <w:p>
      <w:pPr>
        <w:spacing w:after="0" w:line="31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78"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gridSpan w:val="2"/>
            <w:vMerge w:val="restart"/>
          </w:tcPr>
          <w:p>
            <w:pPr>
              <w:ind w:left="23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0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    1.1</w:t>
            </w:r>
          </w:p>
        </w:tc>
        <w:tc>
          <w:tcPr>
            <w:tcW w:w="62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460" w:type="dxa"/>
            <w:vAlign w:val="bottom"/>
            <w:tcBorders>
              <w:bottom w:val="single" w:sz="8" w:color="0000EE"/>
            </w:tcBorders>
          </w:tcPr>
          <w:p>
            <w:pPr>
              <w:spacing w:after="0" w:line="160" w:lineRule="exact"/>
              <w:rPr>
                <w:sz w:val="20"/>
                <w:szCs w:val="20"/>
                <w:color w:val="auto"/>
              </w:rPr>
            </w:pPr>
            <w:r>
              <w:rPr>
                <w:rFonts w:ascii="Times New Roman" w:cs="Times New Roman" w:eastAsia="Times New Roman" w:hAnsi="Times New Roman"/>
                <w:sz w:val="18"/>
                <w:szCs w:val="18"/>
                <w:color w:val="0000EE"/>
                <w:w w:val="97"/>
              </w:rPr>
              <w:t>Form of Underwriting Agreement.</w:t>
            </w:r>
          </w:p>
        </w:tc>
        <w:tc>
          <w:tcPr>
            <w:tcW w:w="3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60" w:hanging="86"/>
        <w:spacing w:after="0"/>
        <w:tabs>
          <w:tab w:leader="none" w:pos="260" w:val="left"/>
        </w:tabs>
        <w:numPr>
          <w:ilvl w:val="0"/>
          <w:numId w:val="157"/>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3.1(a)</w:t>
      </w:r>
      <w:hyperlink r:id="rId494">
        <w:r>
          <w:rPr>
            <w:rFonts w:ascii="Times New Roman" w:cs="Times New Roman" w:eastAsia="Times New Roman" w:hAnsi="Times New Roman"/>
            <w:sz w:val="17"/>
            <w:szCs w:val="17"/>
            <w:u w:val="single" w:color="auto"/>
            <w:color w:val="0000EE"/>
          </w:rPr>
          <w:t>Restated Certificate of Incorporation, currently in effect.</w:t>
        </w:r>
      </w:hyperlink>
    </w:p>
    <w:p>
      <w:pPr>
        <w:spacing w:after="0" w:line="125" w:lineRule="exact"/>
        <w:rPr>
          <w:rFonts w:ascii="Times New Roman" w:cs="Times New Roman" w:eastAsia="Times New Roman" w:hAnsi="Times New Roman"/>
          <w:sz w:val="17"/>
          <w:szCs w:val="17"/>
          <w:u w:val="single" w:color="auto"/>
          <w:color w:val="0000EE"/>
        </w:rPr>
      </w:pPr>
    </w:p>
    <w:p>
      <w:pPr>
        <w:ind w:left="1300" w:right="440" w:hanging="1126"/>
        <w:spacing w:after="0" w:line="277" w:lineRule="auto"/>
        <w:tabs>
          <w:tab w:leader="none" w:pos="254" w:val="left"/>
        </w:tabs>
        <w:numPr>
          <w:ilvl w:val="0"/>
          <w:numId w:val="15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3.1(b)</w:t>
      </w:r>
      <w:hyperlink r:id="rId495">
        <w:r>
          <w:rPr>
            <w:rFonts w:ascii="Times New Roman" w:cs="Times New Roman" w:eastAsia="Times New Roman" w:hAnsi="Times New Roman"/>
            <w:sz w:val="18"/>
            <w:szCs w:val="18"/>
            <w:u w:val="single" w:color="auto"/>
            <w:color w:val="0000EE"/>
          </w:rPr>
          <w:t>Certificate of Amendment to the Restated Certificate of Incorporation, dated</w:t>
        </w:r>
      </w:hyperlink>
      <w:r>
        <w:rPr>
          <w:rFonts w:ascii="Times New Roman" w:cs="Times New Roman" w:eastAsia="Times New Roman" w:hAnsi="Times New Roman"/>
          <w:sz w:val="18"/>
          <w:szCs w:val="18"/>
          <w:u w:val="single" w:color="auto"/>
          <w:color w:val="0000EE"/>
        </w:rPr>
        <w:t xml:space="preserve"> </w:t>
      </w:r>
      <w:hyperlink r:id="rId495">
        <w:r>
          <w:rPr>
            <w:rFonts w:ascii="Times New Roman" w:cs="Times New Roman" w:eastAsia="Times New Roman" w:hAnsi="Times New Roman"/>
            <w:sz w:val="18"/>
            <w:szCs w:val="18"/>
            <w:u w:val="single" w:color="auto"/>
            <w:color w:val="0000EE"/>
          </w:rPr>
          <w:t>June 13, 2023.</w:t>
        </w:r>
      </w:hyperlink>
    </w:p>
    <w:p>
      <w:pPr>
        <w:spacing w:after="0" w:line="56" w:lineRule="exact"/>
        <w:rPr>
          <w:rFonts w:ascii="Times New Roman" w:cs="Times New Roman" w:eastAsia="Times New Roman" w:hAnsi="Times New Roman"/>
          <w:sz w:val="18"/>
          <w:szCs w:val="18"/>
          <w:u w:val="single" w:color="auto"/>
          <w:color w:val="0000EE"/>
        </w:rPr>
      </w:pPr>
    </w:p>
    <w:p>
      <w:pPr>
        <w:ind w:left="1300" w:right="440" w:hanging="1126"/>
        <w:spacing w:after="0" w:line="277" w:lineRule="auto"/>
        <w:tabs>
          <w:tab w:leader="none" w:pos="25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3.1(c)</w:t>
      </w:r>
      <w:r>
        <w:rPr>
          <w:rFonts w:ascii="Times New Roman" w:cs="Times New Roman" w:eastAsia="Times New Roman" w:hAnsi="Times New Roman"/>
          <w:sz w:val="18"/>
          <w:szCs w:val="18"/>
          <w:u w:val="single" w:color="auto"/>
          <w:color w:val="0000EE"/>
        </w:rPr>
        <w:t>Certificate of Amendment to the Restated Certificate of Incorporation, dated May 27, 2025.</w:t>
      </w:r>
    </w:p>
    <w:p>
      <w:pPr>
        <w:spacing w:after="0" w:line="42" w:lineRule="exact"/>
        <w:rPr>
          <w:rFonts w:ascii="Times New Roman" w:cs="Times New Roman" w:eastAsia="Times New Roman" w:hAnsi="Times New Roman"/>
          <w:sz w:val="18"/>
          <w:szCs w:val="18"/>
          <w:color w:val="auto"/>
        </w:rPr>
      </w:pPr>
    </w:p>
    <w:tbl>
      <w:tblPr>
        <w:tblLayout w:type="fixed"/>
        <w:tblInd w:w="18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58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496">
              <w:r>
                <w:rPr>
                  <w:rFonts w:ascii="Times New Roman" w:cs="Times New Roman" w:eastAsia="Times New Roman" w:hAnsi="Times New Roman"/>
                  <w:sz w:val="18"/>
                  <w:szCs w:val="18"/>
                  <w:color w:val="0000EE"/>
                  <w:w w:val="98"/>
                </w:rPr>
                <w:t>Form of Restated Certificate of Incorporation, to be in effect immediately prior to</w:t>
              </w:r>
            </w:hyperlink>
          </w:p>
        </w:tc>
      </w:tr>
      <w:tr>
        <w:trPr>
          <w:trHeight w:val="194"/>
        </w:trPr>
        <w:tc>
          <w:tcPr>
            <w:tcW w:w="1120" w:type="dxa"/>
            <w:vAlign w:val="bottom"/>
          </w:tcPr>
          <w:p>
            <w:pPr>
              <w:spacing w:after="0"/>
              <w:rPr>
                <w:sz w:val="16"/>
                <w:szCs w:val="16"/>
                <w:color w:val="auto"/>
              </w:rPr>
            </w:pPr>
          </w:p>
        </w:tc>
        <w:tc>
          <w:tcPr>
            <w:tcW w:w="5820" w:type="dxa"/>
            <w:vAlign w:val="bottom"/>
            <w:gridSpan w:val="11"/>
          </w:tcPr>
          <w:p>
            <w:pPr>
              <w:spacing w:after="0" w:line="194" w:lineRule="exact"/>
              <w:rPr>
                <w:rFonts w:ascii="Times New Roman" w:cs="Times New Roman" w:eastAsia="Times New Roman" w:hAnsi="Times New Roman"/>
                <w:sz w:val="18"/>
                <w:szCs w:val="18"/>
                <w:color w:val="0000EE"/>
              </w:rPr>
            </w:pPr>
            <w:hyperlink r:id="rId496">
              <w:r>
                <w:rPr>
                  <w:rFonts w:ascii="Times New Roman" w:cs="Times New Roman" w:eastAsia="Times New Roman" w:hAnsi="Times New Roman"/>
                  <w:sz w:val="18"/>
                  <w:szCs w:val="18"/>
                  <w:color w:val="0000EE"/>
                </w:rPr>
                <w:t>the completion of this offering.</w:t>
              </w:r>
            </w:hyperlink>
          </w:p>
        </w:tc>
      </w:tr>
      <w:tr>
        <w:trPr>
          <w:trHeight w:val="30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3.3</w:t>
            </w:r>
          </w:p>
        </w:tc>
        <w:tc>
          <w:tcPr>
            <w:tcW w:w="222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r:id="rId497">
              <w:r>
                <w:rPr>
                  <w:rFonts w:ascii="Times New Roman" w:cs="Times New Roman" w:eastAsia="Times New Roman" w:hAnsi="Times New Roman"/>
                  <w:sz w:val="18"/>
                  <w:szCs w:val="18"/>
                  <w:color w:val="0000EE"/>
                </w:rPr>
                <w:t>Bylaws, currently in effect.</w:t>
              </w:r>
            </w:hyperlink>
          </w:p>
        </w:tc>
        <w:tc>
          <w:tcPr>
            <w:tcW w:w="3600" w:type="dxa"/>
            <w:vAlign w:val="bottom"/>
            <w:gridSpan w:val="7"/>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3.4</w:t>
            </w:r>
          </w:p>
        </w:tc>
        <w:tc>
          <w:tcPr>
            <w:tcW w:w="5820" w:type="dxa"/>
            <w:vAlign w:val="bottom"/>
            <w:gridSpan w:val="11"/>
          </w:tcPr>
          <w:p>
            <w:pPr>
              <w:spacing w:after="0"/>
              <w:rPr>
                <w:rFonts w:ascii="Times New Roman" w:cs="Times New Roman" w:eastAsia="Times New Roman" w:hAnsi="Times New Roman"/>
                <w:sz w:val="18"/>
                <w:szCs w:val="18"/>
                <w:color w:val="0000EE"/>
              </w:rPr>
            </w:pPr>
            <w:hyperlink r:id="rId498">
              <w:r>
                <w:rPr>
                  <w:rFonts w:ascii="Times New Roman" w:cs="Times New Roman" w:eastAsia="Times New Roman" w:hAnsi="Times New Roman"/>
                  <w:sz w:val="18"/>
                  <w:szCs w:val="18"/>
                  <w:color w:val="0000EE"/>
                </w:rPr>
                <w:t>Form of Amended and Restated Bylaws, to be in effect immediately prior to the</w:t>
              </w:r>
            </w:hyperlink>
          </w:p>
        </w:tc>
      </w:tr>
      <w:tr>
        <w:trPr>
          <w:trHeight w:val="194"/>
        </w:trPr>
        <w:tc>
          <w:tcPr>
            <w:tcW w:w="1120" w:type="dxa"/>
            <w:vAlign w:val="bottom"/>
          </w:tcPr>
          <w:p>
            <w:pPr>
              <w:spacing w:after="0"/>
              <w:rPr>
                <w:sz w:val="16"/>
                <w:szCs w:val="16"/>
                <w:color w:val="auto"/>
              </w:rPr>
            </w:pPr>
          </w:p>
        </w:tc>
        <w:tc>
          <w:tcPr>
            <w:tcW w:w="5700" w:type="dxa"/>
            <w:vAlign w:val="bottom"/>
            <w:tcBorders>
              <w:top w:val="single" w:sz="8" w:color="0000EE"/>
            </w:tcBorders>
            <w:gridSpan w:val="9"/>
          </w:tcPr>
          <w:p>
            <w:pPr>
              <w:spacing w:after="0" w:line="194" w:lineRule="exact"/>
              <w:rPr>
                <w:rFonts w:ascii="Times New Roman" w:cs="Times New Roman" w:eastAsia="Times New Roman" w:hAnsi="Times New Roman"/>
                <w:sz w:val="18"/>
                <w:szCs w:val="18"/>
                <w:color w:val="0000EE"/>
              </w:rPr>
            </w:pPr>
            <w:hyperlink r:id="rId498">
              <w:r>
                <w:rPr>
                  <w:rFonts w:ascii="Times New Roman" w:cs="Times New Roman" w:eastAsia="Times New Roman" w:hAnsi="Times New Roman"/>
                  <w:sz w:val="18"/>
                  <w:szCs w:val="18"/>
                  <w:color w:val="0000EE"/>
                </w:rPr>
                <w:t>completion of this offering.</w:t>
              </w:r>
            </w:hyperlink>
          </w:p>
        </w:tc>
        <w:tc>
          <w:tcPr>
            <w:tcW w:w="120" w:type="dxa"/>
            <w:vAlign w:val="bottom"/>
            <w:gridSpan w:val="2"/>
          </w:tcPr>
          <w:p>
            <w:pPr>
              <w:spacing w:after="0"/>
              <w:rPr>
                <w:sz w:val="16"/>
                <w:szCs w:val="16"/>
                <w:color w:val="auto"/>
              </w:rPr>
            </w:pPr>
          </w:p>
        </w:tc>
      </w:tr>
      <w:tr>
        <w:trPr>
          <w:trHeight w:val="20"/>
        </w:trPr>
        <w:tc>
          <w:tcPr>
            <w:tcW w:w="11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5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Reference is made to exhibits 3.1 through 3.4.</w:t>
            </w:r>
          </w:p>
        </w:tc>
      </w:tr>
      <w:tr>
        <w:trPr>
          <w:trHeight w:val="28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5820" w:type="dxa"/>
            <w:vAlign w:val="bottom"/>
            <w:gridSpan w:val="11"/>
          </w:tcPr>
          <w:p>
            <w:pPr>
              <w:spacing w:after="0"/>
              <w:rPr>
                <w:rFonts w:ascii="Times New Roman" w:cs="Times New Roman" w:eastAsia="Times New Roman" w:hAnsi="Times New Roman"/>
                <w:sz w:val="18"/>
                <w:szCs w:val="18"/>
                <w:color w:val="0000EE"/>
              </w:rPr>
            </w:pPr>
            <w:hyperlink r:id="rId499">
              <w:r>
                <w:rPr>
                  <w:rFonts w:ascii="Times New Roman" w:cs="Times New Roman" w:eastAsia="Times New Roman" w:hAnsi="Times New Roman"/>
                  <w:sz w:val="18"/>
                  <w:szCs w:val="18"/>
                  <w:color w:val="0000EE"/>
                </w:rPr>
                <w:t>Form of Common Stock Certificate.</w:t>
              </w:r>
            </w:hyperlink>
          </w:p>
        </w:tc>
      </w:tr>
      <w:tr>
        <w:trPr>
          <w:trHeight w:val="20"/>
        </w:trPr>
        <w:tc>
          <w:tcPr>
            <w:tcW w:w="11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40" w:type="dxa"/>
            <w:vAlign w:val="bottom"/>
            <w:tcBorders>
              <w:right w:val="single" w:sz="8" w:color="0000EE"/>
            </w:tcBorders>
            <w:gridSpan w:val="4"/>
            <w:shd w:val="clear" w:color="auto" w:fill="0000EE"/>
          </w:tcPr>
          <w:p>
            <w:pPr>
              <w:spacing w:after="0" w:line="20" w:lineRule="exact"/>
              <w:rPr>
                <w:sz w:val="1"/>
                <w:szCs w:val="1"/>
                <w:color w:val="auto"/>
              </w:rPr>
            </w:pPr>
          </w:p>
        </w:tc>
        <w:tc>
          <w:tcPr>
            <w:tcW w:w="2160" w:type="dxa"/>
            <w:vAlign w:val="bottom"/>
            <w:tcBorders>
              <w:left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5820" w:type="dxa"/>
            <w:vAlign w:val="bottom"/>
            <w:gridSpan w:val="11"/>
          </w:tcPr>
          <w:p>
            <w:pPr>
              <w:spacing w:after="0"/>
              <w:rPr>
                <w:rFonts w:ascii="Times New Roman" w:cs="Times New Roman" w:eastAsia="Times New Roman" w:hAnsi="Times New Roman"/>
                <w:sz w:val="18"/>
                <w:szCs w:val="18"/>
                <w:color w:val="0000EE"/>
              </w:rPr>
            </w:pPr>
            <w:hyperlink r:id="rId500">
              <w:r>
                <w:rPr>
                  <w:rFonts w:ascii="Times New Roman" w:cs="Times New Roman" w:eastAsia="Times New Roman" w:hAnsi="Times New Roman"/>
                  <w:sz w:val="18"/>
                  <w:szCs w:val="18"/>
                  <w:color w:val="0000EE"/>
                </w:rPr>
                <w:t>Amended and Restated Investors’ Rights Agreement, dated December 22, 2021,</w:t>
              </w:r>
            </w:hyperlink>
          </w:p>
        </w:tc>
      </w:tr>
      <w:tr>
        <w:trPr>
          <w:trHeight w:val="194"/>
        </w:trPr>
        <w:tc>
          <w:tcPr>
            <w:tcW w:w="1120" w:type="dxa"/>
            <w:vAlign w:val="bottom"/>
          </w:tcPr>
          <w:p>
            <w:pPr>
              <w:spacing w:after="0"/>
              <w:rPr>
                <w:sz w:val="16"/>
                <w:szCs w:val="16"/>
                <w:color w:val="auto"/>
              </w:rPr>
            </w:pPr>
          </w:p>
        </w:tc>
        <w:tc>
          <w:tcPr>
            <w:tcW w:w="5760" w:type="dxa"/>
            <w:vAlign w:val="bottom"/>
            <w:tcBorders>
              <w:top w:val="single" w:sz="8" w:color="0000EE"/>
            </w:tcBorders>
            <w:gridSpan w:val="10"/>
          </w:tcPr>
          <w:p>
            <w:pPr>
              <w:spacing w:after="0" w:line="194" w:lineRule="exact"/>
              <w:rPr>
                <w:rFonts w:ascii="Times New Roman" w:cs="Times New Roman" w:eastAsia="Times New Roman" w:hAnsi="Times New Roman"/>
                <w:sz w:val="18"/>
                <w:szCs w:val="18"/>
                <w:color w:val="0000EE"/>
              </w:rPr>
            </w:pPr>
            <w:hyperlink r:id="rId500">
              <w:r>
                <w:rPr>
                  <w:rFonts w:ascii="Times New Roman" w:cs="Times New Roman" w:eastAsia="Times New Roman" w:hAnsi="Times New Roman"/>
                  <w:sz w:val="18"/>
                  <w:szCs w:val="18"/>
                  <w:color w:val="0000EE"/>
                </w:rPr>
                <w:t>by and among Omada Health, Inc. and the investors listed therein.</w:t>
              </w:r>
            </w:hyperlink>
          </w:p>
        </w:tc>
        <w:tc>
          <w:tcPr>
            <w:tcW w:w="60" w:type="dxa"/>
            <w:vAlign w:val="bottom"/>
          </w:tcPr>
          <w:p>
            <w:pPr>
              <w:spacing w:after="0"/>
              <w:rPr>
                <w:sz w:val="16"/>
                <w:szCs w:val="16"/>
                <w:color w:val="auto"/>
              </w:rPr>
            </w:pPr>
          </w:p>
        </w:tc>
      </w:tr>
      <w:tr>
        <w:trPr>
          <w:trHeight w:val="20"/>
        </w:trPr>
        <w:tc>
          <w:tcPr>
            <w:tcW w:w="11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40" w:type="dxa"/>
            <w:vAlign w:val="bottom"/>
            <w:tcBorders>
              <w:right w:val="single" w:sz="8" w:color="0000EE"/>
            </w:tcBorders>
            <w:gridSpan w:val="4"/>
            <w:shd w:val="clear" w:color="auto" w:fill="0000EE"/>
          </w:tcPr>
          <w:p>
            <w:pPr>
              <w:spacing w:after="0" w:line="20" w:lineRule="exact"/>
              <w:rPr>
                <w:sz w:val="1"/>
                <w:szCs w:val="1"/>
                <w:color w:val="auto"/>
              </w:rPr>
            </w:pPr>
          </w:p>
        </w:tc>
        <w:tc>
          <w:tcPr>
            <w:tcW w:w="216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30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55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r:id="rId501">
              <w:r>
                <w:rPr>
                  <w:rFonts w:ascii="Times New Roman" w:cs="Times New Roman" w:eastAsia="Times New Roman" w:hAnsi="Times New Roman"/>
                  <w:sz w:val="18"/>
                  <w:szCs w:val="18"/>
                  <w:color w:val="0000EE"/>
                  <w:w w:val="98"/>
                </w:rPr>
                <w:t>Warrant to Purchase Common Stock, dated August 29, 2017, issued to Silicon</w:t>
              </w:r>
            </w:hyperlink>
          </w:p>
        </w:tc>
        <w:tc>
          <w:tcPr>
            <w:tcW w:w="240" w:type="dxa"/>
            <w:vAlign w:val="bottom"/>
            <w:gridSpan w:val="3"/>
          </w:tcPr>
          <w:p>
            <w:pPr>
              <w:spacing w:after="0"/>
              <w:rPr>
                <w:sz w:val="24"/>
                <w:szCs w:val="24"/>
                <w:color w:val="auto"/>
              </w:rPr>
            </w:pPr>
          </w:p>
        </w:tc>
      </w:tr>
      <w:tr>
        <w:trPr>
          <w:trHeight w:val="194"/>
        </w:trPr>
        <w:tc>
          <w:tcPr>
            <w:tcW w:w="1120" w:type="dxa"/>
            <w:vAlign w:val="bottom"/>
          </w:tcPr>
          <w:p>
            <w:pPr>
              <w:spacing w:after="0"/>
              <w:rPr>
                <w:sz w:val="16"/>
                <w:szCs w:val="16"/>
                <w:color w:val="auto"/>
              </w:rPr>
            </w:pPr>
          </w:p>
        </w:tc>
        <w:tc>
          <w:tcPr>
            <w:tcW w:w="5820" w:type="dxa"/>
            <w:vAlign w:val="bottom"/>
            <w:gridSpan w:val="11"/>
          </w:tcPr>
          <w:p>
            <w:pPr>
              <w:spacing w:after="0" w:line="194" w:lineRule="exact"/>
              <w:rPr>
                <w:rFonts w:ascii="Times New Roman" w:cs="Times New Roman" w:eastAsia="Times New Roman" w:hAnsi="Times New Roman"/>
                <w:sz w:val="18"/>
                <w:szCs w:val="18"/>
                <w:color w:val="0000EE"/>
              </w:rPr>
            </w:pPr>
            <w:hyperlink r:id="rId501">
              <w:r>
                <w:rPr>
                  <w:rFonts w:ascii="Times New Roman" w:cs="Times New Roman" w:eastAsia="Times New Roman" w:hAnsi="Times New Roman"/>
                  <w:sz w:val="18"/>
                  <w:szCs w:val="18"/>
                  <w:color w:val="0000EE"/>
                </w:rPr>
                <w:t>Valley Bank.</w:t>
              </w:r>
            </w:hyperlink>
          </w:p>
        </w:tc>
      </w:tr>
      <w:tr>
        <w:trPr>
          <w:trHeight w:val="20"/>
        </w:trPr>
        <w:tc>
          <w:tcPr>
            <w:tcW w:w="11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30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4.5</w:t>
            </w:r>
          </w:p>
        </w:tc>
        <w:tc>
          <w:tcPr>
            <w:tcW w:w="5820" w:type="dxa"/>
            <w:vAlign w:val="bottom"/>
            <w:gridSpan w:val="11"/>
          </w:tcPr>
          <w:p>
            <w:pPr>
              <w:spacing w:after="0"/>
              <w:rPr>
                <w:rFonts w:ascii="Times New Roman" w:cs="Times New Roman" w:eastAsia="Times New Roman" w:hAnsi="Times New Roman"/>
                <w:sz w:val="18"/>
                <w:szCs w:val="18"/>
                <w:color w:val="0000EE"/>
              </w:rPr>
            </w:pPr>
            <w:hyperlink r:id="rId502">
              <w:r>
                <w:rPr>
                  <w:rFonts w:ascii="Times New Roman" w:cs="Times New Roman" w:eastAsia="Times New Roman" w:hAnsi="Times New Roman"/>
                  <w:sz w:val="18"/>
                  <w:szCs w:val="18"/>
                  <w:color w:val="0000EE"/>
                </w:rPr>
                <w:t>Warrant to Purchase Series D Preferred Stock, dated May 18, 2020, issued to</w:t>
              </w:r>
            </w:hyperlink>
          </w:p>
        </w:tc>
      </w:tr>
      <w:tr>
        <w:trPr>
          <w:trHeight w:val="194"/>
        </w:trPr>
        <w:tc>
          <w:tcPr>
            <w:tcW w:w="1120" w:type="dxa"/>
            <w:vAlign w:val="bottom"/>
          </w:tcPr>
          <w:p>
            <w:pPr>
              <w:spacing w:after="0"/>
              <w:rPr>
                <w:sz w:val="16"/>
                <w:szCs w:val="16"/>
                <w:color w:val="auto"/>
              </w:rPr>
            </w:pPr>
          </w:p>
        </w:tc>
        <w:tc>
          <w:tcPr>
            <w:tcW w:w="2560" w:type="dxa"/>
            <w:vAlign w:val="bottom"/>
            <w:tcBorders>
              <w:top w:val="single" w:sz="8" w:color="0000EE"/>
              <w:bottom w:val="single" w:sz="8" w:color="0000EE"/>
            </w:tcBorders>
            <w:gridSpan w:val="5"/>
          </w:tcPr>
          <w:p>
            <w:pPr>
              <w:spacing w:after="0" w:line="194" w:lineRule="exact"/>
              <w:rPr>
                <w:rFonts w:ascii="Times New Roman" w:cs="Times New Roman" w:eastAsia="Times New Roman" w:hAnsi="Times New Roman"/>
                <w:sz w:val="18"/>
                <w:szCs w:val="18"/>
                <w:color w:val="0000EE"/>
                <w:w w:val="99"/>
              </w:rPr>
            </w:pPr>
            <w:hyperlink r:id="rId502">
              <w:r>
                <w:rPr>
                  <w:rFonts w:ascii="Times New Roman" w:cs="Times New Roman" w:eastAsia="Times New Roman" w:hAnsi="Times New Roman"/>
                  <w:sz w:val="18"/>
                  <w:szCs w:val="18"/>
                  <w:color w:val="0000EE"/>
                  <w:w w:val="99"/>
                </w:rPr>
                <w:t>Perceptive Credit Holdings III, LP.</w:t>
              </w:r>
            </w:hyperlink>
          </w:p>
        </w:tc>
        <w:tc>
          <w:tcPr>
            <w:tcW w:w="2920" w:type="dxa"/>
            <w:vAlign w:val="bottom"/>
            <w:tcBorders>
              <w:top w:val="single" w:sz="8" w:color="0000EE"/>
            </w:tcBorders>
            <w:gridSpan w:val="2"/>
          </w:tcPr>
          <w:p>
            <w:pPr>
              <w:spacing w:after="0"/>
              <w:rPr>
                <w:sz w:val="16"/>
                <w:szCs w:val="16"/>
                <w:color w:val="auto"/>
              </w:rPr>
            </w:pPr>
          </w:p>
        </w:tc>
        <w:tc>
          <w:tcPr>
            <w:tcW w:w="340" w:type="dxa"/>
            <w:vAlign w:val="bottom"/>
            <w:gridSpan w:val="4"/>
          </w:tcPr>
          <w:p>
            <w:pPr>
              <w:spacing w:after="0"/>
              <w:rPr>
                <w:sz w:val="16"/>
                <w:szCs w:val="16"/>
                <w:color w:val="auto"/>
              </w:rPr>
            </w:pPr>
          </w:p>
        </w:tc>
      </w:tr>
      <w:tr>
        <w:trPr>
          <w:trHeight w:val="30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58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Opinion of Latham &amp; Watkins LLP.</w:t>
            </w:r>
          </w:p>
        </w:tc>
      </w:tr>
      <w:tr>
        <w:trPr>
          <w:trHeight w:val="20"/>
        </w:trPr>
        <w:tc>
          <w:tcPr>
            <w:tcW w:w="11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5" w:lineRule="exact"/>
        <w:rPr>
          <w:sz w:val="20"/>
          <w:szCs w:val="20"/>
          <w:color w:val="auto"/>
        </w:rPr>
      </w:pPr>
    </w:p>
    <w:p>
      <w:pPr>
        <w:ind w:left="1300" w:right="380" w:hanging="1126"/>
        <w:spacing w:after="0" w:line="277" w:lineRule="auto"/>
        <w:tabs>
          <w:tab w:leader="none" w:pos="254" w:val="left"/>
        </w:tabs>
        <w:numPr>
          <w:ilvl w:val="0"/>
          <w:numId w:val="158"/>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10.1(a)^</w:t>
      </w:r>
      <w:hyperlink r:id="rId503">
        <w:r>
          <w:rPr>
            <w:rFonts w:ascii="Times New Roman" w:cs="Times New Roman" w:eastAsia="Times New Roman" w:hAnsi="Times New Roman"/>
            <w:sz w:val="17"/>
            <w:szCs w:val="17"/>
            <w:u w:val="single" w:color="auto"/>
            <w:color w:val="0000EE"/>
          </w:rPr>
          <w:t>Credit, Security, and Guaranty Agreement, dated as of June 2, 2023, by and</w:t>
        </w:r>
      </w:hyperlink>
      <w:r>
        <w:rPr>
          <w:rFonts w:ascii="Times New Roman" w:cs="Times New Roman" w:eastAsia="Times New Roman" w:hAnsi="Times New Roman"/>
          <w:sz w:val="17"/>
          <w:szCs w:val="17"/>
          <w:u w:val="single" w:color="auto"/>
          <w:color w:val="0000EE"/>
        </w:rPr>
        <w:t xml:space="preserve"> </w:t>
      </w:r>
      <w:hyperlink r:id="rId503">
        <w:r>
          <w:rPr>
            <w:rFonts w:ascii="Times New Roman" w:cs="Times New Roman" w:eastAsia="Times New Roman" w:hAnsi="Times New Roman"/>
            <w:sz w:val="17"/>
            <w:szCs w:val="17"/>
            <w:u w:val="single" w:color="auto"/>
            <w:color w:val="0000EE"/>
          </w:rPr>
          <w:t>among Omada Health, Inc., Physera, Inc., MidCap Funding IV Trust, as</w:t>
        </w:r>
      </w:hyperlink>
      <w:r>
        <w:rPr>
          <w:rFonts w:ascii="Times New Roman" w:cs="Times New Roman" w:eastAsia="Times New Roman" w:hAnsi="Times New Roman"/>
          <w:sz w:val="17"/>
          <w:szCs w:val="17"/>
          <w:u w:val="single" w:color="auto"/>
          <w:color w:val="0000EE"/>
        </w:rPr>
        <w:t xml:space="preserve"> </w:t>
      </w:r>
      <w:hyperlink r:id="rId503">
        <w:r>
          <w:rPr>
            <w:rFonts w:ascii="Times New Roman" w:cs="Times New Roman" w:eastAsia="Times New Roman" w:hAnsi="Times New Roman"/>
            <w:sz w:val="17"/>
            <w:szCs w:val="17"/>
            <w:u w:val="single" w:color="auto"/>
            <w:color w:val="0000EE"/>
          </w:rPr>
          <w:t>administrative agent, MidCap Financial Trust, as term loan servicer, and the</w:t>
        </w:r>
      </w:hyperlink>
      <w:r>
        <w:rPr>
          <w:rFonts w:ascii="Times New Roman" w:cs="Times New Roman" w:eastAsia="Times New Roman" w:hAnsi="Times New Roman"/>
          <w:sz w:val="17"/>
          <w:szCs w:val="17"/>
          <w:u w:val="single" w:color="auto"/>
          <w:color w:val="0000EE"/>
        </w:rPr>
        <w:t xml:space="preserve"> </w:t>
      </w:r>
      <w:hyperlink r:id="rId503">
        <w:r>
          <w:rPr>
            <w:rFonts w:ascii="Times New Roman" w:cs="Times New Roman" w:eastAsia="Times New Roman" w:hAnsi="Times New Roman"/>
            <w:sz w:val="17"/>
            <w:szCs w:val="17"/>
            <w:u w:val="single" w:color="auto"/>
            <w:color w:val="0000EE"/>
          </w:rPr>
          <w:t>lenders, additional borrowers, and guarantors from time to time party thereto.</w:t>
        </w:r>
      </w:hyperlink>
    </w:p>
    <w:p>
      <w:pPr>
        <w:spacing w:after="0" w:line="44" w:lineRule="exact"/>
        <w:rPr>
          <w:rFonts w:ascii="Times New Roman" w:cs="Times New Roman" w:eastAsia="Times New Roman" w:hAnsi="Times New Roman"/>
          <w:sz w:val="17"/>
          <w:szCs w:val="17"/>
          <w:u w:val="single" w:color="auto"/>
          <w:color w:val="0000EE"/>
        </w:rPr>
      </w:pPr>
    </w:p>
    <w:tbl>
      <w:tblPr>
        <w:tblLayout w:type="fixed"/>
        <w:tblInd w:w="18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10.1(b)</w:t>
            </w:r>
          </w:p>
        </w:tc>
        <w:tc>
          <w:tcPr>
            <w:tcW w:w="54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r:id="rId504">
              <w:r>
                <w:rPr>
                  <w:rFonts w:ascii="Times New Roman" w:cs="Times New Roman" w:eastAsia="Times New Roman" w:hAnsi="Times New Roman"/>
                  <w:sz w:val="18"/>
                  <w:szCs w:val="18"/>
                  <w:color w:val="0000EE"/>
                  <w:w w:val="98"/>
                </w:rPr>
                <w:t>Amendment No. 1 to Credit, Security, and Guaranty Agreement, dated as of</w:t>
              </w:r>
            </w:hyperlink>
          </w:p>
        </w:tc>
      </w:tr>
      <w:tr>
        <w:trPr>
          <w:trHeight w:val="194"/>
        </w:trPr>
        <w:tc>
          <w:tcPr>
            <w:tcW w:w="1120" w:type="dxa"/>
            <w:vAlign w:val="bottom"/>
          </w:tcPr>
          <w:p>
            <w:pPr>
              <w:spacing w:after="0"/>
              <w:rPr>
                <w:sz w:val="16"/>
                <w:szCs w:val="16"/>
                <w:color w:val="auto"/>
              </w:rPr>
            </w:pPr>
          </w:p>
        </w:tc>
        <w:tc>
          <w:tcPr>
            <w:tcW w:w="5280" w:type="dxa"/>
            <w:vAlign w:val="bottom"/>
            <w:tcBorders>
              <w:bottom w:val="single" w:sz="8" w:color="0000EE"/>
            </w:tcBorders>
          </w:tcPr>
          <w:p>
            <w:pPr>
              <w:spacing w:after="0" w:line="194" w:lineRule="exact"/>
              <w:rPr>
                <w:rFonts w:ascii="Times New Roman" w:cs="Times New Roman" w:eastAsia="Times New Roman" w:hAnsi="Times New Roman"/>
                <w:sz w:val="18"/>
                <w:szCs w:val="18"/>
                <w:color w:val="0000EE"/>
                <w:w w:val="98"/>
              </w:rPr>
            </w:pPr>
            <w:hyperlink r:id="rId504">
              <w:r>
                <w:rPr>
                  <w:rFonts w:ascii="Times New Roman" w:cs="Times New Roman" w:eastAsia="Times New Roman" w:hAnsi="Times New Roman"/>
                  <w:sz w:val="18"/>
                  <w:szCs w:val="18"/>
                  <w:color w:val="0000EE"/>
                  <w:w w:val="98"/>
                </w:rPr>
                <w:t>March 7, 2025, by and among Omada Health, Inc., Physera, Inc., MidCap</w:t>
              </w:r>
            </w:hyperlink>
          </w:p>
        </w:tc>
        <w:tc>
          <w:tcPr>
            <w:tcW w:w="140" w:type="dxa"/>
            <w:vAlign w:val="bottom"/>
          </w:tcPr>
          <w:p>
            <w:pPr>
              <w:spacing w:after="0"/>
              <w:rPr>
                <w:sz w:val="16"/>
                <w:szCs w:val="16"/>
                <w:color w:val="auto"/>
              </w:rPr>
            </w:pPr>
          </w:p>
        </w:tc>
      </w:tr>
    </w:tbl>
    <w:p>
      <w:pPr>
        <w:spacing w:after="0" w:line="8" w:lineRule="exact"/>
        <w:rPr>
          <w:sz w:val="20"/>
          <w:szCs w:val="20"/>
          <w:color w:val="auto"/>
        </w:rPr>
      </w:pPr>
    </w:p>
    <w:p>
      <w:pPr>
        <w:jc w:val="both"/>
        <w:ind w:left="1300" w:right="160"/>
        <w:spacing w:after="0" w:line="262" w:lineRule="auto"/>
        <w:rPr>
          <w:rFonts w:ascii="Times New Roman" w:cs="Times New Roman" w:eastAsia="Times New Roman" w:hAnsi="Times New Roman"/>
          <w:sz w:val="18"/>
          <w:szCs w:val="18"/>
          <w:u w:val="single" w:color="auto"/>
          <w:color w:val="0000EE"/>
        </w:rPr>
      </w:pPr>
      <w:hyperlink r:id="rId504">
        <w:r>
          <w:rPr>
            <w:rFonts w:ascii="Times New Roman" w:cs="Times New Roman" w:eastAsia="Times New Roman" w:hAnsi="Times New Roman"/>
            <w:sz w:val="18"/>
            <w:szCs w:val="18"/>
            <w:u w:val="single" w:color="auto"/>
            <w:color w:val="0000EE"/>
          </w:rPr>
          <w:t>Funding IV Trust, as administrative agent, MidCap Financial Trust, as term loan</w:t>
        </w:r>
      </w:hyperlink>
      <w:r>
        <w:rPr>
          <w:rFonts w:ascii="Times New Roman" w:cs="Times New Roman" w:eastAsia="Times New Roman" w:hAnsi="Times New Roman"/>
          <w:sz w:val="18"/>
          <w:szCs w:val="18"/>
          <w:u w:val="single" w:color="auto"/>
          <w:color w:val="0000EE"/>
        </w:rPr>
        <w:t xml:space="preserve"> </w:t>
      </w:r>
      <w:hyperlink r:id="rId504">
        <w:r>
          <w:rPr>
            <w:rFonts w:ascii="Times New Roman" w:cs="Times New Roman" w:eastAsia="Times New Roman" w:hAnsi="Times New Roman"/>
            <w:sz w:val="18"/>
            <w:szCs w:val="18"/>
            <w:u w:val="single" w:color="auto"/>
            <w:color w:val="0000EE"/>
          </w:rPr>
          <w:t>servicer, and the lenders, additional borrowers, and guarantors from time to time</w:t>
        </w:r>
      </w:hyperlink>
      <w:r>
        <w:rPr>
          <w:rFonts w:ascii="Times New Roman" w:cs="Times New Roman" w:eastAsia="Times New Roman" w:hAnsi="Times New Roman"/>
          <w:sz w:val="18"/>
          <w:szCs w:val="18"/>
          <w:u w:val="single" w:color="auto"/>
          <w:color w:val="0000EE"/>
        </w:rPr>
        <w:t xml:space="preserve"> </w:t>
      </w:r>
      <w:hyperlink r:id="rId504">
        <w:r>
          <w:rPr>
            <w:rFonts w:ascii="Times New Roman" w:cs="Times New Roman" w:eastAsia="Times New Roman" w:hAnsi="Times New Roman"/>
            <w:sz w:val="18"/>
            <w:szCs w:val="18"/>
            <w:u w:val="single" w:color="auto"/>
            <w:color w:val="0000EE"/>
          </w:rPr>
          <w:t>party thereto.</w:t>
        </w:r>
      </w:hyperlink>
    </w:p>
    <w:p>
      <w:pPr>
        <w:spacing w:after="0" w:line="70" w:lineRule="exact"/>
        <w:rPr>
          <w:rFonts w:ascii="Times New Roman" w:cs="Times New Roman" w:eastAsia="Times New Roman" w:hAnsi="Times New Roman"/>
          <w:sz w:val="18"/>
          <w:szCs w:val="18"/>
          <w:u w:val="single" w:color="auto"/>
          <w:color w:val="0000EE"/>
        </w:rPr>
      </w:pPr>
    </w:p>
    <w:p>
      <w:pPr>
        <w:ind w:left="1300" w:right="260" w:hanging="1126"/>
        <w:spacing w:after="0" w:line="277" w:lineRule="auto"/>
        <w:tabs>
          <w:tab w:leader="none" w:pos="254" w:val="left"/>
        </w:tabs>
        <w:numPr>
          <w:ilvl w:val="0"/>
          <w:numId w:val="159"/>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10.2(a)^</w:t>
      </w:r>
      <w:hyperlink r:id="rId505">
        <w:r>
          <w:rPr>
            <w:rFonts w:ascii="Times New Roman" w:cs="Times New Roman" w:eastAsia="Times New Roman" w:hAnsi="Times New Roman"/>
            <w:sz w:val="18"/>
            <w:szCs w:val="18"/>
            <w:u w:val="single" w:color="auto"/>
            <w:color w:val="0000EE"/>
          </w:rPr>
          <w:t>500 Sansome Lease, dated April 30, 2014, by and between Omada Health, Inc.</w:t>
        </w:r>
      </w:hyperlink>
      <w:r>
        <w:rPr>
          <w:rFonts w:ascii="Times New Roman" w:cs="Times New Roman" w:eastAsia="Times New Roman" w:hAnsi="Times New Roman"/>
          <w:sz w:val="18"/>
          <w:szCs w:val="18"/>
          <w:u w:val="single" w:color="auto"/>
          <w:color w:val="0000EE"/>
        </w:rPr>
        <w:t xml:space="preserve"> </w:t>
      </w:r>
      <w:hyperlink r:id="rId505">
        <w:r>
          <w:rPr>
            <w:rFonts w:ascii="Times New Roman" w:cs="Times New Roman" w:eastAsia="Times New Roman" w:hAnsi="Times New Roman"/>
            <w:sz w:val="18"/>
            <w:szCs w:val="18"/>
            <w:u w:val="single" w:color="auto"/>
            <w:color w:val="0000EE"/>
          </w:rPr>
          <w:t>and 500 Sansome Street Investors, LLC.</w:t>
        </w:r>
      </w:hyperlink>
    </w:p>
    <w:p>
      <w:pPr>
        <w:spacing w:after="0" w:line="97" w:lineRule="exact"/>
        <w:rPr>
          <w:rFonts w:ascii="Times New Roman" w:cs="Times New Roman" w:eastAsia="Times New Roman" w:hAnsi="Times New Roman"/>
          <w:sz w:val="18"/>
          <w:szCs w:val="18"/>
          <w:color w:val="auto"/>
        </w:rPr>
      </w:pPr>
    </w:p>
    <w:p>
      <w:pPr>
        <w:ind w:left="550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3" w:lineRule="exact"/>
        <w:rPr>
          <w:rFonts w:ascii="Times New Roman" w:cs="Times New Roman" w:eastAsia="Times New Roman" w:hAnsi="Times New Roman"/>
          <w:sz w:val="18"/>
          <w:szCs w:val="18"/>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153543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6">
                      <a:extLst>
                        <a:ext uri="{28A0092B-C50C-407E-A947-70E740481C1C}"/>
                      </a:extLst>
                    </a:blip>
                    <a:srcRect/>
                    <a:stretch>
                      <a:fillRect/>
                    </a:stretch>
                  </pic:blipFill>
                  <pic:spPr bwMode="auto">
                    <a:xfrm>
                      <a:off x="0" y="0"/>
                      <a:ext cx="1535430" cy="8255"/>
                    </a:xfrm>
                    <a:prstGeom prst="rect">
                      <a:avLst/>
                    </a:prstGeom>
                    <a:noFill/>
                  </pic:spPr>
                </pic:pic>
              </a:graphicData>
            </a:graphic>
          </wp:anchor>
        </w:drawing>
      </w:r>
    </w:p>
    <w:p>
      <w:pPr>
        <w:ind w:left="3100"/>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tabs>
          <w:tab w:leader="none" w:pos="960" w:val="left"/>
          <w:tab w:leader="none" w:pos="1900" w:val="left"/>
          <w:tab w:leader="none" w:pos="2960" w:val="left"/>
        </w:tabs>
        <w:rPr>
          <w:sz w:val="20"/>
          <w:szCs w:val="20"/>
          <w:color w:val="auto"/>
        </w:rPr>
      </w:pPr>
      <w:r>
        <w:rPr>
          <w:rFonts w:ascii="Times New Roman" w:cs="Times New Roman" w:eastAsia="Times New Roman" w:hAnsi="Times New Roman"/>
          <w:sz w:val="14"/>
          <w:szCs w:val="14"/>
          <w:b w:val="1"/>
          <w:bCs w:val="1"/>
          <w:u w:val="single" w:color="auto"/>
          <w:color w:val="auto"/>
        </w:rPr>
        <w:t>Form</w:t>
      </w:r>
      <w:r>
        <w:rPr>
          <w:sz w:val="20"/>
          <w:szCs w:val="20"/>
          <w:color w:val="auto"/>
        </w:rPr>
        <w:tab/>
      </w:r>
      <w:r>
        <w:rPr>
          <w:rFonts w:ascii="Times New Roman" w:cs="Times New Roman" w:eastAsia="Times New Roman" w:hAnsi="Times New Roman"/>
          <w:sz w:val="14"/>
          <w:szCs w:val="14"/>
          <w:b w:val="1"/>
          <w:bCs w:val="1"/>
          <w:color w:val="auto"/>
        </w:rPr>
        <w:t>Date</w:t>
      </w:r>
      <w:r>
        <w:rPr>
          <w:sz w:val="20"/>
          <w:szCs w:val="20"/>
          <w:color w:val="auto"/>
        </w:rPr>
        <w:tab/>
      </w:r>
      <w:r>
        <w:rPr>
          <w:rFonts w:ascii="Times New Roman" w:cs="Times New Roman" w:eastAsia="Times New Roman" w:hAnsi="Times New Roman"/>
          <w:sz w:val="14"/>
          <w:szCs w:val="14"/>
          <w:b w:val="1"/>
          <w:bCs w:val="1"/>
          <w:u w:val="single" w:color="auto"/>
          <w:color w:val="auto"/>
        </w:rPr>
        <w:t>Number</w:t>
      </w:r>
      <w:r>
        <w:rPr>
          <w:sz w:val="20"/>
          <w:szCs w:val="20"/>
          <w:color w:val="auto"/>
        </w:rPr>
        <w:tab/>
      </w:r>
      <w:r>
        <w:rPr>
          <w:rFonts w:ascii="Times New Roman" w:cs="Times New Roman" w:eastAsia="Times New Roman" w:hAnsi="Times New Roman"/>
          <w:sz w:val="14"/>
          <w:szCs w:val="14"/>
          <w:b w:val="1"/>
          <w:bCs w:val="1"/>
          <w:u w:val="single" w:color="auto"/>
          <w:color w:val="auto"/>
        </w:rPr>
        <w:t>Herewith</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445770</wp:posOffset>
            </wp:positionH>
            <wp:positionV relativeFrom="paragraph">
              <wp:posOffset>-3810</wp:posOffset>
            </wp:positionV>
            <wp:extent cx="5511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7">
                      <a:extLst>
                        <a:ext uri="{28A0092B-C50C-407E-A947-70E740481C1C}"/>
                      </a:extLst>
                    </a:blip>
                    <a:srcRect/>
                    <a:stretch>
                      <a:fillRect/>
                    </a:stretch>
                  </pic:blipFill>
                  <pic:spPr bwMode="auto">
                    <a:xfrm>
                      <a:off x="0" y="0"/>
                      <a:ext cx="551180"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94" w:lineRule="exact"/>
        <w:rPr>
          <w:rFonts w:ascii="Times New Roman" w:cs="Times New Roman" w:eastAsia="Times New Roman" w:hAnsi="Times New Roman"/>
          <w:sz w:val="18"/>
          <w:szCs w:val="18"/>
          <w:color w:val="auto"/>
        </w:rPr>
      </w:pPr>
    </w:p>
    <w:tbl>
      <w:tblPr>
        <w:tblLayout w:type="fixed"/>
        <w:tblInd w:w="100" w:type="dxa"/>
        <w:tblCellMar>
          <w:top w:w="0" w:type="dxa"/>
          <w:left w:w="0" w:type="dxa"/>
          <w:bottom w:w="0" w:type="dxa"/>
          <w:right w:w="0" w:type="dxa"/>
        </w:tblCellMar>
      </w:tblPr>
      <w:tr>
        <w:trPr>
          <w:trHeight w:val="23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05/09/2025</w:t>
            </w:r>
          </w:p>
        </w:tc>
        <w:tc>
          <w:tcPr>
            <w:tcW w:w="7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4"/>
              </w:rPr>
              <w:t>3.1(a)</w:t>
            </w:r>
          </w:p>
        </w:tc>
      </w:tr>
      <w:tr>
        <w:trPr>
          <w:trHeight w:val="5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05/09/2025</w:t>
            </w:r>
          </w:p>
        </w:tc>
        <w:tc>
          <w:tcPr>
            <w:tcW w:w="7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1"/>
              </w:rPr>
              <w:t>3.1(b)</w:t>
            </w:r>
          </w:p>
        </w:tc>
      </w:tr>
    </w:tbl>
    <w:p>
      <w:pPr>
        <w:spacing w:after="0" w:line="302" w:lineRule="exact"/>
        <w:rPr>
          <w:rFonts w:ascii="Times New Roman" w:cs="Times New Roman" w:eastAsia="Times New Roman" w:hAnsi="Times New Roman"/>
          <w:sz w:val="18"/>
          <w:szCs w:val="18"/>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327" w:lineRule="exact"/>
        <w:rPr>
          <w:rFonts w:ascii="Times New Roman" w:cs="Times New Roman" w:eastAsia="Times New Roman" w:hAnsi="Times New Roman"/>
          <w:sz w:val="18"/>
          <w:szCs w:val="18"/>
          <w:color w:val="auto"/>
        </w:rPr>
      </w:pPr>
    </w:p>
    <w:tbl>
      <w:tblPr>
        <w:tblLayout w:type="fixed"/>
        <w:tblInd w:w="100" w:type="dxa"/>
        <w:tblCellMar>
          <w:top w:w="0" w:type="dxa"/>
          <w:left w:w="0" w:type="dxa"/>
          <w:bottom w:w="0" w:type="dxa"/>
          <w:right w:w="0" w:type="dxa"/>
        </w:tblCellMar>
      </w:tblPr>
      <w:tr>
        <w:trPr>
          <w:trHeight w:val="23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05/09/2025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05/09/2025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5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05/09/2025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64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05/09/2025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5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05/09/2025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5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05/09/2025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5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05/09/2025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88" w:lineRule="exact"/>
        <w:rPr>
          <w:rFonts w:ascii="Times New Roman" w:cs="Times New Roman" w:eastAsia="Times New Roman" w:hAnsi="Times New Roman"/>
          <w:sz w:val="18"/>
          <w:szCs w:val="18"/>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5" w:lineRule="exact"/>
        <w:rPr>
          <w:rFonts w:ascii="Times New Roman" w:cs="Times New Roman" w:eastAsia="Times New Roman" w:hAnsi="Times New Roman"/>
          <w:sz w:val="18"/>
          <w:szCs w:val="18"/>
          <w:color w:val="auto"/>
        </w:rPr>
      </w:pPr>
    </w:p>
    <w:p>
      <w:pPr>
        <w:ind w:left="100"/>
        <w:spacing w:after="0"/>
        <w:tabs>
          <w:tab w:leader="none" w:pos="740" w:val="left"/>
          <w:tab w:leader="none" w:pos="2080" w:val="left"/>
        </w:tabs>
        <w:rPr>
          <w:sz w:val="20"/>
          <w:szCs w:val="20"/>
          <w:color w:val="auto"/>
        </w:rPr>
      </w:pPr>
      <w:r>
        <w:rPr>
          <w:rFonts w:ascii="Times New Roman" w:cs="Times New Roman" w:eastAsia="Times New Roman" w:hAnsi="Times New Roman"/>
          <w:sz w:val="18"/>
          <w:szCs w:val="18"/>
          <w:color w:val="auto"/>
        </w:rPr>
        <w:t>S-1</w:t>
      </w:r>
      <w:r>
        <w:rPr>
          <w:sz w:val="20"/>
          <w:szCs w:val="20"/>
          <w:color w:val="auto"/>
        </w:rPr>
        <w:tab/>
      </w:r>
      <w:r>
        <w:rPr>
          <w:rFonts w:ascii="Times New Roman" w:cs="Times New Roman" w:eastAsia="Times New Roman" w:hAnsi="Times New Roman"/>
          <w:sz w:val="18"/>
          <w:szCs w:val="18"/>
          <w:color w:val="auto"/>
        </w:rPr>
        <w:t>05/09/2025</w:t>
      </w:r>
      <w:r>
        <w:rPr>
          <w:sz w:val="20"/>
          <w:szCs w:val="20"/>
          <w:color w:val="auto"/>
        </w:rPr>
        <w:tab/>
      </w:r>
      <w:r>
        <w:rPr>
          <w:rFonts w:ascii="Times New Roman" w:cs="Times New Roman" w:eastAsia="Times New Roman" w:hAnsi="Times New Roman"/>
          <w:sz w:val="18"/>
          <w:szCs w:val="18"/>
          <w:color w:val="auto"/>
        </w:rPr>
        <w:t>10.1(a)</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9" w:lineRule="exact"/>
        <w:rPr>
          <w:rFonts w:ascii="Times New Roman" w:cs="Times New Roman" w:eastAsia="Times New Roman" w:hAnsi="Times New Roman"/>
          <w:sz w:val="18"/>
          <w:szCs w:val="18"/>
          <w:color w:val="auto"/>
        </w:rPr>
      </w:pPr>
    </w:p>
    <w:tbl>
      <w:tblPr>
        <w:tblLayout w:type="fixed"/>
        <w:tblInd w:w="100" w:type="dxa"/>
        <w:tblCellMar>
          <w:top w:w="0" w:type="dxa"/>
          <w:left w:w="0" w:type="dxa"/>
          <w:bottom w:w="0" w:type="dxa"/>
          <w:right w:w="0" w:type="dxa"/>
        </w:tblCellMar>
      </w:tblPr>
      <w:tr>
        <w:trPr>
          <w:trHeight w:val="23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05/09/2025</w:t>
            </w: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5"/>
              </w:rPr>
              <w:t>10.1(b)</w:t>
            </w:r>
          </w:p>
        </w:tc>
      </w:tr>
      <w:tr>
        <w:trPr>
          <w:trHeight w:val="5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05/09/2025</w:t>
            </w: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7"/>
              </w:rPr>
              <w:t>10.2(a)</w:t>
            </w:r>
          </w:p>
        </w:tc>
      </w:tr>
    </w:tbl>
    <w:p>
      <w:pPr>
        <w:sectPr>
          <w:pgSz w:w="11900" w:h="16838" w:orient="portrait"/>
          <w:cols w:equalWidth="0" w:num="2">
            <w:col w:w="7200" w:space="280"/>
            <w:col w:w="3540"/>
          </w:cols>
          <w:pgMar w:left="320" w:top="450" w:right="55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Table of Contents</w:t>
      </w:r>
    </w:p>
    <w:p>
      <w:pPr>
        <w:spacing w:after="0" w:line="200" w:lineRule="exact"/>
        <w:rPr>
          <w:sz w:val="20"/>
          <w:szCs w:val="20"/>
          <w:color w:val="auto"/>
        </w:rPr>
      </w:pPr>
    </w:p>
    <w:p>
      <w:pPr>
        <w:spacing w:after="0" w:line="245"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70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w w:val="99"/>
              </w:rPr>
              <w:t>Exhibit Description</w:t>
            </w:r>
          </w:p>
        </w:tc>
        <w:tc>
          <w:tcPr>
            <w:tcW w:w="0" w:type="dxa"/>
            <w:vAlign w:val="bottom"/>
          </w:tcPr>
          <w:p>
            <w:pPr>
              <w:spacing w:after="0"/>
              <w:rPr>
                <w:sz w:val="1"/>
                <w:szCs w:val="1"/>
                <w:color w:val="auto"/>
              </w:rPr>
            </w:pPr>
          </w:p>
        </w:tc>
      </w:tr>
      <w:tr>
        <w:trPr>
          <w:trHeight w:val="187"/>
        </w:trPr>
        <w:tc>
          <w:tcPr>
            <w:tcW w:w="200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2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-635</wp:posOffset>
            </wp:positionV>
            <wp:extent cx="364744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9">
                      <a:extLst>
                        <a:ext uri="{28A0092B-C50C-407E-A947-70E740481C1C}"/>
                      </a:extLst>
                    </a:blip>
                    <a:srcRect/>
                    <a:stretch>
                      <a:fillRect/>
                    </a:stretch>
                  </pic:blipFill>
                  <pic:spPr bwMode="auto">
                    <a:xfrm>
                      <a:off x="0" y="0"/>
                      <a:ext cx="3647440" cy="8255"/>
                    </a:xfrm>
                    <a:prstGeom prst="rect">
                      <a:avLst/>
                    </a:prstGeom>
                    <a:noFill/>
                  </pic:spPr>
                </pic:pic>
              </a:graphicData>
            </a:graphic>
          </wp:anchor>
        </w:drawing>
      </w:r>
    </w:p>
    <w:p>
      <w:pPr>
        <w:spacing w:after="0" w:line="67" w:lineRule="exact"/>
        <w:rPr>
          <w:sz w:val="20"/>
          <w:szCs w:val="20"/>
          <w:color w:val="auto"/>
        </w:rPr>
      </w:pPr>
    </w:p>
    <w:p>
      <w:pPr>
        <w:ind w:left="1420" w:right="480" w:hanging="1246"/>
        <w:spacing w:after="0" w:line="277" w:lineRule="auto"/>
        <w:tabs>
          <w:tab w:leader="none" w:pos="267" w:val="left"/>
        </w:tabs>
        <w:numPr>
          <w:ilvl w:val="0"/>
          <w:numId w:val="16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10.2(b)^</w:t>
      </w:r>
      <w:hyperlink r:id="rId510">
        <w:r>
          <w:rPr>
            <w:rFonts w:ascii="Times New Roman" w:cs="Times New Roman" w:eastAsia="Times New Roman" w:hAnsi="Times New Roman"/>
            <w:sz w:val="18"/>
            <w:szCs w:val="18"/>
            <w:u w:val="single" w:color="auto"/>
            <w:color w:val="0000EE"/>
          </w:rPr>
          <w:t>First Amendment to Office Lease, dated March 10, 2016, by and between</w:t>
        </w:r>
      </w:hyperlink>
      <w:r>
        <w:rPr>
          <w:rFonts w:ascii="Times New Roman" w:cs="Times New Roman" w:eastAsia="Times New Roman" w:hAnsi="Times New Roman"/>
          <w:sz w:val="18"/>
          <w:szCs w:val="18"/>
          <w:u w:val="single" w:color="auto"/>
          <w:color w:val="0000EE"/>
        </w:rPr>
        <w:t xml:space="preserve"> </w:t>
      </w:r>
      <w:hyperlink r:id="rId510">
        <w:r>
          <w:rPr>
            <w:rFonts w:ascii="Times New Roman" w:cs="Times New Roman" w:eastAsia="Times New Roman" w:hAnsi="Times New Roman"/>
            <w:sz w:val="18"/>
            <w:szCs w:val="18"/>
            <w:u w:val="single" w:color="auto"/>
            <w:color w:val="0000EE"/>
          </w:rPr>
          <w:t>Omada Health, Inc. and 500 Sansome Street Investors, LLC.</w:t>
        </w:r>
      </w:hyperlink>
    </w:p>
    <w:p>
      <w:pPr>
        <w:spacing w:after="0" w:line="56" w:lineRule="exact"/>
        <w:rPr>
          <w:rFonts w:ascii="Times New Roman" w:cs="Times New Roman" w:eastAsia="Times New Roman" w:hAnsi="Times New Roman"/>
          <w:sz w:val="18"/>
          <w:szCs w:val="18"/>
          <w:u w:val="single" w:color="auto"/>
          <w:color w:val="0000EE"/>
        </w:rPr>
      </w:pPr>
    </w:p>
    <w:p>
      <w:pPr>
        <w:ind w:left="1420" w:right="440" w:hanging="1246"/>
        <w:spacing w:after="0" w:line="277" w:lineRule="auto"/>
        <w:tabs>
          <w:tab w:leader="none" w:pos="267" w:val="left"/>
        </w:tabs>
        <w:numPr>
          <w:ilvl w:val="0"/>
          <w:numId w:val="16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10.2(c)^</w:t>
      </w:r>
      <w:hyperlink r:id="rId511">
        <w:r>
          <w:rPr>
            <w:rFonts w:ascii="Times New Roman" w:cs="Times New Roman" w:eastAsia="Times New Roman" w:hAnsi="Times New Roman"/>
            <w:sz w:val="18"/>
            <w:szCs w:val="18"/>
            <w:u w:val="single" w:color="auto"/>
            <w:color w:val="0000EE"/>
          </w:rPr>
          <w:t>Second Amendment to Office Lease, dated July 19, 2019, by and between</w:t>
        </w:r>
      </w:hyperlink>
      <w:r>
        <w:rPr>
          <w:rFonts w:ascii="Times New Roman" w:cs="Times New Roman" w:eastAsia="Times New Roman" w:hAnsi="Times New Roman"/>
          <w:sz w:val="18"/>
          <w:szCs w:val="18"/>
          <w:u w:val="single" w:color="auto"/>
          <w:color w:val="0000EE"/>
        </w:rPr>
        <w:t xml:space="preserve"> </w:t>
      </w:r>
      <w:hyperlink r:id="rId511">
        <w:r>
          <w:rPr>
            <w:rFonts w:ascii="Times New Roman" w:cs="Times New Roman" w:eastAsia="Times New Roman" w:hAnsi="Times New Roman"/>
            <w:sz w:val="18"/>
            <w:szCs w:val="18"/>
            <w:u w:val="single" w:color="auto"/>
            <w:color w:val="0000EE"/>
          </w:rPr>
          <w:t>Omada Health, Inc. and 500 Sansome Street Investors, LLC.</w:t>
        </w:r>
      </w:hyperlink>
    </w:p>
    <w:p>
      <w:pPr>
        <w:spacing w:after="0" w:line="56" w:lineRule="exact"/>
        <w:rPr>
          <w:rFonts w:ascii="Times New Roman" w:cs="Times New Roman" w:eastAsia="Times New Roman" w:hAnsi="Times New Roman"/>
          <w:sz w:val="18"/>
          <w:szCs w:val="18"/>
          <w:u w:val="single" w:color="auto"/>
          <w:color w:val="0000EE"/>
        </w:rPr>
      </w:pPr>
    </w:p>
    <w:p>
      <w:pPr>
        <w:jc w:val="center"/>
        <w:ind w:left="1420" w:right="160" w:hanging="1246"/>
        <w:spacing w:after="0" w:line="277" w:lineRule="auto"/>
        <w:tabs>
          <w:tab w:leader="none" w:pos="267" w:val="left"/>
        </w:tabs>
        <w:numPr>
          <w:ilvl w:val="0"/>
          <w:numId w:val="16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10.2(d)^</w:t>
      </w:r>
      <w:hyperlink r:id="rId512">
        <w:r>
          <w:rPr>
            <w:rFonts w:ascii="Times New Roman" w:cs="Times New Roman" w:eastAsia="Times New Roman" w:hAnsi="Times New Roman"/>
            <w:sz w:val="18"/>
            <w:szCs w:val="18"/>
            <w:u w:val="single" w:color="auto"/>
            <w:color w:val="0000EE"/>
          </w:rPr>
          <w:t>Third Amendment to Office Lease, dated November 7, 2019, by and between</w:t>
        </w:r>
      </w:hyperlink>
      <w:r>
        <w:rPr>
          <w:rFonts w:ascii="Times New Roman" w:cs="Times New Roman" w:eastAsia="Times New Roman" w:hAnsi="Times New Roman"/>
          <w:sz w:val="18"/>
          <w:szCs w:val="18"/>
          <w:u w:val="single" w:color="auto"/>
          <w:color w:val="0000EE"/>
        </w:rPr>
        <w:t xml:space="preserve"> </w:t>
      </w:r>
      <w:hyperlink r:id="rId512">
        <w:r>
          <w:rPr>
            <w:rFonts w:ascii="Times New Roman" w:cs="Times New Roman" w:eastAsia="Times New Roman" w:hAnsi="Times New Roman"/>
            <w:sz w:val="18"/>
            <w:szCs w:val="18"/>
            <w:u w:val="single" w:color="auto"/>
            <w:color w:val="0000EE"/>
          </w:rPr>
          <w:t>Omada Health, Inc. and 500 Sansome Street Investors, LLC.</w:t>
        </w:r>
      </w:hyperlink>
    </w:p>
    <w:p>
      <w:pPr>
        <w:spacing w:after="0" w:line="56" w:lineRule="exact"/>
        <w:rPr>
          <w:rFonts w:ascii="Times New Roman" w:cs="Times New Roman" w:eastAsia="Times New Roman" w:hAnsi="Times New Roman"/>
          <w:sz w:val="18"/>
          <w:szCs w:val="18"/>
          <w:u w:val="single" w:color="auto"/>
          <w:color w:val="0000EE"/>
        </w:rPr>
      </w:pPr>
    </w:p>
    <w:p>
      <w:pPr>
        <w:ind w:left="260" w:hanging="86"/>
        <w:spacing w:after="0"/>
        <w:tabs>
          <w:tab w:leader="none" w:pos="260" w:val="left"/>
        </w:tabs>
        <w:numPr>
          <w:ilvl w:val="0"/>
          <w:numId w:val="160"/>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10.2(e)^</w:t>
      </w:r>
      <w:hyperlink r:id="rId513">
        <w:r>
          <w:rPr>
            <w:rFonts w:ascii="Times New Roman" w:cs="Times New Roman" w:eastAsia="Times New Roman" w:hAnsi="Times New Roman"/>
            <w:sz w:val="17"/>
            <w:szCs w:val="17"/>
            <w:u w:val="single" w:color="auto"/>
            <w:color w:val="0000EE"/>
          </w:rPr>
          <w:t>Fourth Amendment to Office Lease, dated January 5, 2022, by and between</w:t>
        </w:r>
      </w:hyperlink>
    </w:p>
    <w:p>
      <w:pPr>
        <w:spacing w:after="0" w:line="37" w:lineRule="exact"/>
        <w:rPr>
          <w:rFonts w:ascii="Times New Roman" w:cs="Times New Roman" w:eastAsia="Times New Roman" w:hAnsi="Times New Roman"/>
          <w:sz w:val="17"/>
          <w:szCs w:val="17"/>
          <w:u w:val="single" w:color="auto"/>
          <w:color w:val="0000EE"/>
        </w:rPr>
      </w:pPr>
    </w:p>
    <w:p>
      <w:pPr>
        <w:ind w:left="1420"/>
        <w:spacing w:after="0"/>
        <w:rPr>
          <w:rFonts w:ascii="Times New Roman" w:cs="Times New Roman" w:eastAsia="Times New Roman" w:hAnsi="Times New Roman"/>
          <w:sz w:val="18"/>
          <w:szCs w:val="18"/>
          <w:u w:val="single" w:color="auto"/>
          <w:color w:val="0000EE"/>
        </w:rPr>
      </w:pPr>
      <w:hyperlink r:id="rId513">
        <w:r>
          <w:rPr>
            <w:rFonts w:ascii="Times New Roman" w:cs="Times New Roman" w:eastAsia="Times New Roman" w:hAnsi="Times New Roman"/>
            <w:sz w:val="18"/>
            <w:szCs w:val="18"/>
            <w:u w:val="single" w:color="auto"/>
            <w:color w:val="0000EE"/>
          </w:rPr>
          <w:t>Omada Health, Inc. and 500 Sansome Street Investors, LLC.</w:t>
        </w:r>
      </w:hyperlink>
    </w:p>
    <w:p>
      <w:pPr>
        <w:spacing w:after="0" w:line="94" w:lineRule="exact"/>
        <w:rPr>
          <w:rFonts w:ascii="Times New Roman" w:cs="Times New Roman" w:eastAsia="Times New Roman" w:hAnsi="Times New Roman"/>
          <w:sz w:val="18"/>
          <w:szCs w:val="18"/>
          <w:u w:val="single" w:color="auto"/>
          <w:color w:val="0000EE"/>
        </w:rPr>
      </w:pPr>
    </w:p>
    <w:p>
      <w:pPr>
        <w:jc w:val="center"/>
        <w:ind w:left="1420" w:right="400" w:hanging="1246"/>
        <w:spacing w:after="0" w:line="277" w:lineRule="auto"/>
        <w:tabs>
          <w:tab w:leader="none" w:pos="267" w:val="left"/>
        </w:tabs>
        <w:numPr>
          <w:ilvl w:val="0"/>
          <w:numId w:val="16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10.3(a)†^</w:t>
      </w:r>
      <w:hyperlink r:id="rId514">
        <w:r>
          <w:rPr>
            <w:rFonts w:ascii="Times New Roman" w:cs="Times New Roman" w:eastAsia="Times New Roman" w:hAnsi="Times New Roman"/>
            <w:sz w:val="18"/>
            <w:szCs w:val="18"/>
            <w:u w:val="single" w:color="auto"/>
            <w:color w:val="0000EE"/>
          </w:rPr>
          <w:t>Services Agreement, dated as of February 1, 2018, by and between Omada</w:t>
        </w:r>
      </w:hyperlink>
      <w:r>
        <w:rPr>
          <w:rFonts w:ascii="Times New Roman" w:cs="Times New Roman" w:eastAsia="Times New Roman" w:hAnsi="Times New Roman"/>
          <w:sz w:val="18"/>
          <w:szCs w:val="18"/>
          <w:u w:val="single" w:color="auto"/>
          <w:color w:val="0000EE"/>
        </w:rPr>
        <w:t xml:space="preserve"> </w:t>
      </w:r>
      <w:hyperlink r:id="rId514">
        <w:r>
          <w:rPr>
            <w:rFonts w:ascii="Times New Roman" w:cs="Times New Roman" w:eastAsia="Times New Roman" w:hAnsi="Times New Roman"/>
            <w:sz w:val="18"/>
            <w:szCs w:val="18"/>
            <w:u w:val="single" w:color="auto"/>
            <w:color w:val="0000EE"/>
          </w:rPr>
          <w:t>Health, Inc. and Cigna Health and Life Insurance Company.</w:t>
        </w:r>
      </w:hyperlink>
    </w:p>
    <w:p>
      <w:pPr>
        <w:spacing w:after="0" w:line="56" w:lineRule="exact"/>
        <w:rPr>
          <w:rFonts w:ascii="Times New Roman" w:cs="Times New Roman" w:eastAsia="Times New Roman" w:hAnsi="Times New Roman"/>
          <w:sz w:val="18"/>
          <w:szCs w:val="18"/>
          <w:u w:val="single" w:color="auto"/>
          <w:color w:val="0000EE"/>
        </w:rPr>
      </w:pPr>
    </w:p>
    <w:p>
      <w:pPr>
        <w:ind w:left="1420" w:hanging="1246"/>
        <w:spacing w:after="0" w:line="308" w:lineRule="auto"/>
        <w:tabs>
          <w:tab w:leader="none" w:pos="267" w:val="left"/>
        </w:tabs>
        <w:numPr>
          <w:ilvl w:val="0"/>
          <w:numId w:val="160"/>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10.3(b)†</w:t>
      </w:r>
      <w:hyperlink r:id="rId515">
        <w:r>
          <w:rPr>
            <w:rFonts w:ascii="Times New Roman" w:cs="Times New Roman" w:eastAsia="Times New Roman" w:hAnsi="Times New Roman"/>
            <w:sz w:val="17"/>
            <w:szCs w:val="17"/>
            <w:u w:val="single" w:color="auto"/>
            <w:color w:val="0000EE"/>
          </w:rPr>
          <w:t>Amendment No. 1 to Services Agreement, dated as of February 1, 2018, by and</w:t>
        </w:r>
      </w:hyperlink>
      <w:r>
        <w:rPr>
          <w:rFonts w:ascii="Times New Roman" w:cs="Times New Roman" w:eastAsia="Times New Roman" w:hAnsi="Times New Roman"/>
          <w:sz w:val="17"/>
          <w:szCs w:val="17"/>
          <w:u w:val="single" w:color="auto"/>
          <w:color w:val="0000EE"/>
        </w:rPr>
        <w:t xml:space="preserve"> </w:t>
      </w:r>
      <w:hyperlink r:id="rId515">
        <w:r>
          <w:rPr>
            <w:rFonts w:ascii="Times New Roman" w:cs="Times New Roman" w:eastAsia="Times New Roman" w:hAnsi="Times New Roman"/>
            <w:sz w:val="17"/>
            <w:szCs w:val="17"/>
            <w:u w:val="single" w:color="auto"/>
            <w:color w:val="0000EE"/>
          </w:rPr>
          <w:t>between Omada Health, Inc. and Cigna Health and Life Insurance Company.</w:t>
        </w:r>
      </w:hyperlink>
    </w:p>
    <w:p>
      <w:pPr>
        <w:spacing w:after="0" w:line="32" w:lineRule="exact"/>
        <w:rPr>
          <w:rFonts w:ascii="Times New Roman" w:cs="Times New Roman" w:eastAsia="Times New Roman" w:hAnsi="Times New Roman"/>
          <w:sz w:val="17"/>
          <w:szCs w:val="17"/>
          <w:u w:val="single" w:color="auto"/>
          <w:color w:val="0000EE"/>
        </w:rPr>
      </w:pPr>
    </w:p>
    <w:p>
      <w:pPr>
        <w:ind w:left="1420" w:right="280" w:hanging="1246"/>
        <w:spacing w:after="0" w:line="277" w:lineRule="auto"/>
        <w:tabs>
          <w:tab w:leader="none" w:pos="267" w:val="left"/>
        </w:tabs>
        <w:numPr>
          <w:ilvl w:val="0"/>
          <w:numId w:val="16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10.4(a)†^</w:t>
      </w:r>
      <w:hyperlink r:id="rId516">
        <w:r>
          <w:rPr>
            <w:rFonts w:ascii="Times New Roman" w:cs="Times New Roman" w:eastAsia="Times New Roman" w:hAnsi="Times New Roman"/>
            <w:sz w:val="18"/>
            <w:szCs w:val="18"/>
            <w:u w:val="single" w:color="auto"/>
            <w:color w:val="0000EE"/>
          </w:rPr>
          <w:t>Master Services Agreement, dated January 1, 2020, by and between Express</w:t>
        </w:r>
      </w:hyperlink>
      <w:r>
        <w:rPr>
          <w:rFonts w:ascii="Times New Roman" w:cs="Times New Roman" w:eastAsia="Times New Roman" w:hAnsi="Times New Roman"/>
          <w:sz w:val="18"/>
          <w:szCs w:val="18"/>
          <w:u w:val="single" w:color="auto"/>
          <w:color w:val="0000EE"/>
        </w:rPr>
        <w:t xml:space="preserve"> </w:t>
      </w:r>
      <w:hyperlink r:id="rId516">
        <w:r>
          <w:rPr>
            <w:rFonts w:ascii="Times New Roman" w:cs="Times New Roman" w:eastAsia="Times New Roman" w:hAnsi="Times New Roman"/>
            <w:sz w:val="18"/>
            <w:szCs w:val="18"/>
            <w:u w:val="single" w:color="auto"/>
            <w:color w:val="0000EE"/>
          </w:rPr>
          <w:t>Scripts Holding Company, Inc. and Omada Health, Inc.</w:t>
        </w:r>
      </w:hyperlink>
    </w:p>
    <w:p>
      <w:pPr>
        <w:spacing w:after="0" w:line="56" w:lineRule="exact"/>
        <w:rPr>
          <w:rFonts w:ascii="Times New Roman" w:cs="Times New Roman" w:eastAsia="Times New Roman" w:hAnsi="Times New Roman"/>
          <w:sz w:val="18"/>
          <w:szCs w:val="18"/>
          <w:u w:val="single" w:color="auto"/>
          <w:color w:val="0000EE"/>
        </w:rPr>
      </w:pPr>
    </w:p>
    <w:p>
      <w:pPr>
        <w:ind w:left="1420" w:right="20" w:hanging="1246"/>
        <w:spacing w:after="0" w:line="257" w:lineRule="auto"/>
        <w:tabs>
          <w:tab w:leader="none" w:pos="267" w:val="left"/>
        </w:tabs>
        <w:numPr>
          <w:ilvl w:val="0"/>
          <w:numId w:val="16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10.4(b)†</w:t>
      </w:r>
      <w:hyperlink r:id="rId517">
        <w:r>
          <w:rPr>
            <w:rFonts w:ascii="Times New Roman" w:cs="Times New Roman" w:eastAsia="Times New Roman" w:hAnsi="Times New Roman"/>
            <w:sz w:val="18"/>
            <w:szCs w:val="18"/>
            <w:u w:val="single" w:color="auto"/>
            <w:color w:val="0000EE"/>
          </w:rPr>
          <w:t>Amendment No. 1 to Master Services Agreement, dated as of July 22, 2021, by</w:t>
        </w:r>
      </w:hyperlink>
      <w:r>
        <w:rPr>
          <w:rFonts w:ascii="Times New Roman" w:cs="Times New Roman" w:eastAsia="Times New Roman" w:hAnsi="Times New Roman"/>
          <w:sz w:val="18"/>
          <w:szCs w:val="18"/>
          <w:u w:val="single" w:color="auto"/>
          <w:color w:val="0000EE"/>
        </w:rPr>
        <w:t xml:space="preserve"> </w:t>
      </w:r>
      <w:hyperlink r:id="rId517">
        <w:r>
          <w:rPr>
            <w:rFonts w:ascii="Times New Roman" w:cs="Times New Roman" w:eastAsia="Times New Roman" w:hAnsi="Times New Roman"/>
            <w:sz w:val="18"/>
            <w:szCs w:val="18"/>
            <w:u w:val="single" w:color="auto"/>
            <w:color w:val="0000EE"/>
          </w:rPr>
          <w:t>and between Evernorth Health, Inc., f/k/a Express Scripts Health and Welfare</w:t>
        </w:r>
      </w:hyperlink>
      <w:r>
        <w:rPr>
          <w:rFonts w:ascii="Times New Roman" w:cs="Times New Roman" w:eastAsia="Times New Roman" w:hAnsi="Times New Roman"/>
          <w:sz w:val="18"/>
          <w:szCs w:val="18"/>
          <w:u w:val="single" w:color="auto"/>
          <w:color w:val="0000EE"/>
        </w:rPr>
        <w:t xml:space="preserve"> </w:t>
      </w:r>
      <w:hyperlink r:id="rId517">
        <w:r>
          <w:rPr>
            <w:rFonts w:ascii="Times New Roman" w:cs="Times New Roman" w:eastAsia="Times New Roman" w:hAnsi="Times New Roman"/>
            <w:sz w:val="18"/>
            <w:szCs w:val="18"/>
            <w:u w:val="single" w:color="auto"/>
            <w:color w:val="0000EE"/>
          </w:rPr>
          <w:t>Plan and Express Scripts Holding Company, Inc. (f/k/a ESHC), and Omada</w:t>
        </w:r>
      </w:hyperlink>
      <w:r>
        <w:rPr>
          <w:rFonts w:ascii="Times New Roman" w:cs="Times New Roman" w:eastAsia="Times New Roman" w:hAnsi="Times New Roman"/>
          <w:sz w:val="18"/>
          <w:szCs w:val="18"/>
          <w:u w:val="single" w:color="auto"/>
          <w:color w:val="0000EE"/>
        </w:rPr>
        <w:t xml:space="preserve"> </w:t>
      </w:r>
      <w:hyperlink r:id="rId517">
        <w:r>
          <w:rPr>
            <w:rFonts w:ascii="Times New Roman" w:cs="Times New Roman" w:eastAsia="Times New Roman" w:hAnsi="Times New Roman"/>
            <w:sz w:val="18"/>
            <w:szCs w:val="18"/>
            <w:u w:val="single" w:color="auto"/>
            <w:color w:val="0000EE"/>
          </w:rPr>
          <w:t>Health, Inc.</w:t>
        </w:r>
      </w:hyperlink>
    </w:p>
    <w:p>
      <w:pPr>
        <w:spacing w:after="0" w:line="75" w:lineRule="exact"/>
        <w:rPr>
          <w:rFonts w:ascii="Times New Roman" w:cs="Times New Roman" w:eastAsia="Times New Roman" w:hAnsi="Times New Roman"/>
          <w:sz w:val="18"/>
          <w:szCs w:val="18"/>
          <w:u w:val="single" w:color="auto"/>
          <w:color w:val="0000EE"/>
        </w:rPr>
      </w:pPr>
    </w:p>
    <w:p>
      <w:pPr>
        <w:ind w:left="1420" w:right="340" w:hanging="1246"/>
        <w:spacing w:after="0" w:line="262" w:lineRule="auto"/>
        <w:tabs>
          <w:tab w:leader="none" w:pos="267" w:val="left"/>
        </w:tabs>
        <w:numPr>
          <w:ilvl w:val="0"/>
          <w:numId w:val="16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10.4(c)†</w:t>
      </w:r>
      <w:hyperlink r:id="rId518">
        <w:r>
          <w:rPr>
            <w:rFonts w:ascii="Times New Roman" w:cs="Times New Roman" w:eastAsia="Times New Roman" w:hAnsi="Times New Roman"/>
            <w:sz w:val="18"/>
            <w:szCs w:val="18"/>
            <w:u w:val="single" w:color="auto"/>
            <w:color w:val="0000EE"/>
          </w:rPr>
          <w:t>Amendment No. 2 to Master Services Agreement, dated as of February 14,</w:t>
        </w:r>
      </w:hyperlink>
      <w:r>
        <w:rPr>
          <w:rFonts w:ascii="Times New Roman" w:cs="Times New Roman" w:eastAsia="Times New Roman" w:hAnsi="Times New Roman"/>
          <w:sz w:val="18"/>
          <w:szCs w:val="18"/>
          <w:u w:val="single" w:color="auto"/>
          <w:color w:val="0000EE"/>
        </w:rPr>
        <w:t xml:space="preserve"> </w:t>
      </w:r>
      <w:hyperlink r:id="rId518">
        <w:r>
          <w:rPr>
            <w:rFonts w:ascii="Times New Roman" w:cs="Times New Roman" w:eastAsia="Times New Roman" w:hAnsi="Times New Roman"/>
            <w:sz w:val="18"/>
            <w:szCs w:val="18"/>
            <w:u w:val="single" w:color="auto"/>
            <w:color w:val="0000EE"/>
          </w:rPr>
          <w:t>2023, by and between Evernorth Health, Inc., f/k/a Express Scripts Holding</w:t>
        </w:r>
      </w:hyperlink>
      <w:r>
        <w:rPr>
          <w:rFonts w:ascii="Times New Roman" w:cs="Times New Roman" w:eastAsia="Times New Roman" w:hAnsi="Times New Roman"/>
          <w:sz w:val="18"/>
          <w:szCs w:val="18"/>
          <w:u w:val="single" w:color="auto"/>
          <w:color w:val="0000EE"/>
        </w:rPr>
        <w:t xml:space="preserve"> </w:t>
      </w:r>
      <w:hyperlink r:id="rId518">
        <w:r>
          <w:rPr>
            <w:rFonts w:ascii="Times New Roman" w:cs="Times New Roman" w:eastAsia="Times New Roman" w:hAnsi="Times New Roman"/>
            <w:sz w:val="18"/>
            <w:szCs w:val="18"/>
            <w:u w:val="single" w:color="auto"/>
            <w:color w:val="0000EE"/>
          </w:rPr>
          <w:t>Company, Inc., and Omada Health, Inc.</w:t>
        </w:r>
      </w:hyperlink>
    </w:p>
    <w:p>
      <w:pPr>
        <w:spacing w:after="0" w:line="70" w:lineRule="exact"/>
        <w:rPr>
          <w:rFonts w:ascii="Times New Roman" w:cs="Times New Roman" w:eastAsia="Times New Roman" w:hAnsi="Times New Roman"/>
          <w:sz w:val="18"/>
          <w:szCs w:val="18"/>
          <w:u w:val="single" w:color="auto"/>
          <w:color w:val="0000EE"/>
        </w:rPr>
      </w:pPr>
    </w:p>
    <w:p>
      <w:pPr>
        <w:ind w:left="1420" w:right="260" w:hanging="1246"/>
        <w:spacing w:after="0" w:line="308" w:lineRule="auto"/>
        <w:tabs>
          <w:tab w:leader="none" w:pos="267" w:val="left"/>
        </w:tabs>
        <w:numPr>
          <w:ilvl w:val="0"/>
          <w:numId w:val="160"/>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10.5(a)†^</w:t>
      </w:r>
      <w:hyperlink r:id="rId519">
        <w:r>
          <w:rPr>
            <w:rFonts w:ascii="Times New Roman" w:cs="Times New Roman" w:eastAsia="Times New Roman" w:hAnsi="Times New Roman"/>
            <w:sz w:val="17"/>
            <w:szCs w:val="17"/>
            <w:u w:val="single" w:color="auto"/>
            <w:color w:val="0000EE"/>
          </w:rPr>
          <w:t>Administrative Services Agreement, dated as of January 1, 2020, by and</w:t>
        </w:r>
      </w:hyperlink>
      <w:r>
        <w:rPr>
          <w:rFonts w:ascii="Times New Roman" w:cs="Times New Roman" w:eastAsia="Times New Roman" w:hAnsi="Times New Roman"/>
          <w:sz w:val="17"/>
          <w:szCs w:val="17"/>
          <w:u w:val="single" w:color="auto"/>
          <w:color w:val="0000EE"/>
        </w:rPr>
        <w:t xml:space="preserve"> </w:t>
      </w:r>
      <w:hyperlink r:id="rId519">
        <w:r>
          <w:rPr>
            <w:rFonts w:ascii="Times New Roman" w:cs="Times New Roman" w:eastAsia="Times New Roman" w:hAnsi="Times New Roman"/>
            <w:sz w:val="17"/>
            <w:szCs w:val="17"/>
            <w:u w:val="single" w:color="auto"/>
            <w:color w:val="0000EE"/>
          </w:rPr>
          <w:t>between Omada Health, Inc. and Cigna Health and Life Insurance Company.</w:t>
        </w:r>
      </w:hyperlink>
    </w:p>
    <w:p>
      <w:pPr>
        <w:spacing w:after="0" w:line="32" w:lineRule="exact"/>
        <w:rPr>
          <w:rFonts w:ascii="Times New Roman" w:cs="Times New Roman" w:eastAsia="Times New Roman" w:hAnsi="Times New Roman"/>
          <w:sz w:val="17"/>
          <w:szCs w:val="17"/>
          <w:u w:val="single" w:color="auto"/>
          <w:color w:val="0000EE"/>
        </w:rPr>
      </w:pPr>
    </w:p>
    <w:p>
      <w:pPr>
        <w:ind w:left="1420" w:right="60" w:hanging="1246"/>
        <w:spacing w:after="0" w:line="262" w:lineRule="auto"/>
        <w:tabs>
          <w:tab w:leader="none" w:pos="267" w:val="left"/>
        </w:tabs>
        <w:numPr>
          <w:ilvl w:val="0"/>
          <w:numId w:val="16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10.5(b)†</w:t>
      </w:r>
      <w:hyperlink r:id="rId520">
        <w:r>
          <w:rPr>
            <w:rFonts w:ascii="Times New Roman" w:cs="Times New Roman" w:eastAsia="Times New Roman" w:hAnsi="Times New Roman"/>
            <w:sz w:val="18"/>
            <w:szCs w:val="18"/>
            <w:u w:val="single" w:color="auto"/>
            <w:color w:val="0000EE"/>
          </w:rPr>
          <w:t>Amendment No. 1 to Administrative Services Agreement, dated as of April 6,</w:t>
        </w:r>
      </w:hyperlink>
      <w:r>
        <w:rPr>
          <w:rFonts w:ascii="Times New Roman" w:cs="Times New Roman" w:eastAsia="Times New Roman" w:hAnsi="Times New Roman"/>
          <w:sz w:val="18"/>
          <w:szCs w:val="18"/>
          <w:u w:val="single" w:color="auto"/>
          <w:color w:val="0000EE"/>
        </w:rPr>
        <w:t xml:space="preserve"> </w:t>
      </w:r>
      <w:hyperlink r:id="rId520">
        <w:r>
          <w:rPr>
            <w:rFonts w:ascii="Times New Roman" w:cs="Times New Roman" w:eastAsia="Times New Roman" w:hAnsi="Times New Roman"/>
            <w:sz w:val="18"/>
            <w:szCs w:val="18"/>
            <w:u w:val="single" w:color="auto"/>
            <w:color w:val="0000EE"/>
          </w:rPr>
          <w:t>2021, by and between Omada Health, Inc. and Cigna Health and Life Insurance</w:t>
        </w:r>
      </w:hyperlink>
      <w:r>
        <w:rPr>
          <w:rFonts w:ascii="Times New Roman" w:cs="Times New Roman" w:eastAsia="Times New Roman" w:hAnsi="Times New Roman"/>
          <w:sz w:val="18"/>
          <w:szCs w:val="18"/>
          <w:u w:val="single" w:color="auto"/>
          <w:color w:val="0000EE"/>
        </w:rPr>
        <w:t xml:space="preserve"> </w:t>
      </w:r>
      <w:hyperlink r:id="rId520">
        <w:r>
          <w:rPr>
            <w:rFonts w:ascii="Times New Roman" w:cs="Times New Roman" w:eastAsia="Times New Roman" w:hAnsi="Times New Roman"/>
            <w:sz w:val="18"/>
            <w:szCs w:val="18"/>
            <w:u w:val="single" w:color="auto"/>
            <w:color w:val="0000EE"/>
          </w:rPr>
          <w:t>Company.</w:t>
        </w:r>
      </w:hyperlink>
    </w:p>
    <w:p>
      <w:pPr>
        <w:spacing w:after="0" w:line="70" w:lineRule="exact"/>
        <w:rPr>
          <w:rFonts w:ascii="Times New Roman" w:cs="Times New Roman" w:eastAsia="Times New Roman" w:hAnsi="Times New Roman"/>
          <w:sz w:val="18"/>
          <w:szCs w:val="18"/>
          <w:u w:val="single" w:color="auto"/>
          <w:color w:val="0000EE"/>
        </w:rPr>
      </w:pPr>
    </w:p>
    <w:p>
      <w:pPr>
        <w:ind w:left="1420" w:right="60" w:hanging="1246"/>
        <w:spacing w:after="0" w:line="262" w:lineRule="auto"/>
        <w:tabs>
          <w:tab w:leader="none" w:pos="267" w:val="left"/>
        </w:tabs>
        <w:numPr>
          <w:ilvl w:val="0"/>
          <w:numId w:val="16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10.5(c)†</w:t>
      </w:r>
      <w:hyperlink r:id="rId521">
        <w:r>
          <w:rPr>
            <w:rFonts w:ascii="Times New Roman" w:cs="Times New Roman" w:eastAsia="Times New Roman" w:hAnsi="Times New Roman"/>
            <w:sz w:val="18"/>
            <w:szCs w:val="18"/>
            <w:u w:val="single" w:color="auto"/>
            <w:color w:val="0000EE"/>
          </w:rPr>
          <w:t>Amendment No. 2 to Administrative Service Agreement, dated as of March 7,</w:t>
        </w:r>
      </w:hyperlink>
      <w:r>
        <w:rPr>
          <w:rFonts w:ascii="Times New Roman" w:cs="Times New Roman" w:eastAsia="Times New Roman" w:hAnsi="Times New Roman"/>
          <w:sz w:val="18"/>
          <w:szCs w:val="18"/>
          <w:u w:val="single" w:color="auto"/>
          <w:color w:val="0000EE"/>
        </w:rPr>
        <w:t xml:space="preserve"> </w:t>
      </w:r>
      <w:hyperlink r:id="rId521">
        <w:r>
          <w:rPr>
            <w:rFonts w:ascii="Times New Roman" w:cs="Times New Roman" w:eastAsia="Times New Roman" w:hAnsi="Times New Roman"/>
            <w:sz w:val="18"/>
            <w:szCs w:val="18"/>
            <w:u w:val="single" w:color="auto"/>
            <w:color w:val="0000EE"/>
          </w:rPr>
          <w:t>2022, by and between Omada Health, Inc. and Cigna Health and Life Insurance</w:t>
        </w:r>
      </w:hyperlink>
      <w:r>
        <w:rPr>
          <w:rFonts w:ascii="Times New Roman" w:cs="Times New Roman" w:eastAsia="Times New Roman" w:hAnsi="Times New Roman"/>
          <w:sz w:val="18"/>
          <w:szCs w:val="18"/>
          <w:u w:val="single" w:color="auto"/>
          <w:color w:val="0000EE"/>
        </w:rPr>
        <w:t xml:space="preserve"> </w:t>
      </w:r>
      <w:hyperlink r:id="rId521">
        <w:r>
          <w:rPr>
            <w:rFonts w:ascii="Times New Roman" w:cs="Times New Roman" w:eastAsia="Times New Roman" w:hAnsi="Times New Roman"/>
            <w:sz w:val="18"/>
            <w:szCs w:val="18"/>
            <w:u w:val="single" w:color="auto"/>
            <w:color w:val="0000EE"/>
          </w:rPr>
          <w:t>Company.</w:t>
        </w:r>
      </w:hyperlink>
    </w:p>
    <w:p>
      <w:pPr>
        <w:spacing w:after="0" w:line="55" w:lineRule="exact"/>
        <w:rPr>
          <w:rFonts w:ascii="Times New Roman" w:cs="Times New Roman" w:eastAsia="Times New Roman" w:hAnsi="Times New Roman"/>
          <w:sz w:val="18"/>
          <w:szCs w:val="18"/>
          <w:u w:val="single" w:color="auto"/>
          <w:color w:val="0000EE"/>
        </w:rPr>
      </w:pPr>
    </w:p>
    <w:tbl>
      <w:tblPr>
        <w:tblLayout w:type="fixed"/>
        <w:tblInd w:w="18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  10.6†^</w:t>
            </w:r>
          </w:p>
        </w:tc>
        <w:tc>
          <w:tcPr>
            <w:tcW w:w="54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522">
              <w:r>
                <w:rPr>
                  <w:rFonts w:ascii="Times New Roman" w:cs="Times New Roman" w:eastAsia="Times New Roman" w:hAnsi="Times New Roman"/>
                  <w:sz w:val="18"/>
                  <w:szCs w:val="18"/>
                  <w:color w:val="0000EE"/>
                  <w:w w:val="99"/>
                </w:rPr>
                <w:t>Administrative Services Agreement, dated as of December 13, 2022, by and</w:t>
              </w:r>
            </w:hyperlink>
          </w:p>
        </w:tc>
      </w:tr>
      <w:tr>
        <w:trPr>
          <w:trHeight w:val="194"/>
        </w:trPr>
        <w:tc>
          <w:tcPr>
            <w:tcW w:w="1240" w:type="dxa"/>
            <w:vAlign w:val="bottom"/>
          </w:tcPr>
          <w:p>
            <w:pPr>
              <w:spacing w:after="0"/>
              <w:rPr>
                <w:sz w:val="16"/>
                <w:szCs w:val="16"/>
                <w:color w:val="auto"/>
              </w:rPr>
            </w:pPr>
          </w:p>
        </w:tc>
        <w:tc>
          <w:tcPr>
            <w:tcW w:w="5460" w:type="dxa"/>
            <w:vAlign w:val="bottom"/>
            <w:gridSpan w:val="2"/>
          </w:tcPr>
          <w:p>
            <w:pPr>
              <w:spacing w:after="0" w:line="194" w:lineRule="exact"/>
              <w:rPr>
                <w:rFonts w:ascii="Times New Roman" w:cs="Times New Roman" w:eastAsia="Times New Roman" w:hAnsi="Times New Roman"/>
                <w:sz w:val="18"/>
                <w:szCs w:val="18"/>
                <w:color w:val="0000EE"/>
                <w:w w:val="99"/>
              </w:rPr>
            </w:pPr>
            <w:hyperlink r:id="rId522">
              <w:r>
                <w:rPr>
                  <w:rFonts w:ascii="Times New Roman" w:cs="Times New Roman" w:eastAsia="Times New Roman" w:hAnsi="Times New Roman"/>
                  <w:sz w:val="18"/>
                  <w:szCs w:val="18"/>
                  <w:color w:val="0000EE"/>
                  <w:w w:val="99"/>
                </w:rPr>
                <w:t>between Omada Health, Inc. and Allegiance Benefit Plan Management, Inc.</w:t>
              </w:r>
            </w:hyperlink>
          </w:p>
        </w:tc>
      </w:tr>
      <w:tr>
        <w:trPr>
          <w:trHeight w:val="20"/>
        </w:trPr>
        <w:tc>
          <w:tcPr>
            <w:tcW w:w="1240" w:type="dxa"/>
            <w:vAlign w:val="bottom"/>
          </w:tcPr>
          <w:p>
            <w:pPr>
              <w:spacing w:after="0" w:line="20" w:lineRule="exact"/>
              <w:rPr>
                <w:sz w:val="1"/>
                <w:szCs w:val="1"/>
                <w:color w:val="auto"/>
              </w:rPr>
            </w:pPr>
          </w:p>
        </w:tc>
        <w:tc>
          <w:tcPr>
            <w:tcW w:w="5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360" w:type="dxa"/>
            <w:vAlign w:val="bottom"/>
            <w:tcBorders>
              <w:top w:val="single" w:sz="8" w:color="auto"/>
            </w:tcBorders>
            <w:vMerge w:val="restart"/>
          </w:tcPr>
          <w:p>
            <w:pPr>
              <w:spacing w:after="0"/>
              <w:rPr>
                <w:sz w:val="10"/>
                <w:szCs w:val="10"/>
                <w:color w:val="auto"/>
              </w:rPr>
            </w:pPr>
          </w:p>
        </w:tc>
        <w:tc>
          <w:tcPr>
            <w:tcW w:w="880" w:type="dxa"/>
            <w:vAlign w:val="bottom"/>
            <w:tcBorders>
              <w:top w:val="single" w:sz="8" w:color="auto"/>
            </w:tcBorders>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Date</w:t>
            </w:r>
          </w:p>
        </w:tc>
        <w:tc>
          <w:tcPr>
            <w:tcW w:w="860" w:type="dxa"/>
            <w:vAlign w:val="bottom"/>
            <w:tcBorders>
              <w:top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Filed</w:t>
            </w:r>
          </w:p>
        </w:tc>
        <w:tc>
          <w:tcPr>
            <w:tcW w:w="0" w:type="dxa"/>
            <w:vAlign w:val="bottom"/>
          </w:tcPr>
          <w:p>
            <w:pPr>
              <w:spacing w:after="0"/>
              <w:rPr>
                <w:sz w:val="1"/>
                <w:szCs w:val="1"/>
                <w:color w:val="auto"/>
              </w:rPr>
            </w:pPr>
          </w:p>
        </w:tc>
      </w:tr>
      <w:tr>
        <w:trPr>
          <w:trHeight w:val="172"/>
        </w:trPr>
        <w:tc>
          <w:tcPr>
            <w:tcW w:w="3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740" w:type="dxa"/>
            <w:vAlign w:val="bottom"/>
            <w:gridSpan w:val="2"/>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05/09/2025</w:t>
            </w:r>
          </w:p>
        </w:tc>
        <w:tc>
          <w:tcPr>
            <w:tcW w:w="360" w:type="dxa"/>
            <w:vAlign w:val="bottom"/>
          </w:tcPr>
          <w:p>
            <w:pPr>
              <w:spacing w:after="0"/>
              <w:rPr>
                <w:sz w:val="24"/>
                <w:szCs w:val="24"/>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10.2(b)</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S-1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05/09/2025</w:t>
            </w:r>
          </w:p>
        </w:tc>
        <w:tc>
          <w:tcPr>
            <w:tcW w:w="360" w:type="dxa"/>
            <w:vAlign w:val="bottom"/>
          </w:tcPr>
          <w:p>
            <w:pPr>
              <w:spacing w:after="0"/>
              <w:rPr>
                <w:sz w:val="24"/>
                <w:szCs w:val="24"/>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10.2(c)</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S-1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05/09/2025</w:t>
            </w:r>
          </w:p>
        </w:tc>
        <w:tc>
          <w:tcPr>
            <w:tcW w:w="360" w:type="dxa"/>
            <w:vAlign w:val="bottom"/>
          </w:tcPr>
          <w:p>
            <w:pPr>
              <w:spacing w:after="0"/>
              <w:rPr>
                <w:sz w:val="24"/>
                <w:szCs w:val="24"/>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10.2(d)</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S-1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05/09/2025</w:t>
            </w:r>
          </w:p>
        </w:tc>
        <w:tc>
          <w:tcPr>
            <w:tcW w:w="360" w:type="dxa"/>
            <w:vAlign w:val="bottom"/>
          </w:tcPr>
          <w:p>
            <w:pPr>
              <w:spacing w:after="0"/>
              <w:rPr>
                <w:sz w:val="24"/>
                <w:szCs w:val="24"/>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10.2(e)</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S-1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05/09/2025</w:t>
            </w:r>
          </w:p>
        </w:tc>
        <w:tc>
          <w:tcPr>
            <w:tcW w:w="360" w:type="dxa"/>
            <w:vAlign w:val="bottom"/>
          </w:tcPr>
          <w:p>
            <w:pPr>
              <w:spacing w:after="0"/>
              <w:rPr>
                <w:sz w:val="24"/>
                <w:szCs w:val="24"/>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10.3(a)</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S-1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05/09/2025</w:t>
            </w:r>
          </w:p>
        </w:tc>
        <w:tc>
          <w:tcPr>
            <w:tcW w:w="360" w:type="dxa"/>
            <w:vAlign w:val="bottom"/>
          </w:tcPr>
          <w:p>
            <w:pPr>
              <w:spacing w:after="0"/>
              <w:rPr>
                <w:sz w:val="24"/>
                <w:szCs w:val="24"/>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10.3(b)</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S-1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05/09/2025</w:t>
            </w:r>
          </w:p>
        </w:tc>
        <w:tc>
          <w:tcPr>
            <w:tcW w:w="360" w:type="dxa"/>
            <w:vAlign w:val="bottom"/>
          </w:tcPr>
          <w:p>
            <w:pPr>
              <w:spacing w:after="0"/>
              <w:rPr>
                <w:sz w:val="24"/>
                <w:szCs w:val="24"/>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10.4(a)</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2"/>
        </w:trPr>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S-1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05/09/2025</w:t>
            </w:r>
          </w:p>
        </w:tc>
        <w:tc>
          <w:tcPr>
            <w:tcW w:w="360" w:type="dxa"/>
            <w:vAlign w:val="bottom"/>
          </w:tcPr>
          <w:p>
            <w:pPr>
              <w:spacing w:after="0"/>
              <w:rPr>
                <w:sz w:val="24"/>
                <w:szCs w:val="24"/>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10.4(b)</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S-1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05/09/2025</w:t>
            </w:r>
          </w:p>
        </w:tc>
        <w:tc>
          <w:tcPr>
            <w:tcW w:w="360" w:type="dxa"/>
            <w:vAlign w:val="bottom"/>
          </w:tcPr>
          <w:p>
            <w:pPr>
              <w:spacing w:after="0"/>
              <w:rPr>
                <w:sz w:val="24"/>
                <w:szCs w:val="24"/>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10.4(c)</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S-1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05/09/2025</w:t>
            </w:r>
          </w:p>
        </w:tc>
        <w:tc>
          <w:tcPr>
            <w:tcW w:w="360" w:type="dxa"/>
            <w:vAlign w:val="bottom"/>
          </w:tcPr>
          <w:p>
            <w:pPr>
              <w:spacing w:after="0"/>
              <w:rPr>
                <w:sz w:val="24"/>
                <w:szCs w:val="24"/>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10.5(a)</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S-1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05/09/2025</w:t>
            </w:r>
          </w:p>
        </w:tc>
        <w:tc>
          <w:tcPr>
            <w:tcW w:w="360" w:type="dxa"/>
            <w:vAlign w:val="bottom"/>
          </w:tcPr>
          <w:p>
            <w:pPr>
              <w:spacing w:after="0"/>
              <w:rPr>
                <w:sz w:val="24"/>
                <w:szCs w:val="24"/>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10.5(b)</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S-1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05/09/2025</w:t>
            </w:r>
          </w:p>
        </w:tc>
        <w:tc>
          <w:tcPr>
            <w:tcW w:w="360" w:type="dxa"/>
            <w:vAlign w:val="bottom"/>
          </w:tcPr>
          <w:p>
            <w:pPr>
              <w:spacing w:after="0"/>
              <w:rPr>
                <w:sz w:val="24"/>
                <w:szCs w:val="24"/>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10.5(c)</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S-1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05/09/2025</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5"/>
              </w:rPr>
              <w:t>10.6</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7140" w:space="340"/>
            <w:col w:w="3560"/>
          </w:cols>
          <w:pgMar w:left="320" w:top="451" w:right="53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4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560" w:type="dxa"/>
            <w:vAlign w:val="bottom"/>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14"/>
        </w:trPr>
        <w:tc>
          <w:tcPr>
            <w:tcW w:w="50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5640" w:type="dxa"/>
            <w:vAlign w:val="bottom"/>
            <w:vMerge w:val="restart"/>
          </w:tcPr>
          <w:p>
            <w:pPr>
              <w:ind w:left="22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360" w:type="dxa"/>
            <w:vAlign w:val="bottom"/>
          </w:tcPr>
          <w:p>
            <w:pPr>
              <w:spacing w:after="0"/>
              <w:rPr>
                <w:sz w:val="9"/>
                <w:szCs w:val="9"/>
                <w:color w:val="auto"/>
              </w:rPr>
            </w:pPr>
          </w:p>
        </w:tc>
        <w:tc>
          <w:tcPr>
            <w:tcW w:w="8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840" w:type="dxa"/>
            <w:vAlign w:val="bottom"/>
          </w:tcPr>
          <w:p>
            <w:pPr>
              <w:spacing w:after="0"/>
              <w:rPr>
                <w:sz w:val="13"/>
                <w:szCs w:val="13"/>
                <w:color w:val="auto"/>
              </w:rPr>
            </w:pPr>
          </w:p>
        </w:tc>
        <w:tc>
          <w:tcPr>
            <w:tcW w:w="5640" w:type="dxa"/>
            <w:vAlign w:val="bottom"/>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120" w:type="dxa"/>
            <w:vAlign w:val="bottom"/>
            <w:gridSpan w:val="2"/>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7"/>
        </w:trPr>
        <w:tc>
          <w:tcPr>
            <w:tcW w:w="5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5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260" w:hanging="86"/>
        <w:spacing w:after="0"/>
        <w:tabs>
          <w:tab w:leader="none" w:pos="260" w:val="left"/>
        </w:tabs>
        <w:numPr>
          <w:ilvl w:val="0"/>
          <w:numId w:val="161"/>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10.7(a)†^</w:t>
      </w:r>
      <w:hyperlink r:id="rId524">
        <w:r>
          <w:rPr>
            <w:rFonts w:ascii="Times New Roman" w:cs="Times New Roman" w:eastAsia="Times New Roman" w:hAnsi="Times New Roman"/>
            <w:sz w:val="17"/>
            <w:szCs w:val="17"/>
            <w:u w:val="single" w:color="auto"/>
            <w:color w:val="0000EE"/>
          </w:rPr>
          <w:t>Ancillary Services Agreement, dated as of May 31, 2018, by and between</w:t>
        </w:r>
      </w:hyperlink>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5260" w:type="dxa"/>
            <w:vAlign w:val="bottom"/>
            <w:gridSpan w:val="17"/>
          </w:tcPr>
          <w:p>
            <w:pPr>
              <w:spacing w:after="0"/>
              <w:rPr>
                <w:rFonts w:ascii="Times New Roman" w:cs="Times New Roman" w:eastAsia="Times New Roman" w:hAnsi="Times New Roman"/>
                <w:sz w:val="18"/>
                <w:szCs w:val="18"/>
                <w:color w:val="0000EE"/>
              </w:rPr>
            </w:pPr>
            <w:hyperlink r:id="rId524">
              <w:r>
                <w:rPr>
                  <w:rFonts w:ascii="Times New Roman" w:cs="Times New Roman" w:eastAsia="Times New Roman" w:hAnsi="Times New Roman"/>
                  <w:sz w:val="18"/>
                  <w:szCs w:val="18"/>
                  <w:color w:val="0000EE"/>
                </w:rPr>
                <w:t>Omada Health, Inc. and Cigna Health Corporation.</w:t>
              </w:r>
            </w:hyperlink>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05/09/2025</w:t>
            </w:r>
          </w:p>
        </w:tc>
        <w:tc>
          <w:tcPr>
            <w:tcW w:w="1760" w:type="dxa"/>
            <w:vAlign w:val="bottom"/>
          </w:tcPr>
          <w:p>
            <w:pPr>
              <w:jc w:val="right"/>
              <w:ind w:right="831"/>
              <w:spacing w:after="0"/>
              <w:rPr>
                <w:sz w:val="20"/>
                <w:szCs w:val="20"/>
                <w:color w:val="auto"/>
              </w:rPr>
            </w:pPr>
            <w:r>
              <w:rPr>
                <w:rFonts w:ascii="Times New Roman" w:cs="Times New Roman" w:eastAsia="Times New Roman" w:hAnsi="Times New Roman"/>
                <w:sz w:val="18"/>
                <w:szCs w:val="18"/>
                <w:color w:val="auto"/>
              </w:rPr>
              <w:t>10.7(a)</w:t>
            </w:r>
          </w:p>
        </w:tc>
      </w:tr>
      <w:tr>
        <w:trPr>
          <w:trHeight w:val="20"/>
        </w:trPr>
        <w:tc>
          <w:tcPr>
            <w:tcW w:w="1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01"/>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10.7(b)†</w:t>
            </w:r>
          </w:p>
        </w:tc>
        <w:tc>
          <w:tcPr>
            <w:tcW w:w="52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525">
              <w:r>
                <w:rPr>
                  <w:rFonts w:ascii="Times New Roman" w:cs="Times New Roman" w:eastAsia="Times New Roman" w:hAnsi="Times New Roman"/>
                  <w:sz w:val="18"/>
                  <w:szCs w:val="18"/>
                  <w:color w:val="0000EE"/>
                </w:rPr>
                <w:t>Amendment No. 1 to Ancillary Services Agreement, dated as of January</w:t>
              </w:r>
            </w:hyperlink>
          </w:p>
        </w:tc>
        <w:tc>
          <w:tcPr>
            <w:tcW w:w="140" w:type="dxa"/>
            <w:vAlign w:val="bottom"/>
            <w:tcBorders>
              <w:bottom w:val="single" w:sz="8" w:color="0000EE"/>
            </w:tcBorders>
            <w:gridSpan w:val="3"/>
          </w:tcPr>
          <w:p>
            <w:pPr>
              <w:jc w:val="right"/>
              <w:spacing w:after="0"/>
              <w:rPr>
                <w:rFonts w:ascii="Times New Roman" w:cs="Times New Roman" w:eastAsia="Times New Roman" w:hAnsi="Times New Roman"/>
                <w:sz w:val="18"/>
                <w:szCs w:val="18"/>
                <w:color w:val="0000EE"/>
                <w:w w:val="88"/>
              </w:rPr>
            </w:pPr>
            <w:hyperlink r:id="rId525">
              <w:r>
                <w:rPr>
                  <w:rFonts w:ascii="Times New Roman" w:cs="Times New Roman" w:eastAsia="Times New Roman" w:hAnsi="Times New Roman"/>
                  <w:sz w:val="18"/>
                  <w:szCs w:val="18"/>
                  <w:color w:val="0000EE"/>
                  <w:w w:val="88"/>
                </w:rPr>
                <w:t>1,</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4"/>
        </w:trPr>
        <w:tc>
          <w:tcPr>
            <w:tcW w:w="1320" w:type="dxa"/>
            <w:vAlign w:val="bottom"/>
          </w:tcPr>
          <w:p>
            <w:pPr>
              <w:spacing w:after="0"/>
              <w:rPr>
                <w:sz w:val="16"/>
                <w:szCs w:val="16"/>
                <w:color w:val="auto"/>
              </w:rPr>
            </w:pPr>
          </w:p>
        </w:tc>
        <w:tc>
          <w:tcPr>
            <w:tcW w:w="5260" w:type="dxa"/>
            <w:vAlign w:val="bottom"/>
            <w:tcBorders>
              <w:bottom w:val="single" w:sz="8" w:color="0000EE"/>
            </w:tcBorders>
            <w:gridSpan w:val="17"/>
          </w:tcPr>
          <w:p>
            <w:pPr>
              <w:spacing w:after="0" w:line="194" w:lineRule="exact"/>
              <w:rPr>
                <w:rFonts w:ascii="Times New Roman" w:cs="Times New Roman" w:eastAsia="Times New Roman" w:hAnsi="Times New Roman"/>
                <w:sz w:val="18"/>
                <w:szCs w:val="18"/>
                <w:color w:val="0000EE"/>
                <w:w w:val="98"/>
              </w:rPr>
            </w:pPr>
            <w:hyperlink r:id="rId525">
              <w:r>
                <w:rPr>
                  <w:rFonts w:ascii="Times New Roman" w:cs="Times New Roman" w:eastAsia="Times New Roman" w:hAnsi="Times New Roman"/>
                  <w:sz w:val="18"/>
                  <w:szCs w:val="18"/>
                  <w:color w:val="0000EE"/>
                  <w:w w:val="98"/>
                </w:rPr>
                <w:t>2019, by and between Omada Health, Inc. and Cigna Health Corporation.</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right"/>
              <w:ind w:right="131"/>
              <w:spacing w:after="0" w:line="194" w:lineRule="exact"/>
              <w:rPr>
                <w:sz w:val="20"/>
                <w:szCs w:val="20"/>
                <w:color w:val="auto"/>
              </w:rPr>
            </w:pPr>
            <w:r>
              <w:rPr>
                <w:rFonts w:ascii="Times New Roman" w:cs="Times New Roman" w:eastAsia="Times New Roman" w:hAnsi="Times New Roman"/>
                <w:sz w:val="18"/>
                <w:szCs w:val="18"/>
                <w:color w:val="auto"/>
              </w:rPr>
              <w:t>05/09/2025</w:t>
            </w:r>
          </w:p>
        </w:tc>
        <w:tc>
          <w:tcPr>
            <w:tcW w:w="1760" w:type="dxa"/>
            <w:vAlign w:val="bottom"/>
          </w:tcPr>
          <w:p>
            <w:pPr>
              <w:jc w:val="right"/>
              <w:ind w:right="831"/>
              <w:spacing w:after="0" w:line="194" w:lineRule="exact"/>
              <w:rPr>
                <w:sz w:val="20"/>
                <w:szCs w:val="20"/>
                <w:color w:val="auto"/>
              </w:rPr>
            </w:pPr>
            <w:r>
              <w:rPr>
                <w:rFonts w:ascii="Times New Roman" w:cs="Times New Roman" w:eastAsia="Times New Roman" w:hAnsi="Times New Roman"/>
                <w:sz w:val="18"/>
                <w:szCs w:val="18"/>
                <w:color w:val="auto"/>
              </w:rPr>
              <w:t>10.7(b)</w:t>
            </w:r>
          </w:p>
        </w:tc>
      </w:tr>
      <w:tr>
        <w:trPr>
          <w:trHeight w:val="301"/>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10.7(c)†</w:t>
            </w:r>
          </w:p>
        </w:tc>
        <w:tc>
          <w:tcPr>
            <w:tcW w:w="5800" w:type="dxa"/>
            <w:vAlign w:val="bottom"/>
            <w:gridSpan w:val="24"/>
          </w:tcPr>
          <w:p>
            <w:pPr>
              <w:spacing w:after="0"/>
              <w:rPr>
                <w:rFonts w:ascii="Times New Roman" w:cs="Times New Roman" w:eastAsia="Times New Roman" w:hAnsi="Times New Roman"/>
                <w:sz w:val="18"/>
                <w:szCs w:val="18"/>
                <w:color w:val="0000EE"/>
              </w:rPr>
            </w:pPr>
            <w:hyperlink r:id="rId526">
              <w:r>
                <w:rPr>
                  <w:rFonts w:ascii="Times New Roman" w:cs="Times New Roman" w:eastAsia="Times New Roman" w:hAnsi="Times New Roman"/>
                  <w:sz w:val="18"/>
                  <w:szCs w:val="18"/>
                  <w:color w:val="0000EE"/>
                </w:rPr>
                <w:t>Amendment No. 2 to Ancillary Services Agreement, dated as of January 16,</w:t>
              </w:r>
            </w:hyperlink>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4"/>
        </w:trPr>
        <w:tc>
          <w:tcPr>
            <w:tcW w:w="1320" w:type="dxa"/>
            <w:vAlign w:val="bottom"/>
          </w:tcPr>
          <w:p>
            <w:pPr>
              <w:spacing w:after="0"/>
              <w:rPr>
                <w:sz w:val="16"/>
                <w:szCs w:val="16"/>
                <w:color w:val="auto"/>
              </w:rPr>
            </w:pPr>
          </w:p>
        </w:tc>
        <w:tc>
          <w:tcPr>
            <w:tcW w:w="5260" w:type="dxa"/>
            <w:vAlign w:val="bottom"/>
            <w:tcBorders>
              <w:top w:val="single" w:sz="8" w:color="0000EE"/>
              <w:bottom w:val="single" w:sz="8" w:color="0000EE"/>
            </w:tcBorders>
            <w:gridSpan w:val="17"/>
          </w:tcPr>
          <w:p>
            <w:pPr>
              <w:spacing w:after="0" w:line="194" w:lineRule="exact"/>
              <w:rPr>
                <w:rFonts w:ascii="Times New Roman" w:cs="Times New Roman" w:eastAsia="Times New Roman" w:hAnsi="Times New Roman"/>
                <w:sz w:val="18"/>
                <w:szCs w:val="18"/>
                <w:color w:val="0000EE"/>
                <w:w w:val="98"/>
              </w:rPr>
            </w:pPr>
            <w:hyperlink r:id="rId526">
              <w:r>
                <w:rPr>
                  <w:rFonts w:ascii="Times New Roman" w:cs="Times New Roman" w:eastAsia="Times New Roman" w:hAnsi="Times New Roman"/>
                  <w:sz w:val="18"/>
                  <w:szCs w:val="18"/>
                  <w:color w:val="0000EE"/>
                  <w:w w:val="98"/>
                </w:rPr>
                <w:t>2019, by and between Omada Health, Inc. and Cigna Health Corporation.</w:t>
              </w:r>
            </w:hyperlink>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right"/>
              <w:ind w:right="131"/>
              <w:spacing w:after="0" w:line="194" w:lineRule="exact"/>
              <w:rPr>
                <w:sz w:val="20"/>
                <w:szCs w:val="20"/>
                <w:color w:val="auto"/>
              </w:rPr>
            </w:pPr>
            <w:r>
              <w:rPr>
                <w:rFonts w:ascii="Times New Roman" w:cs="Times New Roman" w:eastAsia="Times New Roman" w:hAnsi="Times New Roman"/>
                <w:sz w:val="18"/>
                <w:szCs w:val="18"/>
                <w:color w:val="auto"/>
              </w:rPr>
              <w:t>05/09/2025</w:t>
            </w:r>
          </w:p>
        </w:tc>
        <w:tc>
          <w:tcPr>
            <w:tcW w:w="1760" w:type="dxa"/>
            <w:vAlign w:val="bottom"/>
          </w:tcPr>
          <w:p>
            <w:pPr>
              <w:jc w:val="right"/>
              <w:ind w:right="831"/>
              <w:spacing w:after="0" w:line="194" w:lineRule="exact"/>
              <w:rPr>
                <w:sz w:val="20"/>
                <w:szCs w:val="20"/>
                <w:color w:val="auto"/>
              </w:rPr>
            </w:pPr>
            <w:r>
              <w:rPr>
                <w:rFonts w:ascii="Times New Roman" w:cs="Times New Roman" w:eastAsia="Times New Roman" w:hAnsi="Times New Roman"/>
                <w:sz w:val="18"/>
                <w:szCs w:val="18"/>
                <w:color w:val="auto"/>
              </w:rPr>
              <w:t>10.7(c)</w:t>
            </w:r>
          </w:p>
        </w:tc>
      </w:tr>
      <w:tr>
        <w:trPr>
          <w:trHeight w:val="301"/>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10.7(d)†</w:t>
            </w:r>
          </w:p>
        </w:tc>
        <w:tc>
          <w:tcPr>
            <w:tcW w:w="52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527">
              <w:r>
                <w:rPr>
                  <w:rFonts w:ascii="Times New Roman" w:cs="Times New Roman" w:eastAsia="Times New Roman" w:hAnsi="Times New Roman"/>
                  <w:sz w:val="18"/>
                  <w:szCs w:val="18"/>
                  <w:color w:val="0000EE"/>
                </w:rPr>
                <w:t>Amendment No. 3 to Ancillary Services Agreement, dated as of January</w:t>
              </w:r>
            </w:hyperlink>
          </w:p>
        </w:tc>
        <w:tc>
          <w:tcPr>
            <w:tcW w:w="140" w:type="dxa"/>
            <w:vAlign w:val="bottom"/>
            <w:tcBorders>
              <w:bottom w:val="single" w:sz="8" w:color="0000EE"/>
            </w:tcBorders>
            <w:gridSpan w:val="3"/>
          </w:tcPr>
          <w:p>
            <w:pPr>
              <w:jc w:val="right"/>
              <w:spacing w:after="0"/>
              <w:rPr>
                <w:rFonts w:ascii="Times New Roman" w:cs="Times New Roman" w:eastAsia="Times New Roman" w:hAnsi="Times New Roman"/>
                <w:sz w:val="18"/>
                <w:szCs w:val="18"/>
                <w:color w:val="0000EE"/>
                <w:w w:val="88"/>
              </w:rPr>
            </w:pPr>
            <w:hyperlink r:id="rId527">
              <w:r>
                <w:rPr>
                  <w:rFonts w:ascii="Times New Roman" w:cs="Times New Roman" w:eastAsia="Times New Roman" w:hAnsi="Times New Roman"/>
                  <w:sz w:val="18"/>
                  <w:szCs w:val="18"/>
                  <w:color w:val="0000EE"/>
                  <w:w w:val="88"/>
                </w:rPr>
                <w:t>1,</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4"/>
        </w:trPr>
        <w:tc>
          <w:tcPr>
            <w:tcW w:w="1320" w:type="dxa"/>
            <w:vAlign w:val="bottom"/>
          </w:tcPr>
          <w:p>
            <w:pPr>
              <w:spacing w:after="0"/>
              <w:rPr>
                <w:sz w:val="16"/>
                <w:szCs w:val="16"/>
                <w:color w:val="auto"/>
              </w:rPr>
            </w:pPr>
          </w:p>
        </w:tc>
        <w:tc>
          <w:tcPr>
            <w:tcW w:w="5300" w:type="dxa"/>
            <w:vAlign w:val="bottom"/>
            <w:tcBorders>
              <w:bottom w:val="single" w:sz="8" w:color="0000EE"/>
            </w:tcBorders>
            <w:gridSpan w:val="18"/>
          </w:tcPr>
          <w:p>
            <w:pPr>
              <w:spacing w:after="0" w:line="194" w:lineRule="exact"/>
              <w:rPr>
                <w:rFonts w:ascii="Times New Roman" w:cs="Times New Roman" w:eastAsia="Times New Roman" w:hAnsi="Times New Roman"/>
                <w:sz w:val="18"/>
                <w:szCs w:val="18"/>
                <w:color w:val="0000EE"/>
                <w:w w:val="98"/>
              </w:rPr>
            </w:pPr>
            <w:hyperlink r:id="rId527">
              <w:r>
                <w:rPr>
                  <w:rFonts w:ascii="Times New Roman" w:cs="Times New Roman" w:eastAsia="Times New Roman" w:hAnsi="Times New Roman"/>
                  <w:sz w:val="18"/>
                  <w:szCs w:val="18"/>
                  <w:color w:val="0000EE"/>
                  <w:w w:val="98"/>
                </w:rPr>
                <w:t>2020, by and between Omada Health, Inc., and Cigna Health Corporation.</w:t>
              </w:r>
            </w:hyperlink>
          </w:p>
        </w:tc>
        <w:tc>
          <w:tcPr>
            <w:tcW w:w="500" w:type="dxa"/>
            <w:vAlign w:val="bottom"/>
            <w:gridSpan w:val="6"/>
          </w:tcPr>
          <w:p>
            <w:pPr>
              <w:spacing w:after="0"/>
              <w:rPr>
                <w:sz w:val="16"/>
                <w:szCs w:val="16"/>
                <w:color w:val="auto"/>
              </w:rPr>
            </w:pPr>
          </w:p>
        </w:tc>
        <w:tc>
          <w:tcPr>
            <w:tcW w:w="72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right"/>
              <w:ind w:right="131"/>
              <w:spacing w:after="0" w:line="194" w:lineRule="exact"/>
              <w:rPr>
                <w:sz w:val="20"/>
                <w:szCs w:val="20"/>
                <w:color w:val="auto"/>
              </w:rPr>
            </w:pPr>
            <w:r>
              <w:rPr>
                <w:rFonts w:ascii="Times New Roman" w:cs="Times New Roman" w:eastAsia="Times New Roman" w:hAnsi="Times New Roman"/>
                <w:sz w:val="18"/>
                <w:szCs w:val="18"/>
                <w:color w:val="auto"/>
              </w:rPr>
              <w:t>05/09/2025</w:t>
            </w:r>
          </w:p>
        </w:tc>
        <w:tc>
          <w:tcPr>
            <w:tcW w:w="1760" w:type="dxa"/>
            <w:vAlign w:val="bottom"/>
          </w:tcPr>
          <w:p>
            <w:pPr>
              <w:jc w:val="right"/>
              <w:ind w:right="831"/>
              <w:spacing w:after="0" w:line="194" w:lineRule="exact"/>
              <w:rPr>
                <w:sz w:val="20"/>
                <w:szCs w:val="20"/>
                <w:color w:val="auto"/>
              </w:rPr>
            </w:pPr>
            <w:r>
              <w:rPr>
                <w:rFonts w:ascii="Times New Roman" w:cs="Times New Roman" w:eastAsia="Times New Roman" w:hAnsi="Times New Roman"/>
                <w:sz w:val="18"/>
                <w:szCs w:val="18"/>
                <w:color w:val="auto"/>
              </w:rPr>
              <w:t>10.7(d)</w:t>
            </w:r>
          </w:p>
        </w:tc>
      </w:tr>
      <w:tr>
        <w:trPr>
          <w:trHeight w:val="301"/>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10.7(e)</w:t>
            </w:r>
          </w:p>
        </w:tc>
        <w:tc>
          <w:tcPr>
            <w:tcW w:w="58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Amendment No. 4 to Ancillary Services Agreement, effective as of June 1,</w:t>
            </w: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4"/>
        </w:trPr>
        <w:tc>
          <w:tcPr>
            <w:tcW w:w="1320" w:type="dxa"/>
            <w:vAlign w:val="bottom"/>
          </w:tcPr>
          <w:p>
            <w:pPr>
              <w:spacing w:after="0"/>
              <w:rPr>
                <w:sz w:val="16"/>
                <w:szCs w:val="16"/>
                <w:color w:val="auto"/>
              </w:rPr>
            </w:pPr>
          </w:p>
        </w:tc>
        <w:tc>
          <w:tcPr>
            <w:tcW w:w="5260" w:type="dxa"/>
            <w:vAlign w:val="bottom"/>
            <w:tcBorders>
              <w:top w:val="single" w:sz="8" w:color="0000EE"/>
              <w:bottom w:val="single" w:sz="8" w:color="0000EE"/>
            </w:tcBorders>
            <w:gridSpan w:val="17"/>
          </w:tcPr>
          <w:p>
            <w:pPr>
              <w:spacing w:after="0" w:line="194" w:lineRule="exact"/>
              <w:rPr>
                <w:sz w:val="20"/>
                <w:szCs w:val="20"/>
                <w:color w:val="auto"/>
              </w:rPr>
            </w:pPr>
            <w:r>
              <w:rPr>
                <w:rFonts w:ascii="Times New Roman" w:cs="Times New Roman" w:eastAsia="Times New Roman" w:hAnsi="Times New Roman"/>
                <w:sz w:val="18"/>
                <w:szCs w:val="18"/>
                <w:color w:val="0000EE"/>
                <w:w w:val="98"/>
              </w:rPr>
              <w:t>2025, by and between Omada Health, Inc. and Cigna Health Corporation.</w:t>
            </w: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7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X</w:t>
            </w:r>
          </w:p>
        </w:tc>
      </w:tr>
      <w:tr>
        <w:trPr>
          <w:trHeight w:val="301"/>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10.8(a)#</w:t>
            </w:r>
          </w:p>
        </w:tc>
        <w:tc>
          <w:tcPr>
            <w:tcW w:w="12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r:id="rId528">
              <w:r>
                <w:rPr>
                  <w:rFonts w:ascii="Times New Roman" w:cs="Times New Roman" w:eastAsia="Times New Roman" w:hAnsi="Times New Roman"/>
                  <w:sz w:val="18"/>
                  <w:szCs w:val="18"/>
                  <w:color w:val="0000EE"/>
                  <w:w w:val="97"/>
                </w:rPr>
                <w:t>2011 Stock Plan.</w:t>
              </w:r>
            </w:hyperlink>
          </w:p>
        </w:tc>
        <w:tc>
          <w:tcPr>
            <w:tcW w:w="4040" w:type="dxa"/>
            <w:vAlign w:val="bottom"/>
            <w:gridSpan w:val="14"/>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05/09/2025</w:t>
            </w:r>
          </w:p>
        </w:tc>
        <w:tc>
          <w:tcPr>
            <w:tcW w:w="1760" w:type="dxa"/>
            <w:vAlign w:val="bottom"/>
          </w:tcPr>
          <w:p>
            <w:pPr>
              <w:jc w:val="right"/>
              <w:ind w:right="831"/>
              <w:spacing w:after="0"/>
              <w:rPr>
                <w:sz w:val="20"/>
                <w:szCs w:val="20"/>
                <w:color w:val="auto"/>
              </w:rPr>
            </w:pPr>
            <w:r>
              <w:rPr>
                <w:rFonts w:ascii="Times New Roman" w:cs="Times New Roman" w:eastAsia="Times New Roman" w:hAnsi="Times New Roman"/>
                <w:sz w:val="18"/>
                <w:szCs w:val="18"/>
                <w:color w:val="auto"/>
              </w:rPr>
              <w:t>10.8(a)</w:t>
            </w:r>
          </w:p>
        </w:tc>
      </w:tr>
      <w:tr>
        <w:trPr>
          <w:trHeight w:val="301"/>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10.8(b)#</w:t>
            </w:r>
          </w:p>
        </w:tc>
        <w:tc>
          <w:tcPr>
            <w:tcW w:w="30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Form Agreements under 2011 Stock Plan.</w:t>
            </w:r>
          </w:p>
        </w:tc>
        <w:tc>
          <w:tcPr>
            <w:tcW w:w="2260" w:type="dxa"/>
            <w:vAlign w:val="bottom"/>
            <w:gridSpan w:val="9"/>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r>
      <w:tr>
        <w:trPr>
          <w:trHeight w:val="301"/>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10.9(a)#</w:t>
            </w:r>
          </w:p>
        </w:tc>
        <w:tc>
          <w:tcPr>
            <w:tcW w:w="20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2025 Incentive Award Plan.</w:t>
            </w:r>
          </w:p>
        </w:tc>
        <w:tc>
          <w:tcPr>
            <w:tcW w:w="3260" w:type="dxa"/>
            <w:vAlign w:val="bottom"/>
            <w:gridSpan w:val="12"/>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r>
      <w:tr>
        <w:trPr>
          <w:trHeight w:val="301"/>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10.9(b)#</w:t>
            </w:r>
          </w:p>
        </w:tc>
        <w:tc>
          <w:tcPr>
            <w:tcW w:w="37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529">
              <w:r>
                <w:rPr>
                  <w:rFonts w:ascii="Times New Roman" w:cs="Times New Roman" w:eastAsia="Times New Roman" w:hAnsi="Times New Roman"/>
                  <w:sz w:val="18"/>
                  <w:szCs w:val="18"/>
                  <w:color w:val="0000EE"/>
                  <w:w w:val="98"/>
                </w:rPr>
                <w:t>Form Agreements under 2025 Incentive Award Plan.</w:t>
              </w:r>
            </w:hyperlink>
          </w:p>
        </w:tc>
        <w:tc>
          <w:tcPr>
            <w:tcW w:w="1480" w:type="dxa"/>
            <w:vAlign w:val="bottom"/>
            <w:gridSpan w:val="6"/>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05/09/2025</w:t>
            </w:r>
          </w:p>
        </w:tc>
        <w:tc>
          <w:tcPr>
            <w:tcW w:w="1760" w:type="dxa"/>
            <w:vAlign w:val="bottom"/>
          </w:tcPr>
          <w:p>
            <w:pPr>
              <w:jc w:val="right"/>
              <w:ind w:right="831"/>
              <w:spacing w:after="0"/>
              <w:rPr>
                <w:sz w:val="20"/>
                <w:szCs w:val="20"/>
                <w:color w:val="auto"/>
              </w:rPr>
            </w:pPr>
            <w:r>
              <w:rPr>
                <w:rFonts w:ascii="Times New Roman" w:cs="Times New Roman" w:eastAsia="Times New Roman" w:hAnsi="Times New Roman"/>
                <w:sz w:val="18"/>
                <w:szCs w:val="18"/>
                <w:color w:val="auto"/>
              </w:rPr>
              <w:t>10.9(b)</w:t>
            </w:r>
          </w:p>
        </w:tc>
      </w:tr>
      <w:tr>
        <w:trPr>
          <w:trHeight w:val="301"/>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10.10#</w:t>
            </w:r>
          </w:p>
        </w:tc>
        <w:tc>
          <w:tcPr>
            <w:tcW w:w="26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2025 Employee Stock Purchase Plan.</w:t>
            </w:r>
          </w:p>
        </w:tc>
        <w:tc>
          <w:tcPr>
            <w:tcW w:w="2580" w:type="dxa"/>
            <w:vAlign w:val="bottom"/>
            <w:gridSpan w:val="10"/>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r>
      <w:tr>
        <w:trPr>
          <w:trHeight w:val="301"/>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10.11#</w:t>
            </w:r>
          </w:p>
        </w:tc>
        <w:tc>
          <w:tcPr>
            <w:tcW w:w="35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r:id="rId530">
              <w:r>
                <w:rPr>
                  <w:rFonts w:ascii="Times New Roman" w:cs="Times New Roman" w:eastAsia="Times New Roman" w:hAnsi="Times New Roman"/>
                  <w:sz w:val="18"/>
                  <w:szCs w:val="18"/>
                  <w:color w:val="0000EE"/>
                  <w:w w:val="98"/>
                </w:rPr>
                <w:t>Non-Employee Director Compensation Program.</w:t>
              </w:r>
            </w:hyperlink>
          </w:p>
        </w:tc>
        <w:tc>
          <w:tcPr>
            <w:tcW w:w="1740" w:type="dxa"/>
            <w:vAlign w:val="bottom"/>
            <w:gridSpan w:val="8"/>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05/09/2025</w:t>
            </w:r>
          </w:p>
        </w:tc>
        <w:tc>
          <w:tcPr>
            <w:tcW w:w="176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rPr>
              <w:t>10.11</w:t>
            </w:r>
          </w:p>
        </w:tc>
      </w:tr>
      <w:tr>
        <w:trPr>
          <w:trHeight w:val="301"/>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10.12#</w:t>
            </w:r>
          </w:p>
        </w:tc>
        <w:tc>
          <w:tcPr>
            <w:tcW w:w="45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531">
              <w:r>
                <w:rPr>
                  <w:rFonts w:ascii="Times New Roman" w:cs="Times New Roman" w:eastAsia="Times New Roman" w:hAnsi="Times New Roman"/>
                  <w:sz w:val="18"/>
                  <w:szCs w:val="18"/>
                  <w:color w:val="0000EE"/>
                  <w:w w:val="98"/>
                </w:rPr>
                <w:t>Form of Indemnification Agreement for Directors and Officers.</w:t>
              </w:r>
            </w:hyperlink>
          </w:p>
        </w:tc>
        <w:tc>
          <w:tcPr>
            <w:tcW w:w="72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05/09/2025</w:t>
            </w:r>
          </w:p>
        </w:tc>
        <w:tc>
          <w:tcPr>
            <w:tcW w:w="176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rPr>
              <w:t>10.12</w:t>
            </w:r>
          </w:p>
        </w:tc>
      </w:tr>
      <w:tr>
        <w:trPr>
          <w:trHeight w:val="301"/>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10.13#</w:t>
            </w:r>
          </w:p>
        </w:tc>
        <w:tc>
          <w:tcPr>
            <w:tcW w:w="47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8"/>
              </w:rPr>
            </w:pPr>
            <w:hyperlink r:id="rId532">
              <w:r>
                <w:rPr>
                  <w:rFonts w:ascii="Times New Roman" w:cs="Times New Roman" w:eastAsia="Times New Roman" w:hAnsi="Times New Roman"/>
                  <w:sz w:val="18"/>
                  <w:szCs w:val="18"/>
                  <w:color w:val="0000EE"/>
                  <w:w w:val="98"/>
                </w:rPr>
                <w:t>Offer Letter, by and between Omada Health, Inc. and Steve Cook.</w:t>
              </w:r>
            </w:hyperlink>
          </w:p>
        </w:tc>
        <w:tc>
          <w:tcPr>
            <w:tcW w:w="54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05/09/2025</w:t>
            </w:r>
          </w:p>
        </w:tc>
        <w:tc>
          <w:tcPr>
            <w:tcW w:w="176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rPr>
              <w:t>10.13</w:t>
            </w:r>
          </w:p>
        </w:tc>
      </w:tr>
      <w:tr>
        <w:trPr>
          <w:trHeight w:val="301"/>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10.14#</w:t>
            </w:r>
          </w:p>
        </w:tc>
        <w:tc>
          <w:tcPr>
            <w:tcW w:w="48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8"/>
              </w:rPr>
            </w:pPr>
            <w:hyperlink r:id="rId533">
              <w:r>
                <w:rPr>
                  <w:rFonts w:ascii="Times New Roman" w:cs="Times New Roman" w:eastAsia="Times New Roman" w:hAnsi="Times New Roman"/>
                  <w:sz w:val="18"/>
                  <w:szCs w:val="18"/>
                  <w:color w:val="0000EE"/>
                  <w:w w:val="98"/>
                </w:rPr>
                <w:t>Offer Letter, by and between Omada Health, Inc. and Wei-Li Shao.</w:t>
              </w:r>
            </w:hyperlink>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05/09/2025</w:t>
            </w:r>
          </w:p>
        </w:tc>
        <w:tc>
          <w:tcPr>
            <w:tcW w:w="176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rPr>
              <w:t>10.14</w:t>
            </w:r>
          </w:p>
        </w:tc>
      </w:tr>
      <w:tr>
        <w:trPr>
          <w:trHeight w:val="301"/>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10.15#</w:t>
            </w:r>
          </w:p>
        </w:tc>
        <w:tc>
          <w:tcPr>
            <w:tcW w:w="5260" w:type="dxa"/>
            <w:vAlign w:val="bottom"/>
            <w:gridSpan w:val="17"/>
          </w:tcPr>
          <w:p>
            <w:pPr>
              <w:spacing w:after="0"/>
              <w:rPr>
                <w:rFonts w:ascii="Times New Roman" w:cs="Times New Roman" w:eastAsia="Times New Roman" w:hAnsi="Times New Roman"/>
                <w:sz w:val="18"/>
                <w:szCs w:val="18"/>
                <w:color w:val="0000EE"/>
              </w:rPr>
            </w:pPr>
            <w:hyperlink r:id="rId534">
              <w:r>
                <w:rPr>
                  <w:rFonts w:ascii="Times New Roman" w:cs="Times New Roman" w:eastAsia="Times New Roman" w:hAnsi="Times New Roman"/>
                  <w:sz w:val="18"/>
                  <w:szCs w:val="18"/>
                  <w:color w:val="0000EE"/>
                </w:rPr>
                <w:t>Form of Change in Control and Severance Agreement for Officers.</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05/09/2025</w:t>
            </w:r>
          </w:p>
        </w:tc>
        <w:tc>
          <w:tcPr>
            <w:tcW w:w="176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rPr>
              <w:t>10.15</w:t>
            </w:r>
          </w:p>
        </w:tc>
      </w:tr>
      <w:tr>
        <w:trPr>
          <w:trHeight w:val="20"/>
        </w:trPr>
        <w:tc>
          <w:tcPr>
            <w:tcW w:w="1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1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16.1</w:t>
            </w:r>
          </w:p>
        </w:tc>
        <w:tc>
          <w:tcPr>
            <w:tcW w:w="58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Letter of PricewaterhouseCoopers LLP to the U.S. Securities and Exchange</w:t>
            </w: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4"/>
        </w:trPr>
        <w:tc>
          <w:tcPr>
            <w:tcW w:w="1320" w:type="dxa"/>
            <w:vAlign w:val="bottom"/>
          </w:tcPr>
          <w:p>
            <w:pPr>
              <w:spacing w:after="0"/>
              <w:rPr>
                <w:sz w:val="16"/>
                <w:szCs w:val="16"/>
                <w:color w:val="auto"/>
              </w:rPr>
            </w:pPr>
          </w:p>
        </w:tc>
        <w:tc>
          <w:tcPr>
            <w:tcW w:w="960" w:type="dxa"/>
            <w:vAlign w:val="bottom"/>
            <w:tcBorders>
              <w:top w:val="single" w:sz="8" w:color="0000EE"/>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8"/>
              </w:rPr>
              <w:t>Commission.</w:t>
            </w:r>
          </w:p>
        </w:tc>
        <w:tc>
          <w:tcPr>
            <w:tcW w:w="4300" w:type="dxa"/>
            <w:vAlign w:val="bottom"/>
            <w:tcBorders>
              <w:top w:val="single" w:sz="8" w:color="0000EE"/>
            </w:tcBorders>
            <w:gridSpan w:val="15"/>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7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X</w:t>
            </w:r>
          </w:p>
        </w:tc>
      </w:tr>
      <w:tr>
        <w:trPr>
          <w:trHeight w:val="301"/>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21.1</w:t>
            </w:r>
          </w:p>
        </w:tc>
        <w:tc>
          <w:tcPr>
            <w:tcW w:w="5260" w:type="dxa"/>
            <w:vAlign w:val="bottom"/>
            <w:gridSpan w:val="17"/>
          </w:tcPr>
          <w:p>
            <w:pPr>
              <w:spacing w:after="0"/>
              <w:rPr>
                <w:rFonts w:ascii="Times New Roman" w:cs="Times New Roman" w:eastAsia="Times New Roman" w:hAnsi="Times New Roman"/>
                <w:sz w:val="18"/>
                <w:szCs w:val="18"/>
                <w:color w:val="0000EE"/>
              </w:rPr>
            </w:pPr>
            <w:hyperlink r:id="rId535">
              <w:r>
                <w:rPr>
                  <w:rFonts w:ascii="Times New Roman" w:cs="Times New Roman" w:eastAsia="Times New Roman" w:hAnsi="Times New Roman"/>
                  <w:sz w:val="18"/>
                  <w:szCs w:val="18"/>
                  <w:color w:val="0000EE"/>
                </w:rPr>
                <w:t>List of subsidiaries.</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05/09/2025</w:t>
            </w:r>
          </w:p>
        </w:tc>
        <w:tc>
          <w:tcPr>
            <w:tcW w:w="176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rPr>
              <w:t>21.1</w:t>
            </w:r>
          </w:p>
        </w:tc>
      </w:tr>
      <w:tr>
        <w:trPr>
          <w:trHeight w:val="20"/>
        </w:trPr>
        <w:tc>
          <w:tcPr>
            <w:tcW w:w="1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114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01"/>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23.1</w:t>
            </w:r>
          </w:p>
        </w:tc>
        <w:tc>
          <w:tcPr>
            <w:tcW w:w="58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Consent of Deloitte &amp; Touche LLP, independent registered public accounting</w:t>
            </w: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4"/>
        </w:trPr>
        <w:tc>
          <w:tcPr>
            <w:tcW w:w="1320" w:type="dxa"/>
            <w:vAlign w:val="bottom"/>
          </w:tcPr>
          <w:p>
            <w:pPr>
              <w:spacing w:after="0"/>
              <w:rPr>
                <w:sz w:val="16"/>
                <w:szCs w:val="16"/>
                <w:color w:val="auto"/>
              </w:rPr>
            </w:pPr>
          </w:p>
        </w:tc>
        <w:tc>
          <w:tcPr>
            <w:tcW w:w="5260" w:type="dxa"/>
            <w:vAlign w:val="bottom"/>
            <w:tcBorders>
              <w:top w:val="single" w:sz="8" w:color="0000EE"/>
            </w:tcBorders>
            <w:gridSpan w:val="17"/>
          </w:tcPr>
          <w:p>
            <w:pPr>
              <w:spacing w:after="0" w:line="194" w:lineRule="exact"/>
              <w:rPr>
                <w:sz w:val="20"/>
                <w:szCs w:val="20"/>
                <w:color w:val="auto"/>
              </w:rPr>
            </w:pPr>
            <w:r>
              <w:rPr>
                <w:rFonts w:ascii="Times New Roman" w:cs="Times New Roman" w:eastAsia="Times New Roman" w:hAnsi="Times New Roman"/>
                <w:sz w:val="18"/>
                <w:szCs w:val="18"/>
                <w:color w:val="0000EE"/>
              </w:rPr>
              <w:t>firm.</w:t>
            </w: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7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1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01"/>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23.2</w:t>
            </w:r>
          </w:p>
        </w:tc>
        <w:tc>
          <w:tcPr>
            <w:tcW w:w="52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Consent of Latham &amp; Watkins LLP (included in Exhibit 5.1).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132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1180" w:type="dxa"/>
            <w:vAlign w:val="bottom"/>
            <w:gridSpan w:val="1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01"/>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24.1</w:t>
            </w:r>
          </w:p>
        </w:tc>
        <w:tc>
          <w:tcPr>
            <w:tcW w:w="5800" w:type="dxa"/>
            <w:vAlign w:val="bottom"/>
            <w:gridSpan w:val="24"/>
          </w:tcPr>
          <w:p>
            <w:pPr>
              <w:spacing w:after="0"/>
              <w:rPr>
                <w:rFonts w:ascii="Times New Roman" w:cs="Times New Roman" w:eastAsia="Times New Roman" w:hAnsi="Times New Roman"/>
                <w:sz w:val="18"/>
                <w:szCs w:val="18"/>
                <w:color w:val="0000EE"/>
              </w:rPr>
            </w:pPr>
            <w:hyperlink r:id="rId536">
              <w:r>
                <w:rPr>
                  <w:rFonts w:ascii="Times New Roman" w:cs="Times New Roman" w:eastAsia="Times New Roman" w:hAnsi="Times New Roman"/>
                  <w:sz w:val="18"/>
                  <w:szCs w:val="18"/>
                  <w:color w:val="0000EE"/>
                </w:rPr>
                <w:t>Power of Attorney (reference is made to the signature page of the initial filing</w:t>
              </w:r>
            </w:hyperlink>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4"/>
        </w:trPr>
        <w:tc>
          <w:tcPr>
            <w:tcW w:w="1320" w:type="dxa"/>
            <w:vAlign w:val="bottom"/>
          </w:tcPr>
          <w:p>
            <w:pPr>
              <w:spacing w:after="0"/>
              <w:rPr>
                <w:sz w:val="16"/>
                <w:szCs w:val="16"/>
                <w:color w:val="auto"/>
              </w:rPr>
            </w:pPr>
          </w:p>
        </w:tc>
        <w:tc>
          <w:tcPr>
            <w:tcW w:w="2240" w:type="dxa"/>
            <w:vAlign w:val="bottom"/>
            <w:tcBorders>
              <w:top w:val="single" w:sz="8" w:color="0000EE"/>
              <w:bottom w:val="single" w:sz="8" w:color="0000EE"/>
            </w:tcBorders>
            <w:gridSpan w:val="6"/>
          </w:tcPr>
          <w:p>
            <w:pPr>
              <w:spacing w:after="0" w:line="194" w:lineRule="exact"/>
              <w:rPr>
                <w:rFonts w:ascii="Times New Roman" w:cs="Times New Roman" w:eastAsia="Times New Roman" w:hAnsi="Times New Roman"/>
                <w:sz w:val="18"/>
                <w:szCs w:val="18"/>
                <w:color w:val="0000EE"/>
                <w:w w:val="98"/>
              </w:rPr>
            </w:pPr>
            <w:hyperlink r:id="rId536">
              <w:r>
                <w:rPr>
                  <w:rFonts w:ascii="Times New Roman" w:cs="Times New Roman" w:eastAsia="Times New Roman" w:hAnsi="Times New Roman"/>
                  <w:sz w:val="18"/>
                  <w:szCs w:val="18"/>
                  <w:color w:val="0000EE"/>
                  <w:w w:val="98"/>
                </w:rPr>
                <w:t>of this Registration Statement).</w:t>
              </w:r>
            </w:hyperlink>
          </w:p>
        </w:tc>
        <w:tc>
          <w:tcPr>
            <w:tcW w:w="3020" w:type="dxa"/>
            <w:vAlign w:val="bottom"/>
            <w:tcBorders>
              <w:top w:val="single" w:sz="8" w:color="0000EE"/>
            </w:tcBorders>
            <w:gridSpan w:val="11"/>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right"/>
              <w:ind w:right="131"/>
              <w:spacing w:after="0" w:line="194" w:lineRule="exact"/>
              <w:rPr>
                <w:sz w:val="20"/>
                <w:szCs w:val="20"/>
                <w:color w:val="auto"/>
              </w:rPr>
            </w:pPr>
            <w:r>
              <w:rPr>
                <w:rFonts w:ascii="Times New Roman" w:cs="Times New Roman" w:eastAsia="Times New Roman" w:hAnsi="Times New Roman"/>
                <w:sz w:val="18"/>
                <w:szCs w:val="18"/>
                <w:color w:val="auto"/>
              </w:rPr>
              <w:t>05/09/2025</w:t>
            </w:r>
          </w:p>
        </w:tc>
        <w:tc>
          <w:tcPr>
            <w:tcW w:w="1760" w:type="dxa"/>
            <w:vAlign w:val="bottom"/>
          </w:tcPr>
          <w:p>
            <w:pPr>
              <w:jc w:val="right"/>
              <w:ind w:right="1031"/>
              <w:spacing w:after="0" w:line="194" w:lineRule="exact"/>
              <w:rPr>
                <w:sz w:val="20"/>
                <w:szCs w:val="20"/>
                <w:color w:val="auto"/>
              </w:rPr>
            </w:pPr>
            <w:r>
              <w:rPr>
                <w:rFonts w:ascii="Times New Roman" w:cs="Times New Roman" w:eastAsia="Times New Roman" w:hAnsi="Times New Roman"/>
                <w:sz w:val="18"/>
                <w:szCs w:val="18"/>
                <w:color w:val="auto"/>
              </w:rPr>
              <w:t>24.1</w:t>
            </w:r>
          </w:p>
        </w:tc>
      </w:tr>
      <w:tr>
        <w:trPr>
          <w:trHeight w:val="301"/>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107.1</w:t>
            </w:r>
          </w:p>
        </w:tc>
        <w:tc>
          <w:tcPr>
            <w:tcW w:w="12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4040" w:type="dxa"/>
            <w:vAlign w:val="bottom"/>
            <w:gridSpan w:val="14"/>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101600</wp:posOffset>
            </wp:positionV>
            <wp:extent cx="75501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7">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75" w:lineRule="exact"/>
        <w:rPr>
          <w:sz w:val="20"/>
          <w:szCs w:val="20"/>
          <w:color w:val="auto"/>
        </w:rPr>
      </w:pPr>
    </w:p>
    <w:p>
      <w:pPr>
        <w:ind w:left="600" w:hanging="426"/>
        <w:spacing w:after="0"/>
        <w:tabs>
          <w:tab w:leader="none" w:pos="6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6" w:lineRule="exact"/>
        <w:rPr>
          <w:sz w:val="20"/>
          <w:szCs w:val="20"/>
          <w:color w:val="auto"/>
        </w:rPr>
      </w:pPr>
    </w:p>
    <w:p>
      <w:pPr>
        <w:ind w:left="600" w:hanging="426"/>
        <w:spacing w:after="0" w:line="247" w:lineRule="auto"/>
        <w:tabs>
          <w:tab w:leader="none" w:pos="6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exhibit, marked by brackets, have been omitted in accordance with Item 601(b)(10) of Regulation S-K because the omitted information (i) is not material and (ii) is the type of information that Omada Health, Inc. treats as private or confidential.</w:t>
      </w:r>
    </w:p>
    <w:p>
      <w:pPr>
        <w:spacing w:after="0" w:line="1" w:lineRule="exact"/>
        <w:rPr>
          <w:sz w:val="20"/>
          <w:szCs w:val="20"/>
          <w:color w:val="auto"/>
        </w:rPr>
      </w:pPr>
    </w:p>
    <w:p>
      <w:pPr>
        <w:ind w:left="600" w:hanging="426"/>
        <w:spacing w:after="0" w:line="255" w:lineRule="auto"/>
        <w:tabs>
          <w:tab w:leader="none" w:pos="6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in accordance with Item 601(a)(5) of Regulation S-K. Omada Health, Inc. undertakes to furnish a copy of all omitted schedules and exhibits to the SEC upon its request.</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060"/>
          </w:cols>
          <w:pgMar w:left="320" w:top="451" w:right="51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left="180" w:right="20" w:firstLine="436"/>
        <w:spacing w:after="0" w:line="308"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has duly caused this Registration Statement on Form S-1 to be signed on its behalf by the undersigned, thereunto duly authorized, in the City of San Francisco, State of California, on the 29th day of May, 2025.</w:t>
      </w:r>
    </w:p>
    <w:p>
      <w:pPr>
        <w:spacing w:after="0" w:line="162"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224"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By: /s/ Sean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15875</wp:posOffset>
            </wp:positionV>
            <wp:extent cx="25704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9">
                      <a:extLst>
                        <a:ext uri="{28A0092B-C50C-407E-A947-70E740481C1C}"/>
                      </a:extLst>
                    </a:blip>
                    <a:srcRect/>
                    <a:stretch>
                      <a:fillRect/>
                    </a:stretch>
                  </pic:blipFill>
                  <pic:spPr bwMode="auto">
                    <a:xfrm>
                      <a:off x="0" y="0"/>
                      <a:ext cx="2570480" cy="8255"/>
                    </a:xfrm>
                    <a:prstGeom prst="rect">
                      <a:avLst/>
                    </a:prstGeom>
                    <a:noFill/>
                  </pic:spPr>
                </pic:pic>
              </a:graphicData>
            </a:graphic>
          </wp:anchor>
        </w:drawing>
      </w:r>
    </w:p>
    <w:p>
      <w:pPr>
        <w:spacing w:after="0" w:line="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Sean Duffy</w:t>
      </w:r>
    </w:p>
    <w:p>
      <w:pPr>
        <w:spacing w:after="0" w:line="20"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2"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S-1 has been signed by the following persons in the capacities and on the dates indicated.</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85"/>
        </w:trPr>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07"/>
        </w:trPr>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Sean Duffy</w:t>
            </w:r>
          </w:p>
        </w:tc>
        <w:tc>
          <w:tcPr>
            <w:tcW w:w="120" w:type="dxa"/>
            <w:vAlign w:val="bottom"/>
          </w:tcPr>
          <w:p>
            <w:pPr>
              <w:spacing w:after="0"/>
              <w:rPr>
                <w:sz w:val="24"/>
                <w:szCs w:val="24"/>
                <w:color w:val="auto"/>
              </w:rPr>
            </w:pPr>
          </w:p>
        </w:tc>
        <w:tc>
          <w:tcPr>
            <w:tcW w:w="4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Chief Executive Officer and 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29, 2025</w:t>
            </w:r>
          </w:p>
        </w:tc>
      </w:tr>
      <w:tr>
        <w:trPr>
          <w:trHeight w:val="226"/>
        </w:trPr>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Sean Duffy</w:t>
            </w:r>
          </w:p>
        </w:tc>
        <w:tc>
          <w:tcPr>
            <w:tcW w:w="120" w:type="dxa"/>
            <w:vAlign w:val="bottom"/>
          </w:tcPr>
          <w:p>
            <w:pPr>
              <w:spacing w:after="0"/>
              <w:rPr>
                <w:sz w:val="19"/>
                <w:szCs w:val="19"/>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980" w:type="dxa"/>
            <w:vAlign w:val="bottom"/>
          </w:tcPr>
          <w:p>
            <w:pPr>
              <w:spacing w:after="0"/>
              <w:rPr>
                <w:sz w:val="19"/>
                <w:szCs w:val="19"/>
                <w:color w:val="auto"/>
              </w:rPr>
            </w:pPr>
          </w:p>
        </w:tc>
      </w:tr>
      <w:tr>
        <w:trPr>
          <w:trHeight w:val="422"/>
        </w:trPr>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Steve Cook</w:t>
            </w:r>
          </w:p>
        </w:tc>
        <w:tc>
          <w:tcPr>
            <w:tcW w:w="120" w:type="dxa"/>
            <w:vAlign w:val="bottom"/>
          </w:tcPr>
          <w:p>
            <w:pPr>
              <w:spacing w:after="0"/>
              <w:rPr>
                <w:sz w:val="24"/>
                <w:szCs w:val="24"/>
                <w:color w:val="auto"/>
              </w:rPr>
            </w:pPr>
          </w:p>
        </w:tc>
        <w:tc>
          <w:tcPr>
            <w:tcW w:w="4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Chief Financial Officer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29, 2025</w:t>
            </w:r>
          </w:p>
        </w:tc>
      </w:tr>
      <w:tr>
        <w:trPr>
          <w:trHeight w:val="226"/>
        </w:trPr>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Steve Cook</w:t>
            </w:r>
          </w:p>
        </w:tc>
        <w:tc>
          <w:tcPr>
            <w:tcW w:w="120" w:type="dxa"/>
            <w:vAlign w:val="bottom"/>
          </w:tcPr>
          <w:p>
            <w:pPr>
              <w:spacing w:after="0"/>
              <w:rPr>
                <w:sz w:val="19"/>
                <w:szCs w:val="19"/>
                <w:color w:val="auto"/>
              </w:rPr>
            </w:pPr>
          </w:p>
        </w:tc>
        <w:tc>
          <w:tcPr>
            <w:tcW w:w="4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c>
          <w:tcPr>
            <w:tcW w:w="1980" w:type="dxa"/>
            <w:vAlign w:val="bottom"/>
          </w:tcPr>
          <w:p>
            <w:pPr>
              <w:spacing w:after="0"/>
              <w:rPr>
                <w:sz w:val="19"/>
                <w:szCs w:val="19"/>
                <w:color w:val="auto"/>
              </w:rPr>
            </w:pPr>
          </w:p>
        </w:tc>
      </w:tr>
      <w:tr>
        <w:trPr>
          <w:trHeight w:val="422"/>
        </w:trPr>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Craig Gracey</w:t>
            </w:r>
          </w:p>
        </w:tc>
        <w:tc>
          <w:tcPr>
            <w:tcW w:w="120" w:type="dxa"/>
            <w:vAlign w:val="bottom"/>
          </w:tcPr>
          <w:p>
            <w:pPr>
              <w:spacing w:after="0"/>
              <w:rPr>
                <w:sz w:val="24"/>
                <w:szCs w:val="24"/>
                <w:color w:val="auto"/>
              </w:rPr>
            </w:pPr>
          </w:p>
        </w:tc>
        <w:tc>
          <w:tcPr>
            <w:tcW w:w="4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29, 2025</w:t>
            </w:r>
          </w:p>
        </w:tc>
      </w:tr>
      <w:tr>
        <w:trPr>
          <w:trHeight w:val="226"/>
        </w:trPr>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Craig Gracey</w:t>
            </w:r>
          </w:p>
        </w:tc>
        <w:tc>
          <w:tcPr>
            <w:tcW w:w="120" w:type="dxa"/>
            <w:vAlign w:val="bottom"/>
          </w:tcPr>
          <w:p>
            <w:pPr>
              <w:spacing w:after="0"/>
              <w:rPr>
                <w:sz w:val="19"/>
                <w:szCs w:val="19"/>
                <w:color w:val="auto"/>
              </w:rPr>
            </w:pPr>
          </w:p>
        </w:tc>
        <w:tc>
          <w:tcPr>
            <w:tcW w:w="4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c>
          <w:tcPr>
            <w:tcW w:w="1980" w:type="dxa"/>
            <w:vAlign w:val="bottom"/>
          </w:tcPr>
          <w:p>
            <w:pPr>
              <w:spacing w:after="0"/>
              <w:rPr>
                <w:sz w:val="19"/>
                <w:szCs w:val="19"/>
                <w:color w:val="auto"/>
              </w:rPr>
            </w:pPr>
          </w:p>
        </w:tc>
      </w:tr>
      <w:tr>
        <w:trPr>
          <w:trHeight w:val="422"/>
        </w:trPr>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4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Chairperson of the Board of Directors</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29, 2025</w:t>
            </w:r>
          </w:p>
        </w:tc>
      </w:tr>
      <w:tr>
        <w:trPr>
          <w:trHeight w:val="226"/>
        </w:trPr>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Jeryl Hilleman</w:t>
            </w:r>
          </w:p>
        </w:tc>
        <w:tc>
          <w:tcPr>
            <w:tcW w:w="1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22"/>
        </w:trPr>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4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29, 2025</w:t>
            </w:r>
          </w:p>
        </w:tc>
      </w:tr>
      <w:tr>
        <w:trPr>
          <w:trHeight w:val="226"/>
        </w:trPr>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Anne Beal, M.D., M.P.H.</w:t>
            </w:r>
          </w:p>
        </w:tc>
        <w:tc>
          <w:tcPr>
            <w:tcW w:w="1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22"/>
        </w:trPr>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4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29, 2025</w:t>
            </w:r>
          </w:p>
        </w:tc>
      </w:tr>
      <w:tr>
        <w:trPr>
          <w:trHeight w:val="226"/>
        </w:trPr>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Trevor Fetter</w:t>
            </w:r>
          </w:p>
        </w:tc>
        <w:tc>
          <w:tcPr>
            <w:tcW w:w="1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22"/>
        </w:trPr>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4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29, 2025</w:t>
            </w:r>
          </w:p>
        </w:tc>
      </w:tr>
      <w:tr>
        <w:trPr>
          <w:trHeight w:val="226"/>
        </w:trPr>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Sachin Jain, M.D.</w:t>
            </w:r>
          </w:p>
        </w:tc>
        <w:tc>
          <w:tcPr>
            <w:tcW w:w="1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22"/>
        </w:trPr>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4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29, 2025</w:t>
            </w:r>
          </w:p>
        </w:tc>
      </w:tr>
      <w:tr>
        <w:trPr>
          <w:trHeight w:val="226"/>
        </w:trPr>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Julie Klapstein</w:t>
            </w:r>
          </w:p>
        </w:tc>
        <w:tc>
          <w:tcPr>
            <w:tcW w:w="1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22"/>
        </w:trPr>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4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29, 2025</w:t>
            </w:r>
          </w:p>
        </w:tc>
      </w:tr>
      <w:tr>
        <w:trPr>
          <w:trHeight w:val="226"/>
        </w:trPr>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Jonathan Root, M.D.</w:t>
            </w:r>
          </w:p>
        </w:tc>
        <w:tc>
          <w:tcPr>
            <w:tcW w:w="1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22"/>
        </w:trPr>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4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29, 2025</w:t>
            </w:r>
          </w:p>
        </w:tc>
      </w:tr>
      <w:tr>
        <w:trPr>
          <w:trHeight w:val="226"/>
        </w:trPr>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Adam Stavisky</w:t>
            </w:r>
          </w:p>
        </w:tc>
        <w:tc>
          <w:tcPr>
            <w:tcW w:w="1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r>
    </w:tbl>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*By:  /s/ Sean Duffy</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Sean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-127635</wp:posOffset>
            </wp:positionV>
            <wp:extent cx="249364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40">
                      <a:extLst>
                        <a:ext uri="{28A0092B-C50C-407E-A947-70E740481C1C}"/>
                      </a:extLst>
                    </a:blip>
                    <a:srcRect/>
                    <a:stretch>
                      <a:fillRect/>
                    </a:stretch>
                  </pic:blipFill>
                  <pic:spPr bwMode="auto">
                    <a:xfrm>
                      <a:off x="0" y="0"/>
                      <a:ext cx="2493645" cy="8255"/>
                    </a:xfrm>
                    <a:prstGeom prst="rect">
                      <a:avLst/>
                    </a:prstGeom>
                    <a:noFill/>
                  </pic:spPr>
                </pic:pic>
              </a:graphicData>
            </a:graphic>
          </wp:anchor>
        </w:drawing>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Attorney-in-Fact</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080"/>
          </w:cols>
          <w:pgMar w:left="320" w:top="451" w:right="499" w:bottom="1440" w:gutter="0" w:footer="0" w:header="0"/>
        </w:sectPr>
      </w:pPr>
    </w:p>
    <w:bookmarkStart w:id="337" w:name="page338"/>
    <w:bookmarkEnd w:id="337"/>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[_______________] Shares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 2025</w:t>
      </w:r>
    </w:p>
    <w:p>
      <w:pPr>
        <w:sectPr>
          <w:pgSz w:w="11900" w:h="16838" w:orient="portrait"/>
          <w:cols w:equalWidth="0" w:num="1">
            <w:col w:w="10900"/>
          </w:cols>
          <w:pgMar w:left="500" w:top="117" w:right="499" w:bottom="1440" w:gutter="0" w:footer="0" w:header="0"/>
        </w:sectPr>
      </w:pPr>
    </w:p>
    <w:bookmarkStart w:id="338" w:name="page339"/>
    <w:bookmarkEnd w:id="338"/>
    <w:p>
      <w:pPr>
        <w:ind w:left="90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[_______________], 2025</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Morgan Stanley &amp; Co. LLC</w:t>
      </w:r>
    </w:p>
    <w:p>
      <w:pPr>
        <w:spacing w:after="0" w:line="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1585 Broadway</w:t>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200 West Street</w:t>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addressees set forth above:</w:t>
      </w:r>
    </w:p>
    <w:p>
      <w:pPr>
        <w:spacing w:after="0" w:line="110" w:lineRule="exact"/>
        <w:rPr>
          <w:sz w:val="20"/>
          <w:szCs w:val="20"/>
          <w:color w:val="auto"/>
        </w:rPr>
      </w:pPr>
    </w:p>
    <w:p>
      <w:pPr>
        <w:ind w:right="40" w:firstLine="436"/>
        <w:spacing w:after="0" w:line="276" w:lineRule="auto"/>
        <w:rPr>
          <w:sz w:val="20"/>
          <w:szCs w:val="20"/>
          <w:color w:val="auto"/>
        </w:rPr>
      </w:pPr>
      <w:r>
        <w:rPr>
          <w:rFonts w:ascii="Times New Roman" w:cs="Times New Roman" w:eastAsia="Times New Roman" w:hAnsi="Times New Roman"/>
          <w:sz w:val="17"/>
          <w:szCs w:val="17"/>
          <w:color w:val="auto"/>
        </w:rPr>
        <w:t>Omada Health,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proposes to issue and sell to the several Underwriters named in Schedule I hereto (the “</w:t>
      </w:r>
      <w:r>
        <w:rPr>
          <w:rFonts w:ascii="Times New Roman" w:cs="Times New Roman" w:eastAsia="Times New Roman" w:hAnsi="Times New Roman"/>
          <w:sz w:val="17"/>
          <w:szCs w:val="17"/>
          <w:b w:val="1"/>
          <w:bCs w:val="1"/>
          <w:color w:val="auto"/>
        </w:rPr>
        <w:t>Underwriters</w:t>
      </w:r>
      <w:r>
        <w:rPr>
          <w:rFonts w:ascii="Times New Roman" w:cs="Times New Roman" w:eastAsia="Times New Roman" w:hAnsi="Times New Roman"/>
          <w:sz w:val="17"/>
          <w:szCs w:val="17"/>
          <w:color w:val="auto"/>
        </w:rPr>
        <w:t>”) [_________] shares (the “</w:t>
      </w:r>
      <w:r>
        <w:rPr>
          <w:rFonts w:ascii="Times New Roman" w:cs="Times New Roman" w:eastAsia="Times New Roman" w:hAnsi="Times New Roman"/>
          <w:sz w:val="17"/>
          <w:szCs w:val="17"/>
          <w:b w:val="1"/>
          <w:bCs w:val="1"/>
          <w:color w:val="auto"/>
        </w:rPr>
        <w:t>Firm Shares</w:t>
      </w:r>
      <w:r>
        <w:rPr>
          <w:rFonts w:ascii="Times New Roman" w:cs="Times New Roman" w:eastAsia="Times New Roman" w:hAnsi="Times New Roman"/>
          <w:sz w:val="17"/>
          <w:szCs w:val="17"/>
          <w:color w:val="auto"/>
        </w:rPr>
        <w:t>”) of its common stock, par value $0.001 per share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also proposes to issue and sell to the several Underwriters not more than an additional [_________] shares of Common Stock (the “</w:t>
      </w:r>
      <w:r>
        <w:rPr>
          <w:rFonts w:ascii="Times New Roman" w:cs="Times New Roman" w:eastAsia="Times New Roman" w:hAnsi="Times New Roman"/>
          <w:sz w:val="17"/>
          <w:szCs w:val="17"/>
          <w:b w:val="1"/>
          <w:bCs w:val="1"/>
          <w:color w:val="auto"/>
        </w:rPr>
        <w:t>Additional Shares</w:t>
      </w:r>
      <w:r>
        <w:rPr>
          <w:rFonts w:ascii="Times New Roman" w:cs="Times New Roman" w:eastAsia="Times New Roman" w:hAnsi="Times New Roman"/>
          <w:sz w:val="17"/>
          <w:szCs w:val="17"/>
          <w:color w:val="auto"/>
        </w:rPr>
        <w:t>”)</w:t>
      </w:r>
    </w:p>
    <w:p>
      <w:pPr>
        <w:spacing w:after="0" w:line="18"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if and to the extent that Morgan Stanley &amp; Co. LLC, Goldman Sachs &amp; Co. LLC, and J.P. Morgan Securities LLC, as representatives of the offering (together, the “</w:t>
      </w:r>
      <w:r>
        <w:rPr>
          <w:rFonts w:ascii="Times New Roman" w:cs="Times New Roman" w:eastAsia="Times New Roman" w:hAnsi="Times New Roman"/>
          <w:sz w:val="17"/>
          <w:szCs w:val="17"/>
          <w:b w:val="1"/>
          <w:bCs w:val="1"/>
          <w:color w:val="auto"/>
        </w:rPr>
        <w:t>Representatives</w:t>
      </w:r>
      <w:r>
        <w:rPr>
          <w:rFonts w:ascii="Times New Roman" w:cs="Times New Roman" w:eastAsia="Times New Roman" w:hAnsi="Times New Roman"/>
          <w:sz w:val="17"/>
          <w:szCs w:val="17"/>
          <w:color w:val="auto"/>
        </w:rPr>
        <w:t>”), shall have determined to exercise, on behalf of the Underwriters, the right to purchase such shares of common stock granted to the Underwriters in Section 2 hereof. The Firm Shares and the Additional Shares are hereinafter collectively referred to as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The Company and the Company’s subsidiaries listed on Schedule IV hereto are hereinafter collectively referred to as the “</w:t>
      </w:r>
      <w:r>
        <w:rPr>
          <w:rFonts w:ascii="Times New Roman" w:cs="Times New Roman" w:eastAsia="Times New Roman" w:hAnsi="Times New Roman"/>
          <w:sz w:val="17"/>
          <w:szCs w:val="17"/>
          <w:b w:val="1"/>
          <w:bCs w:val="1"/>
          <w:color w:val="auto"/>
        </w:rPr>
        <w:t>Omada Entities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has filed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on Form S-1 (File</w:t>
      </w:r>
    </w:p>
    <w:p>
      <w:pPr>
        <w:spacing w:after="0" w:line="3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No. 333-[•]), including a preliminary prospectus, relating to the Shares. The registration statement as amended at the time it becomes effective, including the information (if any) deemed to be part of the registration statement at the time of effectiveness pursuant to Rule 430A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is hereinafter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prospectus in the form first used to confirm sales of the Shares (or in the form first made available to the Underwriters by the Company to meet requests of purchasers pursuant to Rule 173 under the Securities Act) is hereinafter referred to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If the Company has filed an abbreviated registration statement to register additional shares of Common Stock pursuant to Rule 462(b) under the Securities Act (a “</w:t>
      </w:r>
      <w:r>
        <w:rPr>
          <w:rFonts w:ascii="Times New Roman" w:cs="Times New Roman" w:eastAsia="Times New Roman" w:hAnsi="Times New Roman"/>
          <w:sz w:val="18"/>
          <w:szCs w:val="18"/>
          <w:b w:val="1"/>
          <w:bCs w:val="1"/>
          <w:color w:val="auto"/>
        </w:rPr>
        <w:t>Rule 462 Registration Statement</w:t>
      </w:r>
      <w:r>
        <w:rPr>
          <w:rFonts w:ascii="Times New Roman" w:cs="Times New Roman" w:eastAsia="Times New Roman" w:hAnsi="Times New Roman"/>
          <w:sz w:val="18"/>
          <w:szCs w:val="18"/>
          <w:color w:val="auto"/>
        </w:rPr>
        <w:t>”), then any reference herein to the term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be deemed to include such Rule 462 Registration Statement.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500" w:top="268" w:right="499" w:bottom="1440" w:gutter="0" w:footer="0" w:header="0"/>
        </w:sectPr>
      </w:pPr>
    </w:p>
    <w:bookmarkStart w:id="339" w:name="page340"/>
    <w:bookmarkEnd w:id="339"/>
    <w:p>
      <w:pPr>
        <w:ind w:firstLine="436"/>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For purposes of this Underwriting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shall mean each prospectus used prior to the effectiveness of the Registration Statement, and each prospectus that omitted information pursuant to Rule 430A under the Securities Act that was used after such effectiveness and prior to the execution and delivery of this Agreement, “</w:t>
      </w:r>
      <w:r>
        <w:rPr>
          <w:rFonts w:ascii="Times New Roman" w:cs="Times New Roman" w:eastAsia="Times New Roman" w:hAnsi="Times New Roman"/>
          <w:sz w:val="18"/>
          <w:szCs w:val="18"/>
          <w:b w:val="1"/>
          <w:bCs w:val="1"/>
          <w:color w:val="auto"/>
        </w:rPr>
        <w:t>Time of Sale Prospectus</w:t>
      </w:r>
      <w:r>
        <w:rPr>
          <w:rFonts w:ascii="Times New Roman" w:cs="Times New Roman" w:eastAsia="Times New Roman" w:hAnsi="Times New Roman"/>
          <w:sz w:val="18"/>
          <w:szCs w:val="18"/>
          <w:color w:val="auto"/>
        </w:rPr>
        <w:t>” means the preliminary prospectus contained in the Registration Statement at the time of its effectiveness together with the documents and pricing information and the free writing prospectuses, if any, set forth in Schedule II hereto, and “</w:t>
      </w:r>
      <w:r>
        <w:rPr>
          <w:rFonts w:ascii="Times New Roman" w:cs="Times New Roman" w:eastAsia="Times New Roman" w:hAnsi="Times New Roman"/>
          <w:sz w:val="18"/>
          <w:szCs w:val="18"/>
          <w:b w:val="1"/>
          <w:bCs w:val="1"/>
          <w:color w:val="auto"/>
        </w:rPr>
        <w:t>broadly available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road show</w:t>
      </w:r>
      <w:r>
        <w:rPr>
          <w:rFonts w:ascii="Times New Roman" w:cs="Times New Roman" w:eastAsia="Times New Roman" w:hAnsi="Times New Roman"/>
          <w:sz w:val="18"/>
          <w:szCs w:val="18"/>
          <w:color w:val="auto"/>
        </w:rPr>
        <w:t>” means a “bona fide electronic road show” as defined in Rule 433(h)(5) under the Securities Act that has been made available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 to any person. As used herein, the terms “Registration Statement,” “preliminary prospectus,” “Time of Sale Prospectus” and “Prospectus” shall include the documents, if any, incorporated by reference therein as of the date hereof.</w:t>
      </w:r>
    </w:p>
    <w:p>
      <w:pPr>
        <w:spacing w:after="0" w:line="187" w:lineRule="exact"/>
        <w:rPr>
          <w:sz w:val="20"/>
          <w:szCs w:val="20"/>
          <w:color w:val="auto"/>
        </w:rPr>
      </w:pPr>
    </w:p>
    <w:p>
      <w:pPr>
        <w:ind w:left="600" w:hanging="170"/>
        <w:spacing w:after="0"/>
        <w:tabs>
          <w:tab w:leader="none" w:pos="6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each of the Underwriters that:</w:t>
      </w:r>
    </w:p>
    <w:p>
      <w:pPr>
        <w:spacing w:after="0" w:line="115" w:lineRule="exact"/>
        <w:rPr>
          <w:rFonts w:ascii="Times New Roman" w:cs="Times New Roman" w:eastAsia="Times New Roman" w:hAnsi="Times New Roman"/>
          <w:sz w:val="18"/>
          <w:szCs w:val="18"/>
          <w:color w:val="auto"/>
        </w:rPr>
      </w:pPr>
    </w:p>
    <w:p>
      <w:pPr>
        <w:ind w:left="420" w:right="200" w:firstLine="428"/>
        <w:spacing w:after="0" w:line="262" w:lineRule="auto"/>
        <w:tabs>
          <w:tab w:leader="none" w:pos="1081"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become effective; no stop order suspending the effectiveness of the Registration Statement is in effect, and no proceedings for such purpose or pursuant to Section 8A under the Securities Act are pending before or, to the Company’s knowledge, threatened by the Commission.</w:t>
      </w:r>
    </w:p>
    <w:p>
      <w:pPr>
        <w:spacing w:after="0" w:line="70" w:lineRule="exact"/>
        <w:rPr>
          <w:rFonts w:ascii="Times New Roman" w:cs="Times New Roman" w:eastAsia="Times New Roman" w:hAnsi="Times New Roman"/>
          <w:sz w:val="18"/>
          <w:szCs w:val="18"/>
          <w:color w:val="auto"/>
        </w:rPr>
      </w:pPr>
    </w:p>
    <w:p>
      <w:pPr>
        <w:ind w:left="420" w:right="20" w:firstLine="428"/>
        <w:spacing w:after="0" w:line="250" w:lineRule="auto"/>
        <w:tabs>
          <w:tab w:leader="none" w:pos="1091"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will comply in all material respects with the applicable requirements of the Securities Act and the applicable rules and regulations of the Commission thereunder, (iii) the Time of Sale Prospectus does not, and at the time of each sale of the Shares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Underwriter Information (as defined in Section 8(b) herein).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60"/>
          </w:cols>
          <w:pgMar w:left="500" w:top="264" w:right="539" w:bottom="1440" w:gutter="0" w:footer="0" w:header="0"/>
        </w:sectPr>
      </w:pPr>
    </w:p>
    <w:bookmarkStart w:id="340" w:name="page341"/>
    <w:bookmarkEnd w:id="340"/>
    <w:p>
      <w:pPr>
        <w:ind w:right="60" w:firstLine="428"/>
        <w:spacing w:after="0" w:line="251" w:lineRule="auto"/>
        <w:tabs>
          <w:tab w:leader="none" w:pos="66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applicable requirements of the Securities Act and the applicable rules and regulations of the Commission thereunder. Except for the free writing prospectuses, if any, identified in Schedule II hereto, and electronic road shows, if any, each furnished to the Representatives before first use, the Company has not prepared, used or referred to, and will not, without the Representatives’ prior consent, prepare, use or refer to, any free writing prospectus.</w:t>
      </w:r>
    </w:p>
    <w:p>
      <w:pPr>
        <w:spacing w:after="0" w:line="82" w:lineRule="exact"/>
        <w:rPr>
          <w:rFonts w:ascii="Times New Roman" w:cs="Times New Roman" w:eastAsia="Times New Roman" w:hAnsi="Times New Roman"/>
          <w:sz w:val="18"/>
          <w:szCs w:val="18"/>
          <w:color w:val="auto"/>
        </w:rPr>
      </w:pPr>
    </w:p>
    <w:p>
      <w:pPr>
        <w:ind w:firstLine="428"/>
        <w:spacing w:after="0" w:line="266" w:lineRule="auto"/>
        <w:tabs>
          <w:tab w:leader="none" w:pos="671"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Omada Entity has been duly incorporated, organized, or formed, is validly existing as a corporation or other business entity in good standing under the laws of the jurisdiction of its incorporation, organization or formation, has the corporate or other business entity power and authority to own or lease its property and to conduct its business as described in each of the Registration Statement, the Time of Sale Prospectus and the Prospectus and is duly qualified to transact business and is in good standing in each jurisdiction (to the extent the concept of good standing or an equivalent concept is applicable in such jurisdiction) in which the conduct of its business or its ownership or leasing of property requires such qualification, except to the extent that the failure to be so qualified or be in good standing would not reasonably be expected to, singly or in the aggregate, have a material adverse effect on the Omada Entities, taken as a whole; all of the issued shares of capital stock or other equity interests of each subsidiary of the Company have been duly and validly authorized and issued, are fully paid and non-assessable, and are owned directly or indirectly by the Company, free and clear of all liens, encumbrances, equities, or claims; and each management agreement between the Company and Physera Physical Therapy Group, PC (“</w:t>
      </w:r>
      <w:r>
        <w:rPr>
          <w:rFonts w:ascii="Times New Roman" w:cs="Times New Roman" w:eastAsia="Times New Roman" w:hAnsi="Times New Roman"/>
          <w:sz w:val="17"/>
          <w:szCs w:val="17"/>
          <w:b w:val="1"/>
          <w:bCs w:val="1"/>
          <w:color w:val="auto"/>
        </w:rPr>
        <w:t>PPTG</w:t>
      </w:r>
      <w:r>
        <w:rPr>
          <w:rFonts w:ascii="Times New Roman" w:cs="Times New Roman" w:eastAsia="Times New Roman" w:hAnsi="Times New Roman"/>
          <w:sz w:val="17"/>
          <w:szCs w:val="17"/>
          <w:color w:val="auto"/>
        </w:rPr>
        <w:t>”) existing as of the date hereof and as of the Closing Date and each Option Closing Date, as applicable, has been duly authorized, executed and delivered by the Company and is in full force and effect.</w:t>
      </w:r>
    </w:p>
    <w:p>
      <w:pPr>
        <w:spacing w:after="0" w:line="74" w:lineRule="exact"/>
        <w:rPr>
          <w:rFonts w:ascii="Times New Roman" w:cs="Times New Roman" w:eastAsia="Times New Roman" w:hAnsi="Times New Roman"/>
          <w:sz w:val="17"/>
          <w:szCs w:val="17"/>
          <w:color w:val="auto"/>
        </w:rPr>
      </w:pPr>
    </w:p>
    <w:p>
      <w:pPr>
        <w:ind w:left="680" w:hanging="252"/>
        <w:spacing w:after="0"/>
        <w:tabs>
          <w:tab w:leader="none" w:pos="6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113" w:lineRule="exact"/>
        <w:rPr>
          <w:rFonts w:ascii="Times New Roman" w:cs="Times New Roman" w:eastAsia="Times New Roman" w:hAnsi="Times New Roman"/>
          <w:sz w:val="18"/>
          <w:szCs w:val="18"/>
          <w:color w:val="auto"/>
        </w:rPr>
      </w:pPr>
    </w:p>
    <w:p>
      <w:pPr>
        <w:ind w:right="160" w:firstLine="428"/>
        <w:spacing w:after="0" w:line="277" w:lineRule="auto"/>
        <w:tabs>
          <w:tab w:leader="none" w:pos="64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conforms as to legal matters in all material respects to the description thereof contained in each of the Registration Statement, the Time of Sale Prospectus, and the Prospectus as of the dates set forth therein.</w:t>
      </w:r>
    </w:p>
    <w:p>
      <w:pPr>
        <w:spacing w:after="0" w:line="9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460"/>
          </w:cols>
          <w:pgMar w:left="920" w:top="268" w:right="519" w:bottom="1440" w:gutter="0" w:footer="0" w:header="0"/>
        </w:sectPr>
      </w:pPr>
    </w:p>
    <w:bookmarkStart w:id="341" w:name="page342"/>
    <w:bookmarkEnd w:id="341"/>
    <w:p>
      <w:pPr>
        <w:ind w:right="40" w:firstLine="428"/>
        <w:spacing w:after="0" w:line="277" w:lineRule="auto"/>
        <w:tabs>
          <w:tab w:leader="none" w:pos="671"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shares of Common Stock outstanding prior to the issuance of the Shares have been duly authorized and are validly issued, fully paid and non-assessable.</w:t>
      </w:r>
    </w:p>
    <w:p>
      <w:pPr>
        <w:spacing w:after="0" w:line="56" w:lineRule="exact"/>
        <w:rPr>
          <w:rFonts w:ascii="Times New Roman" w:cs="Times New Roman" w:eastAsia="Times New Roman" w:hAnsi="Times New Roman"/>
          <w:sz w:val="18"/>
          <w:szCs w:val="18"/>
          <w:color w:val="auto"/>
        </w:rPr>
      </w:pPr>
    </w:p>
    <w:p>
      <w:pPr>
        <w:ind w:right="100" w:firstLine="428"/>
        <w:spacing w:after="0" w:line="262" w:lineRule="auto"/>
        <w:tabs>
          <w:tab w:leader="none" w:pos="671"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duly authorized and, when issued, delivered, and paid for in accordance with the terms of this Agreement, will be validly issued, fully paid, and non-assessable, and the issuance of the Shares will not be subject to any preemptive or similar rights that have not been validly waived or satisfied.</w:t>
      </w:r>
    </w:p>
    <w:p>
      <w:pPr>
        <w:spacing w:after="0" w:line="70" w:lineRule="exact"/>
        <w:rPr>
          <w:rFonts w:ascii="Times New Roman" w:cs="Times New Roman" w:eastAsia="Times New Roman" w:hAnsi="Times New Roman"/>
          <w:sz w:val="18"/>
          <w:szCs w:val="18"/>
          <w:color w:val="auto"/>
        </w:rPr>
      </w:pPr>
    </w:p>
    <w:p>
      <w:pPr>
        <w:ind w:right="40" w:firstLine="428"/>
        <w:spacing w:after="0" w:line="268" w:lineRule="auto"/>
        <w:tabs>
          <w:tab w:leader="none" w:pos="631"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by the Company of, and the performance by the Company of its obligations under, this Agreement will not contravene any provision of (i) applicable law, (ii) the certificate of incorporation or bylaws of the Company, (iii) any agreement or other instrument binding upon any Omada Entity that is material to the Omada Entities, taken as a whole, or (iv) any judgment, order, or decree of any governmental body, agency, or court having jurisdiction over any Omada Entity, except that in the case of clauses (i), (iii), and (iv) as would not, singly or in the aggregate, reasonably be expected to have a material adverse effect on the Omada Entities, taken as a whole, or on the power and ability of the Company to perform its obligations under this Agreement, and no consent, approval, authorization, or order of, or qualification with, any governmental body, agency, or court is required for the performance by the Company of its obligations under this Agreement, except (x) such as shall have been obtained or waived, and (y) such as may be required by the securities or Blue Sky laws of the various states or the rules and regulations of the Financial Industry Regulatory Authority, Inc. (“</w:t>
      </w:r>
      <w:r>
        <w:rPr>
          <w:rFonts w:ascii="Times New Roman" w:cs="Times New Roman" w:eastAsia="Times New Roman" w:hAnsi="Times New Roman"/>
          <w:sz w:val="17"/>
          <w:szCs w:val="17"/>
          <w:b w:val="1"/>
          <w:bCs w:val="1"/>
          <w:color w:val="auto"/>
        </w:rPr>
        <w:t>FINRA</w:t>
      </w:r>
      <w:r>
        <w:rPr>
          <w:rFonts w:ascii="Times New Roman" w:cs="Times New Roman" w:eastAsia="Times New Roman" w:hAnsi="Times New Roman"/>
          <w:sz w:val="17"/>
          <w:szCs w:val="17"/>
          <w:color w:val="auto"/>
        </w:rPr>
        <w:t>”) in connection with the offer and sale of the Shares.</w:t>
      </w:r>
    </w:p>
    <w:p>
      <w:pPr>
        <w:spacing w:after="0" w:line="65" w:lineRule="exact"/>
        <w:rPr>
          <w:rFonts w:ascii="Times New Roman" w:cs="Times New Roman" w:eastAsia="Times New Roman" w:hAnsi="Times New Roman"/>
          <w:sz w:val="17"/>
          <w:szCs w:val="17"/>
          <w:color w:val="auto"/>
        </w:rPr>
      </w:pPr>
    </w:p>
    <w:p>
      <w:pPr>
        <w:ind w:right="400" w:firstLine="428"/>
        <w:spacing w:after="0" w:line="262" w:lineRule="auto"/>
        <w:tabs>
          <w:tab w:leader="none" w:pos="631"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material adverse change, or any development involving a prospective material adverse change, in the condition, financial or otherwise, or in the earnings, business, or operations of the Omada Entities, taken as a whole, from that set forth in the Time of Sale Prospectus.</w:t>
      </w:r>
    </w:p>
    <w:p>
      <w:pPr>
        <w:spacing w:after="0" w:line="70" w:lineRule="exact"/>
        <w:rPr>
          <w:rFonts w:ascii="Times New Roman" w:cs="Times New Roman" w:eastAsia="Times New Roman" w:hAnsi="Times New Roman"/>
          <w:sz w:val="18"/>
          <w:szCs w:val="18"/>
          <w:color w:val="auto"/>
        </w:rPr>
      </w:pPr>
    </w:p>
    <w:p>
      <w:pPr>
        <w:ind w:firstLine="428"/>
        <w:spacing w:after="0" w:line="251" w:lineRule="auto"/>
        <w:tabs>
          <w:tab w:leader="none" w:pos="671"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or governmental proceedings pending or, to the Company’s knowledge, threatened to which any Omada Entity is a party or to which any of the properties of any of the Omada Entities is subject (i) other than proceedings accurately described in all material respects in each of the Registration Statement, the Time of Sale Prospectus and the Prospectus and proceedings that would not reasonably be expected to, singly or in the aggregate, have a material adverse effect on the Omada Entities, taken as a whole, or on the power or ability of the Company to perform its obligations under this Agreement or to consummate the transactions contemplated by each of the Registration Statement, the Time of Sale Prospectus, and the Prospectus, or (ii) that are required to be described in the Registration Statement, the Time of Sale Prospectus or the Prospectus and are not so described; and there are no statutes, regulations, contracts, or other documents that are required to be described in the Registration Statement, the Time of Sale Prospectus, or the Prospectus or to be filed as exhibits to the Registration Statement that are not described in all material respects or filed as required.</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460"/>
          </w:cols>
          <w:pgMar w:left="920" w:top="268" w:right="519" w:bottom="1440" w:gutter="0" w:footer="0" w:header="0"/>
        </w:sectPr>
      </w:pPr>
    </w:p>
    <w:bookmarkStart w:id="342" w:name="page343"/>
    <w:bookmarkEnd w:id="342"/>
    <w:p>
      <w:pPr>
        <w:jc w:val="both"/>
        <w:ind w:right="200" w:firstLine="428"/>
        <w:spacing w:after="0" w:line="262" w:lineRule="auto"/>
        <w:tabs>
          <w:tab w:leader="none" w:pos="631"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Each preliminary prospectus filed as part of the Registration Statement as originally filed or as part of any amendment thereto, or filed pursuant to Rule 424 under the Securities Act, complied when so filed in all material respects with the applicable requirements of the Securities Act and the applicable rules and regulations of the Commission thereunder.</w:t>
      </w:r>
    </w:p>
    <w:p>
      <w:pPr>
        <w:spacing w:after="0" w:line="70" w:lineRule="exact"/>
        <w:rPr>
          <w:rFonts w:ascii="Times New Roman" w:cs="Times New Roman" w:eastAsia="Times New Roman" w:hAnsi="Times New Roman"/>
          <w:sz w:val="18"/>
          <w:szCs w:val="18"/>
          <w:color w:val="auto"/>
        </w:rPr>
      </w:pPr>
    </w:p>
    <w:p>
      <w:pPr>
        <w:ind w:right="40" w:firstLine="428"/>
        <w:spacing w:after="0" w:line="262" w:lineRule="auto"/>
        <w:tabs>
          <w:tab w:leader="none" w:pos="72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Shares and the application of the proceeds thereof as described in each of the Registration Statement, the Time of Sale Prospectus and the Prospectus will not be, required to register as an “investment company” as such term is defined in the Investment Company Act of 1940, as amended.</w:t>
      </w:r>
    </w:p>
    <w:p>
      <w:pPr>
        <w:spacing w:after="0" w:line="70" w:lineRule="exact"/>
        <w:rPr>
          <w:rFonts w:ascii="Times New Roman" w:cs="Times New Roman" w:eastAsia="Times New Roman" w:hAnsi="Times New Roman"/>
          <w:sz w:val="18"/>
          <w:szCs w:val="18"/>
          <w:color w:val="auto"/>
        </w:rPr>
      </w:pPr>
    </w:p>
    <w:p>
      <w:pPr>
        <w:ind w:firstLine="428"/>
        <w:spacing w:after="0" w:line="267" w:lineRule="auto"/>
        <w:tabs>
          <w:tab w:leader="none" w:pos="671"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described in each of the Registration Statement, the Time of Sale Prospectus, and the prospectus, and except as would not, singly or in the aggregate, have a material adverse effect on the Omada Entities, taken as a whole, each of the Omada Entities and, to the Company’s knowledge, PPTG (i) is in compliance with all applicable Healthcare Laws and (ii) during the past five (5) years, has not received any written notice from any governmental or regulatory agency, authority or body of potential or actual non-compliance of any applicable Healthcare Laws. For purposes of this agreement, “</w:t>
      </w:r>
      <w:r>
        <w:rPr>
          <w:rFonts w:ascii="Times New Roman" w:cs="Times New Roman" w:eastAsia="Times New Roman" w:hAnsi="Times New Roman"/>
          <w:sz w:val="17"/>
          <w:szCs w:val="17"/>
          <w:b w:val="1"/>
          <w:bCs w:val="1"/>
          <w:color w:val="auto"/>
        </w:rPr>
        <w:t>Healthcare Laws</w:t>
      </w:r>
      <w:r>
        <w:rPr>
          <w:rFonts w:ascii="Times New Roman" w:cs="Times New Roman" w:eastAsia="Times New Roman" w:hAnsi="Times New Roman"/>
          <w:sz w:val="17"/>
          <w:szCs w:val="17"/>
          <w:color w:val="auto"/>
        </w:rPr>
        <w:t>” means the Anti-Kickback Statute (42 U.S.C. § 1320a-7b(b)), the Stark Law (42 U.S.C.</w:t>
      </w:r>
    </w:p>
    <w:p>
      <w:pPr>
        <w:ind w:firstLine="10"/>
        <w:spacing w:after="0" w:line="249" w:lineRule="auto"/>
        <w:tabs>
          <w:tab w:leader="none" w:pos="13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1395nn), the False Claims Act (31 U.S.C. §§ 3729-3733), the Civil Monetary Penalties Law (42 U.S.C. §§ 1320a-7a and 1320a-7b), the Exclusion Laws (42 U.S.C. § 1320a-7), the Food, Drug, and Cosmetic Act of 1938 (21 U.S.C. § 301, et seq.), the Health Insurance Portability and Accountability Act of 1996, as amended by the Health Information Technology for Economic and Clinical Health Act of 2009 (42 U.S.C. §§ 1320d et seq.), the regulations promulgated pursuant to such laws, any comparable state or local laws, and any state laws concerning the corporate practice of physical therapy or the splitting of healthcare professional fees.</w:t>
      </w:r>
    </w:p>
    <w:p>
      <w:pPr>
        <w:spacing w:after="0" w:line="82" w:lineRule="exact"/>
        <w:rPr>
          <w:rFonts w:ascii="Times New Roman" w:cs="Times New Roman" w:eastAsia="Times New Roman" w:hAnsi="Times New Roman"/>
          <w:sz w:val="18"/>
          <w:szCs w:val="18"/>
          <w:color w:val="auto"/>
        </w:rPr>
      </w:pPr>
    </w:p>
    <w:p>
      <w:pPr>
        <w:ind w:firstLine="428"/>
        <w:spacing w:after="0" w:line="252" w:lineRule="auto"/>
        <w:tabs>
          <w:tab w:leader="none" w:pos="671"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Omada Entities (i) is in compliance with any and all applicable foreign, federal, state, and local laws and regulations relating to the protection of human health and safety, the environment, or hazardous or toxic substances or wastes, pollutants, or contaminants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has received all permits, licenses, or other approvals required of them under applicable Environmental Laws to conduct their respective businesses as presently conducted, and (iii) is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reasonably be expected to, singly or in the aggregate, have a material adverse effect on the Omada Entities, taken as a whole.</w:t>
      </w:r>
    </w:p>
    <w:p>
      <w:pPr>
        <w:spacing w:after="0" w:line="12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440"/>
          </w:cols>
          <w:pgMar w:left="920" w:top="268" w:right="539" w:bottom="1440" w:gutter="0" w:footer="0" w:header="0"/>
        </w:sectPr>
      </w:pPr>
    </w:p>
    <w:bookmarkStart w:id="343" w:name="page344"/>
    <w:bookmarkEnd w:id="343"/>
    <w:p>
      <w:pPr>
        <w:jc w:val="both"/>
        <w:ind w:firstLine="428"/>
        <w:spacing w:after="0" w:line="257" w:lineRule="auto"/>
        <w:tabs>
          <w:tab w:leader="none" w:pos="671"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reasonably be expected to, singly or in the aggregate, have a material adverse effect on the Omada Entities, taken as a whole.</w:t>
      </w:r>
    </w:p>
    <w:p>
      <w:pPr>
        <w:spacing w:after="0" w:line="75" w:lineRule="exact"/>
        <w:rPr>
          <w:rFonts w:ascii="Times New Roman" w:cs="Times New Roman" w:eastAsia="Times New Roman" w:hAnsi="Times New Roman"/>
          <w:sz w:val="18"/>
          <w:szCs w:val="18"/>
          <w:color w:val="auto"/>
        </w:rPr>
      </w:pPr>
    </w:p>
    <w:p>
      <w:pPr>
        <w:ind w:right="160" w:firstLine="428"/>
        <w:spacing w:after="0" w:line="255" w:lineRule="auto"/>
        <w:tabs>
          <w:tab w:leader="none" w:pos="671"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have otherwise been validly waived or complied with in connection with the issuance and sale of the Shares contemplated hereby or as described in each of the Registration Statement, the Time of Sale Prospectus and the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w:t>
      </w:r>
    </w:p>
    <w:p>
      <w:pPr>
        <w:spacing w:after="0" w:line="75" w:lineRule="exact"/>
        <w:rPr>
          <w:rFonts w:ascii="Times New Roman" w:cs="Times New Roman" w:eastAsia="Times New Roman" w:hAnsi="Times New Roman"/>
          <w:sz w:val="18"/>
          <w:szCs w:val="18"/>
          <w:color w:val="auto"/>
        </w:rPr>
      </w:pPr>
    </w:p>
    <w:p>
      <w:pPr>
        <w:ind w:right="100" w:firstLine="428"/>
        <w:spacing w:after="0" w:line="252" w:lineRule="auto"/>
        <w:tabs>
          <w:tab w:leader="none" w:pos="641"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Omada Entities or any of their affiliates, or any director, officer, or employee thereof, or, to the Company’s knowledge, any agent or representative of any of the Omada Entities or their affiliates, has taken or will take any action in furtherance of an offer, payment, promise to pay, or authorization or approval of the payment, giving or receipt of money, property, gifts, or anything else of value, directly or indirectly, to any person to improperly influence official action by that person for the benefit of the Omada Entities or affiliates, or to otherwise secure any improper advantage, or to any person in violation of (a) the U.S. Foreign Corrupt Practices Act of 1977, (b) the UK Bribery Act 2010, and (c) any other applicable law, regulation, order, decree or directive having the force of law and relating to bribery or corruption (collectively, the “</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right="100" w:firstLine="428"/>
        <w:spacing w:after="0" w:line="257" w:lineRule="auto"/>
        <w:tabs>
          <w:tab w:leader="none" w:pos="651"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each of the Omada Entities are and have been conducted at all times in material compliance with all applicable anti-money laundering laws, rules, and regulations, including the financial recordkeeping and reporting requirements contained therein, and including the Bank Secrecy Act of 1970, applicable provisions of the USA PATRIOT Act of 2001, the Money Laundering Control Act of 1986, and the Anti-Money Laundering Act of 2020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right="280" w:firstLine="428"/>
        <w:spacing w:after="0" w:line="262" w:lineRule="auto"/>
        <w:tabs>
          <w:tab w:leader="none" w:pos="631"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Omada Entities, or any director, officer, employee thereof, or to the Company’s knowledge, any agent, affiliate, or representative of any of the Omada Entities,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or is owned or controlled by one or more Persons that are:</w:t>
      </w:r>
    </w:p>
    <w:p>
      <w:pPr>
        <w:spacing w:after="0" w:line="70" w:lineRule="exact"/>
        <w:rPr>
          <w:rFonts w:ascii="Times New Roman" w:cs="Times New Roman" w:eastAsia="Times New Roman" w:hAnsi="Times New Roman"/>
          <w:sz w:val="18"/>
          <w:szCs w:val="18"/>
          <w:color w:val="auto"/>
        </w:rPr>
      </w:pPr>
    </w:p>
    <w:p>
      <w:pPr>
        <w:ind w:left="1000" w:right="120" w:firstLine="370"/>
        <w:spacing w:after="0" w:line="262" w:lineRule="auto"/>
        <w:tabs>
          <w:tab w:leader="none" w:pos="1671"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United States Government (including the U.S. Department of the Treasury’s Office of Foreign Assets Control and the U.S. Department of State), the United Nations Security Council, the European Union, His Majesty’s Treasury, or any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w:t>
      </w:r>
    </w:p>
    <w:p>
      <w:pPr>
        <w:spacing w:after="0" w:line="11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460"/>
          </w:cols>
          <w:pgMar w:left="920" w:top="268" w:right="519" w:bottom="1440" w:gutter="0" w:footer="0" w:header="0"/>
        </w:sectPr>
      </w:pPr>
    </w:p>
    <w:bookmarkStart w:id="344" w:name="page345"/>
    <w:bookmarkEnd w:id="344"/>
    <w:p>
      <w:pPr>
        <w:jc w:val="both"/>
        <w:ind w:left="1000" w:firstLine="370"/>
        <w:spacing w:after="0" w:line="262" w:lineRule="auto"/>
        <w:tabs>
          <w:tab w:leader="none" w:pos="1661" w:val="left"/>
        </w:tabs>
        <w:numPr>
          <w:ilvl w:val="2"/>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located, organized or resident in a country or territory that is the subject of comprehensive territorial Sanctions (including, without limitation, the so-called Donetsk People’s Republic, the so-called Luhansk People’s Republic, or any other Covered Region of Ukraine identified pursuant to Executive Order 14065, Crimea, Cuba, Iran, North Korea and Syria).</w:t>
      </w:r>
    </w:p>
    <w:p>
      <w:pPr>
        <w:spacing w:after="0" w:line="70" w:lineRule="exact"/>
        <w:rPr>
          <w:rFonts w:ascii="Times New Roman" w:cs="Times New Roman" w:eastAsia="Times New Roman" w:hAnsi="Times New Roman"/>
          <w:sz w:val="18"/>
          <w:szCs w:val="18"/>
          <w:color w:val="auto"/>
        </w:rPr>
      </w:pPr>
    </w:p>
    <w:p>
      <w:pPr>
        <w:ind w:left="560" w:right="80" w:firstLine="391"/>
        <w:spacing w:after="0" w:line="262" w:lineRule="auto"/>
        <w:tabs>
          <w:tab w:leader="none" w:pos="1219"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Omada Entities has not engaged in, is not now engaged in, and will not engage in, any dealings or transactions with any Person, or in any country or territory, that at the time of the dealing or transaction is or was, or whose government is or was, the subject of Sanctions.</w:t>
      </w:r>
    </w:p>
    <w:p>
      <w:pPr>
        <w:spacing w:after="0" w:line="70" w:lineRule="exact"/>
        <w:rPr>
          <w:rFonts w:ascii="Times New Roman" w:cs="Times New Roman" w:eastAsia="Times New Roman" w:hAnsi="Times New Roman"/>
          <w:sz w:val="18"/>
          <w:szCs w:val="18"/>
          <w:color w:val="auto"/>
        </w:rPr>
      </w:pPr>
    </w:p>
    <w:p>
      <w:pPr>
        <w:ind w:left="560" w:right="180" w:firstLine="391"/>
        <w:spacing w:after="0" w:line="277" w:lineRule="auto"/>
        <w:tabs>
          <w:tab w:leader="none" w:pos="1268"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Omada Entities will, directly or indirectly, use the proceeds of the offering, or lend, contribute or otherwise make available such proceeds to any subsidiary, joint venture partner or other Person:</w:t>
      </w:r>
    </w:p>
    <w:p>
      <w:pPr>
        <w:spacing w:after="0" w:line="56" w:lineRule="exact"/>
        <w:rPr>
          <w:rFonts w:ascii="Times New Roman" w:cs="Times New Roman" w:eastAsia="Times New Roman" w:hAnsi="Times New Roman"/>
          <w:sz w:val="18"/>
          <w:szCs w:val="18"/>
          <w:color w:val="auto"/>
        </w:rPr>
      </w:pPr>
    </w:p>
    <w:p>
      <w:pPr>
        <w:ind w:left="1000" w:right="140" w:firstLine="370"/>
        <w:spacing w:after="0" w:line="277" w:lineRule="auto"/>
        <w:tabs>
          <w:tab w:leader="none" w:pos="1671" w:val="left"/>
        </w:tabs>
        <w:numPr>
          <w:ilvl w:val="2"/>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or whose government is, the subject of Sanctions;</w:t>
      </w:r>
    </w:p>
    <w:p>
      <w:pPr>
        <w:spacing w:after="0" w:line="56" w:lineRule="exact"/>
        <w:rPr>
          <w:rFonts w:ascii="Times New Roman" w:cs="Times New Roman" w:eastAsia="Times New Roman" w:hAnsi="Times New Roman"/>
          <w:sz w:val="18"/>
          <w:szCs w:val="18"/>
          <w:color w:val="auto"/>
        </w:rPr>
      </w:pPr>
    </w:p>
    <w:p>
      <w:pPr>
        <w:ind w:left="1660" w:hanging="290"/>
        <w:spacing w:after="0"/>
        <w:tabs>
          <w:tab w:leader="none" w:pos="1660" w:val="left"/>
        </w:tabs>
        <w:numPr>
          <w:ilvl w:val="2"/>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money laundering or terrorist financing activities; or</w:t>
      </w:r>
    </w:p>
    <w:p>
      <w:pPr>
        <w:spacing w:after="0" w:line="113" w:lineRule="exact"/>
        <w:rPr>
          <w:rFonts w:ascii="Times New Roman" w:cs="Times New Roman" w:eastAsia="Times New Roman" w:hAnsi="Times New Roman"/>
          <w:sz w:val="18"/>
          <w:szCs w:val="18"/>
          <w:color w:val="auto"/>
        </w:rPr>
      </w:pPr>
    </w:p>
    <w:p>
      <w:pPr>
        <w:ind w:left="1000" w:firstLine="370"/>
        <w:spacing w:after="0" w:line="262" w:lineRule="auto"/>
        <w:tabs>
          <w:tab w:leader="none" w:pos="1661" w:val="left"/>
        </w:tabs>
        <w:numPr>
          <w:ilvl w:val="2"/>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would cause or result in a violation of any Anti-Corruption Laws, Anti-Money Laundering Laws, or Sanctions by any Person (including any Person participating in the offering, whether as underwriter, advisor, investor or otherwise).</w:t>
      </w:r>
    </w:p>
    <w:p>
      <w:pPr>
        <w:spacing w:after="0" w:line="70" w:lineRule="exact"/>
        <w:rPr>
          <w:rFonts w:ascii="Times New Roman" w:cs="Times New Roman" w:eastAsia="Times New Roman" w:hAnsi="Times New Roman"/>
          <w:sz w:val="18"/>
          <w:szCs w:val="18"/>
          <w:color w:val="auto"/>
        </w:rPr>
      </w:pPr>
    </w:p>
    <w:p>
      <w:pPr>
        <w:ind w:right="20" w:firstLine="428"/>
        <w:spacing w:after="0" w:line="271" w:lineRule="auto"/>
        <w:tabs>
          <w:tab w:leader="none" w:pos="671"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Omada Entities has conducted and will conduct its businesses in compliance with the applicable Anti-Corruption Laws, the Anti-Money Laundering Laws, and Sanctions, and no investigation, inquiry, action, suit, or proceeding by or before any court or governmental agency, authority, or body or any arbitrator involving any Omada Entity with respect to the Anti-Corruption Laws, the Anti-Money Laundering Laws, or Sanctions is pending or, to the knowledge of the Company, threatened. The Omada Entities and affiliates have instituted and maintained and will continue to maintain policies and procedures reasonably designed to promote and achieve compliance with the applicable Anti-Corruption Laws, the Anti-Money Laundering Laws, Sanctions, and with the representations and warranties contained herein.</w:t>
      </w:r>
    </w:p>
    <w:p>
      <w:pPr>
        <w:spacing w:after="0" w:line="10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380"/>
          </w:cols>
          <w:pgMar w:left="920" w:top="268" w:right="599" w:bottom="1440" w:gutter="0" w:footer="0" w:header="0"/>
        </w:sectPr>
      </w:pPr>
    </w:p>
    <w:bookmarkStart w:id="345" w:name="page346"/>
    <w:bookmarkEnd w:id="345"/>
    <w:p>
      <w:pPr>
        <w:ind w:firstLine="428"/>
        <w:spacing w:after="0" w:line="251" w:lineRule="auto"/>
        <w:tabs>
          <w:tab w:leader="none" w:pos="671"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Subsequent to the respective dates as of which information is given in each of the Registration Statement, the Time of Sale Prospectus, and the Prospectus, (i) the Omada Entities, taken as a whole, have not incurred any material liability or obligation, direct or contingent, nor entered into any material transaction; (ii) the Company has not purchased any of its outstanding capital stock, nor declared, paid, or otherwise made any dividend or distribution of any kind on its capital stock other than ordinary and customary dividends; and (iii) there has not been any material change in capital stock or issuance of equity grants by the Omada Entities (other than upon the exercise or settlement of equity awards or warrants (including any “net” or “cashless” exercises or settlements) or grants of equity awards or forfeiture of equity awards, in the case of equity awards, granted pursuant to equity compensation plans described in the Registration Statement, Time of Sale Prospectus, and the Prospectus) or material change in the short-term debt or long-term debt of the Omada Entities, in each case, taken as a whole, except in each case as described in the Registration Statement, the Time of Sale Prospectus and the Prospectus, respectively.</w:t>
      </w:r>
    </w:p>
    <w:p>
      <w:pPr>
        <w:spacing w:after="0" w:line="82" w:lineRule="exact"/>
        <w:rPr>
          <w:rFonts w:ascii="Times New Roman" w:cs="Times New Roman" w:eastAsia="Times New Roman" w:hAnsi="Times New Roman"/>
          <w:sz w:val="18"/>
          <w:szCs w:val="18"/>
          <w:color w:val="auto"/>
        </w:rPr>
      </w:pPr>
    </w:p>
    <w:p>
      <w:pPr>
        <w:ind w:right="20" w:firstLine="428"/>
        <w:spacing w:after="0" w:line="252" w:lineRule="auto"/>
        <w:tabs>
          <w:tab w:leader="none" w:pos="71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Omada Entities owns real property. Each of the Omada Entities has good and marketable title to all personal property (other than intellectual property, which is addressed exclusively in Section 1(x)) owned by them which is material to the business of the Omada Entities, taken as a whole, in each case free and clear of all liens, encumbrances, and defects except such as do not materially affect the value of such property and do not materially interfere with the use made and proposed to be made of such property by the Omada Entities; and any real property and buildings held under lease by the Omada Entities are held by them under valid, subsisting, to the Company’s knowledge, and enforceable leases with such exceptions as are not material and do not materially interfere with the use made and proposed to be made of such property and buildings by the Omada Entities.</w:t>
      </w:r>
    </w:p>
    <w:p>
      <w:pPr>
        <w:spacing w:after="0" w:line="81" w:lineRule="exact"/>
        <w:rPr>
          <w:rFonts w:ascii="Times New Roman" w:cs="Times New Roman" w:eastAsia="Times New Roman" w:hAnsi="Times New Roman"/>
          <w:sz w:val="18"/>
          <w:szCs w:val="18"/>
          <w:color w:val="auto"/>
        </w:rPr>
      </w:pPr>
    </w:p>
    <w:p>
      <w:pPr>
        <w:ind w:firstLine="428"/>
        <w:spacing w:after="0" w:line="264" w:lineRule="auto"/>
        <w:tabs>
          <w:tab w:leader="none" w:pos="671" w:val="left"/>
        </w:tabs>
        <w:numPr>
          <w:ilvl w:val="1"/>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singly or in the aggregate, have a material adverse effect on the Omada Entities, taken as a whole, (i) the Omada Entities own or have the right to use any and all patents, inventions, copyrights, know how (including trade secrets and other unpatented and/or unpatentable proprietary or confidential information, systems, or procedures), trademarks, service marks, trade names, domain names, social media identifiers and accounts, other source indicators, and other intellectual property or similar proprietary or industrial rights throughout the world (including any and all registrations and applications for registration of, and goodwill associated with, any of the foregoing) (collectively, “</w:t>
      </w:r>
      <w:r>
        <w:rPr>
          <w:rFonts w:ascii="Times New Roman" w:cs="Times New Roman" w:eastAsia="Times New Roman" w:hAnsi="Times New Roman"/>
          <w:sz w:val="17"/>
          <w:szCs w:val="17"/>
          <w:b w:val="1"/>
          <w:bCs w:val="1"/>
          <w:color w:val="auto"/>
        </w:rPr>
        <w:t>Intellectual Property Rights</w:t>
      </w:r>
      <w:r>
        <w:rPr>
          <w:rFonts w:ascii="Times New Roman" w:cs="Times New Roman" w:eastAsia="Times New Roman" w:hAnsi="Times New Roman"/>
          <w:sz w:val="17"/>
          <w:szCs w:val="17"/>
          <w:color w:val="auto"/>
        </w:rPr>
        <w:t>”), in each case, used in, or otherwise reasonably necessary to the conduct of their businesses as now operated by them; (ii) the registrations for Intellectual Property Rights owned by the Omada Entities are, to the Company’s knowledge, valid, subsisting, and enforceable, and there is no pending or, to the Company’s knowledge, in the past six (6) years, threatened action, suit, proceeding, or claim by others challenging in writing the validity, scope, or enforceability of any such registered Intellectual Property Rights;</w:t>
      </w:r>
    </w:p>
    <w:p>
      <w:pPr>
        <w:spacing w:after="0" w:line="7" w:lineRule="exact"/>
        <w:rPr>
          <w:rFonts w:ascii="Times New Roman" w:cs="Times New Roman" w:eastAsia="Times New Roman" w:hAnsi="Times New Roman"/>
          <w:sz w:val="17"/>
          <w:szCs w:val="17"/>
          <w:color w:val="auto"/>
        </w:rPr>
      </w:pPr>
    </w:p>
    <w:p>
      <w:pPr>
        <w:ind w:left="320" w:hanging="310"/>
        <w:spacing w:after="0"/>
        <w:tabs>
          <w:tab w:leader="none" w:pos="32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Omada Entities has received any written notice in</w:t>
      </w:r>
    </w:p>
    <w:p>
      <w:pPr>
        <w:spacing w:after="0" w:line="13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460"/>
          </w:cols>
          <w:pgMar w:left="920" w:top="268" w:right="519" w:bottom="1440" w:gutter="0" w:footer="0" w:header="0"/>
        </w:sectPr>
      </w:pPr>
    </w:p>
    <w:bookmarkStart w:id="346" w:name="page347"/>
    <w:bookmarkEnd w:id="346"/>
    <w:p>
      <w:pPr>
        <w:ind w:right="2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past six (6) years of any pending or threatened claims alleging any infringement, misappropriation, or other violation of third-party Intellectual Property Rights by the Omada Entities; (iv) to the Company’s knowledge, no third party is infringing, misappropriating, or otherwise violating, or has infringed, misappropriated or otherwise violated, any Intellectual Property Rights owned by any of the Omada Entities; (v) to the Company’s knowledge, none of the Omada Entities infringe, misappropriate, or otherwise violate, or in the past six (6) years, have infringed, misappropriated, or otherwise violated, any third-party Intellectual Property Rights; (vi) all employees or contractors engaged in the development of Intellectual Property Rights on behalf of any of the Omada Entities have executed an invention assignment agreement whereby such employees or contractors presently assign all of their right, title, and interest in and to such Intellectual Property Rights to the applicable Omada Entity to the extent such Intellectual Property Rights are not owned by the applicable Omada Entity by operation of applicable laws, and to the Company’s knowledge, no such agreement has been breached or violated; and (vii) the Omada Entities use, and have used, commercially reasonable efforts to maintain the confidentiality of all Intellectual Property Rights, the value of which to the Omada Entities is contingent upon maintaining the confidentiality thereof, and to the Company’s knowledge, no such confidential information has been disclosed other than pursuant to enforceable confidentiality agreements.</w:t>
      </w:r>
    </w:p>
    <w:p>
      <w:pPr>
        <w:spacing w:after="0" w:line="84" w:lineRule="exact"/>
        <w:rPr>
          <w:sz w:val="20"/>
          <w:szCs w:val="20"/>
          <w:color w:val="auto"/>
        </w:rPr>
      </w:pPr>
    </w:p>
    <w:p>
      <w:pPr>
        <w:ind w:firstLine="428"/>
        <w:spacing w:after="0" w:line="252" w:lineRule="auto"/>
        <w:tabs>
          <w:tab w:leader="none" w:pos="67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singly or in the aggregate, have a material adverse effect on the Omada Entities, taken as a whole, (i) the Omada Entities use and have used any and all third-party software and other materials distributed under a “free,” “open source,” or similar licensing model (including but not limited to the MIT License, Apache License, GNU General Public License, GNU Lesser General Public License, and GNU Affero General Public License) (collectively, “</w:t>
      </w:r>
      <w:r>
        <w:rPr>
          <w:rFonts w:ascii="Times New Roman" w:cs="Times New Roman" w:eastAsia="Times New Roman" w:hAnsi="Times New Roman"/>
          <w:sz w:val="18"/>
          <w:szCs w:val="18"/>
          <w:b w:val="1"/>
          <w:bCs w:val="1"/>
          <w:color w:val="auto"/>
        </w:rPr>
        <w:t>Open Source Software</w:t>
      </w:r>
      <w:r>
        <w:rPr>
          <w:rFonts w:ascii="Times New Roman" w:cs="Times New Roman" w:eastAsia="Times New Roman" w:hAnsi="Times New Roman"/>
          <w:sz w:val="18"/>
          <w:szCs w:val="18"/>
          <w:color w:val="auto"/>
        </w:rPr>
        <w:t>”) in compliance with the license terms applicable to such Open Source Software; and (ii) none of the Omada Entities use or distribute or have used or distributed any third-party Open Source Software in any manner that requires or has required (A) any of the Omada Entities to permit reverse engineering of any software code or other technology owned by any Omada Entity or (B) any software code or other technology owned by any Omada Entity to be (1) disclosed or distributed in source code form, (2) licensed for the purpose of making derivative works, or (3) redistributed at no charge.</w:t>
      </w:r>
    </w:p>
    <w:p>
      <w:pPr>
        <w:spacing w:after="0" w:line="78" w:lineRule="exact"/>
        <w:rPr>
          <w:rFonts w:ascii="Times New Roman" w:cs="Times New Roman" w:eastAsia="Times New Roman" w:hAnsi="Times New Roman"/>
          <w:sz w:val="18"/>
          <w:szCs w:val="18"/>
          <w:color w:val="auto"/>
        </w:rPr>
      </w:pPr>
    </w:p>
    <w:p>
      <w:pPr>
        <w:ind w:right="60" w:firstLine="428"/>
        <w:spacing w:after="0" w:line="252" w:lineRule="auto"/>
        <w:tabs>
          <w:tab w:leader="none" w:pos="66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material adverse effect or as described in each of the Registration Statement, the Time of Sale Prospectus, and the Prospectus, (i) each of the Omada Entities has during the past three (3) years complied, and is presently in compliance, with all published privacy policies, contractual obligations of the Omada Entities, binding industry standards, applicable laws and statutes, judgments and orders binding on the Omada Entities, and applicable binding rules and regulations of any court or arbitrator or other governmental or regulatory authority, in each case, relating to the collection, use, transfer, import, export, storage, protection, disposal, disclosure, or other processing (collectively, “</w:t>
      </w:r>
      <w:r>
        <w:rPr>
          <w:rFonts w:ascii="Times New Roman" w:cs="Times New Roman" w:eastAsia="Times New Roman" w:hAnsi="Times New Roman"/>
          <w:sz w:val="18"/>
          <w:szCs w:val="18"/>
          <w:b w:val="1"/>
          <w:bCs w:val="1"/>
          <w:color w:val="auto"/>
        </w:rPr>
        <w:t>Processing</w:t>
      </w:r>
      <w:r>
        <w:rPr>
          <w:rFonts w:ascii="Times New Roman" w:cs="Times New Roman" w:eastAsia="Times New Roman" w:hAnsi="Times New Roman"/>
          <w:sz w:val="18"/>
          <w:szCs w:val="18"/>
          <w:color w:val="auto"/>
        </w:rPr>
        <w:t>”) by any of the Omada Entities of personal, personally identifiable, household, sensitive, confidential, or</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460"/>
          </w:cols>
          <w:pgMar w:left="920" w:top="268" w:right="519" w:bottom="1440" w:gutter="0" w:footer="0" w:header="0"/>
        </w:sectPr>
      </w:pPr>
    </w:p>
    <w:bookmarkStart w:id="347" w:name="page348"/>
    <w:bookmarkEnd w:id="347"/>
    <w:p>
      <w:pPr>
        <w:ind w:right="5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regulated data (“</w:t>
      </w:r>
      <w:r>
        <w:rPr>
          <w:rFonts w:ascii="Times New Roman" w:cs="Times New Roman" w:eastAsia="Times New Roman" w:hAnsi="Times New Roman"/>
          <w:sz w:val="17"/>
          <w:szCs w:val="17"/>
          <w:b w:val="1"/>
          <w:bCs w:val="1"/>
          <w:color w:val="auto"/>
        </w:rPr>
        <w:t>Data Security Obligations,</w:t>
      </w:r>
      <w:r>
        <w:rPr>
          <w:rFonts w:ascii="Times New Roman" w:cs="Times New Roman" w:eastAsia="Times New Roman" w:hAnsi="Times New Roman"/>
          <w:sz w:val="17"/>
          <w:szCs w:val="17"/>
          <w:color w:val="auto"/>
        </w:rPr>
        <w:t>” and such data, “</w:t>
      </w:r>
      <w:r>
        <w:rPr>
          <w:rFonts w:ascii="Times New Roman" w:cs="Times New Roman" w:eastAsia="Times New Roman" w:hAnsi="Times New Roman"/>
          <w:sz w:val="17"/>
          <w:szCs w:val="17"/>
          <w:b w:val="1"/>
          <w:bCs w:val="1"/>
          <w:color w:val="auto"/>
        </w:rPr>
        <w:t>Data</w:t>
      </w:r>
      <w:r>
        <w:rPr>
          <w:rFonts w:ascii="Times New Roman" w:cs="Times New Roman" w:eastAsia="Times New Roman" w:hAnsi="Times New Roman"/>
          <w:sz w:val="17"/>
          <w:szCs w:val="17"/>
          <w:color w:val="auto"/>
        </w:rPr>
        <w:t>”); (ii) during the past three (3) years, none of the Omada Entities have received any written notification of or complaint regarding non-compliance by any Omada Entity with any Data Security Obligation; and</w:t>
      </w:r>
    </w:p>
    <w:p>
      <w:pPr>
        <w:spacing w:after="0" w:line="1" w:lineRule="exact"/>
        <w:rPr>
          <w:sz w:val="20"/>
          <w:szCs w:val="20"/>
          <w:color w:val="auto"/>
        </w:rPr>
      </w:pPr>
    </w:p>
    <w:p>
      <w:pPr>
        <w:jc w:val="both"/>
        <w:ind w:firstLine="10"/>
        <w:spacing w:after="0" w:line="251" w:lineRule="auto"/>
        <w:tabs>
          <w:tab w:leader="none" w:pos="31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past three (3) years, there has been no action, suit, or proceeding by or before any court or governmental agency, authority, or body pending or threatened alleging non-compliance with any Data Security Obligation, or, to the knowledge of the Company, any investigation by any governmental authority relating to the practices of any Omada Entity relating to any Data Security Obligations.</w:t>
      </w:r>
    </w:p>
    <w:p>
      <w:pPr>
        <w:spacing w:after="0" w:line="79" w:lineRule="exact"/>
        <w:rPr>
          <w:rFonts w:ascii="Times New Roman" w:cs="Times New Roman" w:eastAsia="Times New Roman" w:hAnsi="Times New Roman"/>
          <w:sz w:val="18"/>
          <w:szCs w:val="18"/>
          <w:color w:val="auto"/>
        </w:rPr>
      </w:pPr>
    </w:p>
    <w:p>
      <w:pPr>
        <w:ind w:firstLine="428"/>
        <w:spacing w:after="0" w:line="250" w:lineRule="auto"/>
        <w:tabs>
          <w:tab w:leader="none" w:pos="74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material adverse effect or as described in each of the Registration Statement, the Time of Sale Prospectus, and the Prospectus: (i) each of the Omada Entities has implemented commercially reasonable technical and organizational measures designed to protect the information technology assets, equipment, computers, systems, networks, hardware, software, websites, applications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and Data used in connection with the operation of the Omada Entities’ businesses; (ii) the Omada Entities’ IT Systems and Data are adequate for, and operate and perform in all respects as required in connection with the operation of the respective businesses of the Omada Entities and, to the knowledge of the Company, are in each case, free and clear of all bugs, errors, defects, Trojan horses, time bombs, malware, and other corruptants; (iii) without limiting the foregoing, the Omada Entities have used commercially reasonable efforts to establish and maintain, and have established, maintained, implemented, and complied with, commercially reasonable information technology, information security, cyber security and data protection controls, policies, and procedures, including oversight, access controls, encryption, technological and physical safeguards, and business continuity/disaster recovery and security plans that are designed to protect against and prevent breach, destruction, loss, disablement or unauthorized Processing of, or security incidents relating to, any IT Systems or Data used in connection with the operation of the Omada Entities’ businesses (“</w:t>
      </w:r>
      <w:r>
        <w:rPr>
          <w:rFonts w:ascii="Times New Roman" w:cs="Times New Roman" w:eastAsia="Times New Roman" w:hAnsi="Times New Roman"/>
          <w:sz w:val="18"/>
          <w:szCs w:val="18"/>
          <w:b w:val="1"/>
          <w:bCs w:val="1"/>
          <w:color w:val="auto"/>
        </w:rPr>
        <w:t>Breach</w:t>
      </w:r>
      <w:r>
        <w:rPr>
          <w:rFonts w:ascii="Times New Roman" w:cs="Times New Roman" w:eastAsia="Times New Roman" w:hAnsi="Times New Roman"/>
          <w:sz w:val="18"/>
          <w:szCs w:val="18"/>
          <w:color w:val="auto"/>
        </w:rPr>
        <w:t>”); and (iv) during the past three (3) years, there has been no such Breach, and the Omada Entities have not been notified in writing of any facts, event, or condition that, individually or in the aggregate, would reasonably be expected to result in, any such Breach.</w:t>
      </w:r>
    </w:p>
    <w:p>
      <w:pPr>
        <w:spacing w:after="0" w:line="8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 material labor dispute with the employees of any Omada Entity exists, or, to the knowledge of the Company, is imminent; and</w:t>
      </w:r>
    </w:p>
    <w:p>
      <w:pPr>
        <w:spacing w:after="0" w:line="25" w:lineRule="exact"/>
        <w:rPr>
          <w:rFonts w:ascii="Times New Roman" w:cs="Times New Roman" w:eastAsia="Times New Roman" w:hAnsi="Times New Roman"/>
          <w:sz w:val="18"/>
          <w:szCs w:val="18"/>
          <w:color w:val="auto"/>
        </w:rPr>
      </w:pPr>
    </w:p>
    <w:p>
      <w:pPr>
        <w:ind w:right="40" w:firstLine="10"/>
        <w:spacing w:after="0" w:line="251" w:lineRule="auto"/>
        <w:tabs>
          <w:tab w:leader="none" w:pos="262"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aware of any existing, threatened or imminent labor disturbance by the employees of any of its principal suppliers, manufacturers, or contractors, in each case, that would, singly or in the aggregate, reasonably be expected to have a material adverse effect on the Omada Entities, taken as a whole.</w:t>
      </w:r>
    </w:p>
    <w:p>
      <w:pPr>
        <w:spacing w:after="0" w:line="79" w:lineRule="exact"/>
        <w:rPr>
          <w:rFonts w:ascii="Times New Roman" w:cs="Times New Roman" w:eastAsia="Times New Roman" w:hAnsi="Times New Roman"/>
          <w:sz w:val="18"/>
          <w:szCs w:val="18"/>
          <w:color w:val="auto"/>
        </w:rPr>
      </w:pPr>
    </w:p>
    <w:p>
      <w:pPr>
        <w:ind w:right="380" w:firstLine="428"/>
        <w:spacing w:after="0" w:line="262" w:lineRule="auto"/>
        <w:tabs>
          <w:tab w:leader="none" w:pos="74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Omada Entities is insured by insurers of recognized financial responsibility against such losses and risks and in such amounts as are, in the reasonable judgment of the Company, prudent and customary in the businesses in which they are engaged; none of the Omada Entities have been refused any</w:t>
      </w:r>
    </w:p>
    <w:p>
      <w:pPr>
        <w:spacing w:after="0" w:line="11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420"/>
          </w:cols>
          <w:pgMar w:left="920" w:top="264" w:right="559" w:bottom="1440" w:gutter="0" w:footer="0" w:header="0"/>
        </w:sectPr>
      </w:pPr>
    </w:p>
    <w:bookmarkStart w:id="348" w:name="page349"/>
    <w:bookmarkEnd w:id="348"/>
    <w:p>
      <w:pPr>
        <w:ind w:right="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insurance coverage sought or applied for; and none of the Omada Entities have any reason to believe that it will not be able to renew its existing insurance coverage as and when such coverage expires or to obtain similar coverage from similar insurers as may be necessary to continue its business at a cost that would not, singly or in the aggregate, reasonably be expected to have a material adverse effect on the Omada Entities, taken as a whole.</w:t>
      </w:r>
    </w:p>
    <w:p>
      <w:pPr>
        <w:spacing w:after="0" w:line="75" w:lineRule="exact"/>
        <w:rPr>
          <w:sz w:val="20"/>
          <w:szCs w:val="20"/>
          <w:color w:val="auto"/>
        </w:rPr>
      </w:pPr>
    </w:p>
    <w:p>
      <w:pPr>
        <w:ind w:firstLine="428"/>
        <w:spacing w:after="0" w:line="252" w:lineRule="auto"/>
        <w:tabs>
          <w:tab w:leader="none" w:pos="7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Omada Entities and, to the Company’s knowledge, PPTG, possesses all permits, franchises, approvals, orders, authorizations, consents, licenses, certificates, notices, exemption of, or filings or registrations issued by the appropriate federal, state, or foreign regulatory authorities (the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necessary to conduct their respective businesses, except where the failure to possess or make the same would not, singly or in the aggregate, have a material adverse effect; and none of the Omada Entities or, to the Company’s knowledge, PPTG, have received any written notice of proceedings relating to the revocation or modification of any such Permit or has any reason to believe that any such Permit will not be renewed in the ordinary course, except where such revocation or modification would not, singly or in the aggregate, have a material adverse effect.</w:t>
      </w:r>
    </w:p>
    <w:p>
      <w:pPr>
        <w:spacing w:after="0" w:line="81" w:lineRule="exact"/>
        <w:rPr>
          <w:rFonts w:ascii="Times New Roman" w:cs="Times New Roman" w:eastAsia="Times New Roman" w:hAnsi="Times New Roman"/>
          <w:sz w:val="18"/>
          <w:szCs w:val="18"/>
          <w:color w:val="auto"/>
        </w:rPr>
      </w:pPr>
    </w:p>
    <w:p>
      <w:pPr>
        <w:ind w:right="80" w:firstLine="428"/>
        <w:spacing w:after="0" w:line="251" w:lineRule="auto"/>
        <w:tabs>
          <w:tab w:leader="none" w:pos="7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singly or in the aggregate, reasonably be expected to have a material adverse effect, the research studies and trials conducted by or on behalf of, or sponsored by, the Omada Entities, or in which any of the Omada Entities has participated, that are described in the Registration Statement, the Time of Sale Prospectus, and the Prospectus, or the results of which are referred to in the Registration Statement, the Time of Sale Prospectus, and the Prospectus, as applicable, were, and if still pending, are being conducted in accordance with all applicable Healthcare Laws; and the Omada Entities have not received any written notices or correspondence from the U.S. Food and Drug Administration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or any other foreign, state, or local governmental body exercising comparable authority or any institutional review board or comparable authority requiring or threatening the premature termination, suspension, material modification, or clinical hold of any research studies or trials conducted by or on behalf of, or sponsored by, any Omada Entity or in which any of the Omada Entities has participated that are described in the Registration Statement, the Time of Sale Prospectus, and the Prospectus, and, to the Company’s knowledge, there are no reasonable grounds for the same.</w:t>
      </w:r>
    </w:p>
    <w:p>
      <w:pPr>
        <w:spacing w:after="0" w:line="79" w:lineRule="exact"/>
        <w:rPr>
          <w:rFonts w:ascii="Times New Roman" w:cs="Times New Roman" w:eastAsia="Times New Roman" w:hAnsi="Times New Roman"/>
          <w:sz w:val="18"/>
          <w:szCs w:val="18"/>
          <w:color w:val="auto"/>
        </w:rPr>
      </w:pPr>
    </w:p>
    <w:p>
      <w:pPr>
        <w:ind w:right="140" w:firstLine="428"/>
        <w:spacing w:after="0" w:line="273" w:lineRule="auto"/>
        <w:tabs>
          <w:tab w:leader="none" w:pos="697"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statements included in each of the Registration Statement, the Time of Sale Prospectus,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consolidated entities as of the dates shown and its results of operations and cash flows for the periods shown, and such financial statements have been prepared in conformity with generally accepted accounting principles in the United States (“</w:t>
      </w:r>
      <w:r>
        <w:rPr>
          <w:rFonts w:ascii="Times New Roman" w:cs="Times New Roman" w:eastAsia="Times New Roman" w:hAnsi="Times New Roman"/>
          <w:sz w:val="17"/>
          <w:szCs w:val="17"/>
          <w:b w:val="1"/>
          <w:bCs w:val="1"/>
          <w:color w:val="auto"/>
        </w:rPr>
        <w:t>U.S. GAAP</w:t>
      </w:r>
      <w:r>
        <w:rPr>
          <w:rFonts w:ascii="Times New Roman" w:cs="Times New Roman" w:eastAsia="Times New Roman" w:hAnsi="Times New Roman"/>
          <w:sz w:val="17"/>
          <w:szCs w:val="17"/>
          <w:color w:val="auto"/>
        </w:rPr>
        <w:t>”) applied on a consistent basis throughout the periods covered</w:t>
      </w:r>
    </w:p>
    <w:p>
      <w:pPr>
        <w:spacing w:after="0" w:line="10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460"/>
          </w:cols>
          <w:pgMar w:left="920" w:top="268" w:right="519" w:bottom="1440" w:gutter="0" w:footer="0" w:header="0"/>
        </w:sectPr>
      </w:pPr>
    </w:p>
    <w:bookmarkStart w:id="349" w:name="page350"/>
    <w:bookmarkEnd w:id="34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thereby except for any normal year-end adjustments in the Company’s quarterly financial statements. The other financial information included in each of the Registration Statement, the Time of Sale Prospectus, and the Prospectus has been derived from the accounting records of the Company and its consolidated entities and presents fairly in all material respects the information shown thereby. The statistical, industry-related, and market-related data included in each of the Registration Statement, the Time of Sale Prospectus, and the Prospectus are based on or derived from sources which the Company reasonably and in good faith believes are reliable and accurate and such data is consistent with the sources from which they are derived, in each case in all material respects.</w:t>
      </w:r>
    </w:p>
    <w:p>
      <w:pPr>
        <w:spacing w:after="0" w:line="80" w:lineRule="exact"/>
        <w:rPr>
          <w:sz w:val="20"/>
          <w:szCs w:val="20"/>
          <w:color w:val="auto"/>
        </w:rPr>
      </w:pPr>
    </w:p>
    <w:p>
      <w:pPr>
        <w:ind w:right="80" w:firstLine="428"/>
        <w:spacing w:after="0" w:line="255" w:lineRule="auto"/>
        <w:tabs>
          <w:tab w:leader="none" w:pos="76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Deloitte &amp; Touche LLP, who have certified certain financial statements of the Company and its consolidated entities and delivered its report with respect to the audited consolidated financial statements and schedules filed with the Commission as part of the Registration Statement and included in each of the Registration Statement, the Time of Sale Prospectus, and the Prospectus, is an independent registered public accounting firm with respect to the Company and its consolidated entities within the meaning of the Securities Act and the applicable rules and regulations thereunder adopted by the Commission and the Public Company Accounting Oversight Board (United States).</w:t>
      </w:r>
    </w:p>
    <w:p>
      <w:pPr>
        <w:spacing w:after="0" w:line="75"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Omada Entities maintains a system of internal accounting controls designed to provide reasonable assurance that</w:t>
      </w:r>
    </w:p>
    <w:p>
      <w:pPr>
        <w:spacing w:after="0" w:line="25" w:lineRule="exact"/>
        <w:rPr>
          <w:rFonts w:ascii="Times New Roman" w:cs="Times New Roman" w:eastAsia="Times New Roman" w:hAnsi="Times New Roman"/>
          <w:sz w:val="18"/>
          <w:szCs w:val="18"/>
          <w:color w:val="auto"/>
        </w:rPr>
      </w:pPr>
    </w:p>
    <w:p>
      <w:pPr>
        <w:ind w:firstLine="10"/>
        <w:spacing w:after="0" w:line="248" w:lineRule="auto"/>
        <w:tabs>
          <w:tab w:leader="none" w:pos="21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described in each of the Registration Statement, the Time of Sale Prospectus, and the Prospectus, since the end of the Company’s most recent audited fiscal year, there has been (x) no material weakness in the Company’s internal control over financial reporting (whether or not remediated) and (y) no change in the Company’s internal control over financial reporting that has materially affected, or is reasonably likely to materially affect, the Company’s internal control over financial reporting (it being understood that nothing in this subsection shall require the Company to comply with Section 404 of the Sarbanes-Oxley Act of 2002, as amended, and the rules and regulations promulgated in connection therewith as of an earlier date than it would otherwise be required to do so under applicable law).</w:t>
      </w:r>
    </w:p>
    <w:p>
      <w:pPr>
        <w:spacing w:after="0" w:line="86" w:lineRule="exact"/>
        <w:rPr>
          <w:rFonts w:ascii="Times New Roman" w:cs="Times New Roman" w:eastAsia="Times New Roman" w:hAnsi="Times New Roman"/>
          <w:sz w:val="18"/>
          <w:szCs w:val="18"/>
          <w:color w:val="auto"/>
        </w:rPr>
      </w:pPr>
    </w:p>
    <w:p>
      <w:pPr>
        <w:ind w:right="220" w:firstLine="428"/>
        <w:spacing w:after="0" w:line="285" w:lineRule="auto"/>
        <w:tabs>
          <w:tab w:leader="none" w:pos="681"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9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460"/>
          </w:cols>
          <w:pgMar w:left="920" w:top="267" w:right="519" w:bottom="1440" w:gutter="0" w:footer="0" w:header="0"/>
        </w:sectPr>
      </w:pPr>
    </w:p>
    <w:bookmarkStart w:id="350" w:name="page351"/>
    <w:bookmarkEnd w:id="350"/>
    <w:p>
      <w:pPr>
        <w:ind w:right="20" w:firstLine="428"/>
        <w:spacing w:after="0" w:line="268" w:lineRule="auto"/>
        <w:tabs>
          <w:tab w:leader="none" w:pos="681"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Except as described in each of the Registration Statement, the Time of Sale Prospectus, and the Prospectus, each of the Omada Entities has filed all federal, state, local, and foreign tax returns required to be filed through the date of this Agreement or has requested extensions thereof (except where the failure to file would not, singly or in the aggregate, have a material adverse effect on the Omada Entities, taken as a whole) and has paid all taxes required to be paid thereon (except for cases in which the failure to file or pay would not, singly or in the aggregate, have a material adverse effect on the Omada Entities, taken as a whole, or, except as currently being contested in good faith and for which reserves required by U.S. GAAP have been created in the financial statements of the Company), and no tax deficiency has been determined adversely to any of the Omada Entities which has not been fully paid or otherwise resolved or which, singly or in the aggregate, has had (nor does any Omada Entity have any notice or knowledge of any tax deficiency which could reasonably be expected to be determined adversely to any Omada Entity and which could reasonably be expected to have) a material adverse effect on the Omada Entities, taken as a whole.</w:t>
      </w:r>
    </w:p>
    <w:p>
      <w:pPr>
        <w:spacing w:after="0" w:line="65" w:lineRule="exact"/>
        <w:rPr>
          <w:rFonts w:ascii="Times New Roman" w:cs="Times New Roman" w:eastAsia="Times New Roman" w:hAnsi="Times New Roman"/>
          <w:sz w:val="17"/>
          <w:szCs w:val="17"/>
          <w:color w:val="auto"/>
        </w:rPr>
      </w:pPr>
    </w:p>
    <w:p>
      <w:pPr>
        <w:ind w:firstLine="428"/>
        <w:spacing w:after="0" w:line="257" w:lineRule="auto"/>
        <w:tabs>
          <w:tab w:leader="none" w:pos="7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time of initial confidential submission of the Registration Statement to the Commission through the date hereof, the Company has been and is an “emerging growth company,” as defined in Section 2(a) of the Securities Act (an “</w:t>
      </w:r>
      <w:r>
        <w:rPr>
          <w:rFonts w:ascii="Times New Roman" w:cs="Times New Roman" w:eastAsia="Times New Roman" w:hAnsi="Times New Roman"/>
          <w:sz w:val="18"/>
          <w:szCs w:val="18"/>
          <w:b w:val="1"/>
          <w:bCs w:val="1"/>
          <w:color w:val="auto"/>
        </w:rPr>
        <w:t>Emerging Growth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means any communication with potential investors undertaken in reliance on Section 5(d) or Rule 163B of the Securities Act.</w:t>
      </w:r>
    </w:p>
    <w:p>
      <w:pPr>
        <w:spacing w:after="0" w:line="75" w:lineRule="exact"/>
        <w:rPr>
          <w:rFonts w:ascii="Times New Roman" w:cs="Times New Roman" w:eastAsia="Times New Roman" w:hAnsi="Times New Roman"/>
          <w:sz w:val="18"/>
          <w:szCs w:val="18"/>
          <w:color w:val="auto"/>
        </w:rPr>
      </w:pPr>
    </w:p>
    <w:p>
      <w:pPr>
        <w:ind w:right="20" w:firstLine="428"/>
        <w:spacing w:after="0" w:line="252" w:lineRule="auto"/>
        <w:tabs>
          <w:tab w:leader="none" w:pos="681"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has not alone engaged in any Testing-the-Waters Communication other than Testing-the-Waters Communications with the consent of the Representatives with entities that are reasonably believed to be qualified institutional buyers within the meaning of Rule 144A under the Securities Act or institutions that are reasonably believed to be accredited investors within the meaning of Rule 501 under the Securities Act and (ii) has not authorized anyone other than the Representatives and another bank previously identified to the Representatives (together, the “</w:t>
      </w:r>
      <w:r>
        <w:rPr>
          <w:rFonts w:ascii="Times New Roman" w:cs="Times New Roman" w:eastAsia="Times New Roman" w:hAnsi="Times New Roman"/>
          <w:sz w:val="18"/>
          <w:szCs w:val="18"/>
          <w:b w:val="1"/>
          <w:bCs w:val="1"/>
          <w:color w:val="auto"/>
        </w:rPr>
        <w:t>Authorized Underwriters</w:t>
      </w:r>
      <w:r>
        <w:rPr>
          <w:rFonts w:ascii="Times New Roman" w:cs="Times New Roman" w:eastAsia="Times New Roman" w:hAnsi="Times New Roman"/>
          <w:sz w:val="18"/>
          <w:szCs w:val="18"/>
          <w:color w:val="auto"/>
        </w:rPr>
        <w:t>”) to engage in Testing-the-Waters Communications. The Company reconfirms that the Authorized Underwriters have been authorized to act on its behalf in undertaking Testing-the-Waters Communications. The Company has not distributed any Testing-the-Waters Communication that is a written communication within the meaning of Rule 405 under the Securities Act other than those listed on Schedule III hereto.</w:t>
      </w:r>
    </w:p>
    <w:p>
      <w:pPr>
        <w:spacing w:after="0" w:line="78" w:lineRule="exact"/>
        <w:rPr>
          <w:rFonts w:ascii="Times New Roman" w:cs="Times New Roman" w:eastAsia="Times New Roman" w:hAnsi="Times New Roman"/>
          <w:sz w:val="18"/>
          <w:szCs w:val="18"/>
          <w:color w:val="auto"/>
        </w:rPr>
      </w:pPr>
    </w:p>
    <w:p>
      <w:pPr>
        <w:ind w:right="20" w:firstLine="428"/>
        <w:spacing w:after="0" w:line="255" w:lineRule="auto"/>
        <w:tabs>
          <w:tab w:leader="none" w:pos="85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time of each sale of the Shares in connection with the offering when the Prospectus is not yet available to prospective purchasers, none of (A) the Time of Sale Prospectus, (B) any free writing prospectus, when considered together with the Time of Sale Prospectus, and (C)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440"/>
          </w:cols>
          <w:pgMar w:left="920" w:top="268" w:right="539" w:bottom="1440" w:gutter="0" w:footer="0" w:header="0"/>
        </w:sectPr>
      </w:pPr>
    </w:p>
    <w:bookmarkStart w:id="351" w:name="page352"/>
    <w:bookmarkEnd w:id="351"/>
    <w:p>
      <w:pPr>
        <w:ind w:firstLine="428"/>
        <w:spacing w:after="0" w:line="249" w:lineRule="auto"/>
        <w:tabs>
          <w:tab w:leader="none" w:pos="7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 Each employee benefit plan, within the meaning of Section 3(3) of the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 (c), (m), or (o)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would have any liability (each, a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to be funded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(viii)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Omada Entities’ “accumulated post-retirement benefit obligations” (within the meaning of Accounting Standards Codification Topic 715-60) compared to the amount of such obligations in the Omada Entities’ most recently completed fiscal year, except in each case with respect to the events or conditions set forth in (i) through (viii) hereof, as would not, individually or in the aggregate, have a material adverse effect.</w:t>
      </w:r>
    </w:p>
    <w:p>
      <w:pPr>
        <w:spacing w:after="0" w:line="1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440"/>
          </w:cols>
          <w:pgMar w:left="920" w:top="268" w:right="539" w:bottom="1440" w:gutter="0" w:footer="0" w:header="0"/>
        </w:sectPr>
      </w:pPr>
    </w:p>
    <w:bookmarkStart w:id="352" w:name="page353"/>
    <w:bookmarkEnd w:id="352"/>
    <w:p>
      <w:pPr>
        <w:ind w:left="420" w:firstLine="428"/>
        <w:spacing w:after="0" w:line="270" w:lineRule="auto"/>
        <w:tabs>
          <w:tab w:leader="none" w:pos="1180" w:val="left"/>
        </w:tabs>
        <w:numPr>
          <w:ilvl w:val="1"/>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The holders of shares of Common Stock or securities convertible into or exercisable or exchangeable for Common Stock that have not delivered executed lock-up agreements (as described in Section 5(g) to the Representatives as of the date hereof are bound by market standoff provisions with the Company that impose restrictions with respect to such holder’s securities during the Restricted Period (as defined below) without the consent of the Company (“</w:t>
      </w:r>
      <w:r>
        <w:rPr>
          <w:rFonts w:ascii="Times New Roman" w:cs="Times New Roman" w:eastAsia="Times New Roman" w:hAnsi="Times New Roman"/>
          <w:sz w:val="17"/>
          <w:szCs w:val="17"/>
          <w:b w:val="1"/>
          <w:bCs w:val="1"/>
          <w:color w:val="auto"/>
        </w:rPr>
        <w:t>Market Standoff Provisions</w:t>
      </w:r>
      <w:r>
        <w:rPr>
          <w:rFonts w:ascii="Times New Roman" w:cs="Times New Roman" w:eastAsia="Times New Roman" w:hAnsi="Times New Roman"/>
          <w:sz w:val="17"/>
          <w:szCs w:val="17"/>
          <w:color w:val="auto"/>
        </w:rPr>
        <w:t>”) that are enforceable by the Company. Each such Market Standoff Provision is in full force and effect as of the date hereof and shall remain in full force and effect during the Restricted Period, except that this provision shall not prevent the Company from effecting such a waiver or amendment to permit a transfer of securities which would be permissible if such securities were subject to the terms of the lock-up agreement in the form attached as Exhibit A hereto (the “</w:t>
      </w:r>
      <w:r>
        <w:rPr>
          <w:rFonts w:ascii="Times New Roman" w:cs="Times New Roman" w:eastAsia="Times New Roman" w:hAnsi="Times New Roman"/>
          <w:sz w:val="17"/>
          <w:szCs w:val="17"/>
          <w:b w:val="1"/>
          <w:bCs w:val="1"/>
          <w:color w:val="auto"/>
        </w:rPr>
        <w:t>Lock-up Agreement</w:t>
      </w:r>
      <w:r>
        <w:rPr>
          <w:rFonts w:ascii="Times New Roman" w:cs="Times New Roman" w:eastAsia="Times New Roman" w:hAnsi="Times New Roman"/>
          <w:sz w:val="17"/>
          <w:szCs w:val="17"/>
          <w:color w:val="auto"/>
        </w:rPr>
        <w:t>”).</w:t>
      </w:r>
    </w:p>
    <w:p>
      <w:pPr>
        <w:spacing w:after="0" w:line="168" w:lineRule="exact"/>
        <w:rPr>
          <w:rFonts w:ascii="Times New Roman" w:cs="Times New Roman" w:eastAsia="Times New Roman" w:hAnsi="Times New Roman"/>
          <w:sz w:val="17"/>
          <w:szCs w:val="17"/>
          <w:color w:val="auto"/>
        </w:rPr>
      </w:pPr>
    </w:p>
    <w:p>
      <w:pPr>
        <w:jc w:val="both"/>
        <w:ind w:right="100" w:firstLine="430"/>
        <w:spacing w:after="0" w:line="286" w:lineRule="auto"/>
        <w:tabs>
          <w:tab w:leader="none" w:pos="614"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Agreements to Sell and Purchase. </w:t>
      </w:r>
      <w:r>
        <w:rPr>
          <w:rFonts w:ascii="Times New Roman" w:cs="Times New Roman" w:eastAsia="Times New Roman" w:hAnsi="Times New Roman"/>
          <w:sz w:val="17"/>
          <w:szCs w:val="17"/>
          <w:color w:val="auto"/>
        </w:rPr>
        <w:t>The Company hereby agrees to sell to the several Underwriters, and each Underwriter, upon the basis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representations and warranties herein contained, but subject to the terms and conditions hereinafter stated, agrees, severally and not jointly, to purchase from the Company, the respective numbers of Firm Shares set forth in Schedule I hereto opposite its name at $[•] a share (the “</w:t>
      </w:r>
      <w:r>
        <w:rPr>
          <w:rFonts w:ascii="Times New Roman" w:cs="Times New Roman" w:eastAsia="Times New Roman" w:hAnsi="Times New Roman"/>
          <w:sz w:val="17"/>
          <w:szCs w:val="17"/>
          <w:b w:val="1"/>
          <w:bCs w:val="1"/>
          <w:color w:val="auto"/>
        </w:rPr>
        <w:t>Purchase Price</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firstLine="436"/>
        <w:spacing w:after="0" w:line="250" w:lineRule="auto"/>
        <w:rPr>
          <w:sz w:val="20"/>
          <w:szCs w:val="20"/>
          <w:color w:val="auto"/>
        </w:rPr>
      </w:pPr>
      <w:r>
        <w:rPr>
          <w:rFonts w:ascii="Times New Roman" w:cs="Times New Roman" w:eastAsia="Times New Roman" w:hAnsi="Times New Roman"/>
          <w:sz w:val="18"/>
          <w:szCs w:val="18"/>
          <w:color w:val="auto"/>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or later than ten business days after the date of such notice. Additional Shares may be purchased as provided in Section 4 hereof solely for the purpose of covering over-allotments made in connection with the offering of the Firm Shares. On each day, if any, that Additional Shares are to be purchased (an “</w:t>
      </w:r>
      <w:r>
        <w:rPr>
          <w:rFonts w:ascii="Times New Roman" w:cs="Times New Roman" w:eastAsia="Times New Roman" w:hAnsi="Times New Roman"/>
          <w:sz w:val="18"/>
          <w:szCs w:val="18"/>
          <w:b w:val="1"/>
          <w:bCs w:val="1"/>
          <w:color w:val="auto"/>
        </w:rPr>
        <w:t>Option Closing Date</w:t>
      </w:r>
      <w:r>
        <w:rPr>
          <w:rFonts w:ascii="Times New Roman" w:cs="Times New Roman" w:eastAsia="Times New Roman" w:hAnsi="Times New Roman"/>
          <w:sz w:val="18"/>
          <w:szCs w:val="18"/>
          <w:color w:val="auto"/>
        </w:rPr>
        <w:t>”),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spacing w:after="0" w:line="187" w:lineRule="exact"/>
        <w:rPr>
          <w:sz w:val="20"/>
          <w:szCs w:val="20"/>
          <w:color w:val="auto"/>
        </w:rPr>
      </w:pPr>
    </w:p>
    <w:p>
      <w:pPr>
        <w:ind w:firstLine="430"/>
        <w:spacing w:after="0" w:line="255" w:lineRule="auto"/>
        <w:tabs>
          <w:tab w:leader="none" w:pos="61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of Public Offering</w:t>
      </w:r>
      <w:r>
        <w:rPr>
          <w:rFonts w:ascii="Times New Roman" w:cs="Times New Roman" w:eastAsia="Times New Roman" w:hAnsi="Times New Roman"/>
          <w:sz w:val="18"/>
          <w:szCs w:val="18"/>
          <w:color w:val="auto"/>
        </w:rPr>
        <w:t>. The Company is advised by the Representatives that the Underwriters propose to make a public offering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portions of the Shares as soon after the Registration Statement and this Agreement have become effective as in the Representatives’ judgment is advisable. The Company is further advised by the Representatives that the Shares are to be offered to the public initially at $[•] a share (the “</w:t>
      </w:r>
      <w:r>
        <w:rPr>
          <w:rFonts w:ascii="Times New Roman" w:cs="Times New Roman" w:eastAsia="Times New Roman" w:hAnsi="Times New Roman"/>
          <w:sz w:val="18"/>
          <w:szCs w:val="18"/>
          <w:b w:val="1"/>
          <w:b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Offering Price</w:t>
      </w:r>
      <w:r>
        <w:rPr>
          <w:rFonts w:ascii="Times New Roman" w:cs="Times New Roman" w:eastAsia="Times New Roman" w:hAnsi="Times New Roman"/>
          <w:sz w:val="18"/>
          <w:szCs w:val="18"/>
          <w:color w:val="auto"/>
        </w:rPr>
        <w:t>”) and to certain dealers selected by the Representatives at a price that represents a concession not in excess of $[•] a share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Offering Price.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60"/>
          </w:cols>
          <w:pgMar w:left="500" w:top="267" w:right="539" w:bottom="1440" w:gutter="0" w:footer="0" w:header="0"/>
        </w:sectPr>
      </w:pPr>
    </w:p>
    <w:bookmarkStart w:id="353" w:name="page354"/>
    <w:bookmarkEnd w:id="353"/>
    <w:p>
      <w:pPr>
        <w:ind w:right="20" w:firstLine="430"/>
        <w:spacing w:after="0" w:line="258" w:lineRule="auto"/>
        <w:tabs>
          <w:tab w:leader="none" w:pos="61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Payment and Delivery. </w:t>
      </w:r>
      <w:r>
        <w:rPr>
          <w:rFonts w:ascii="Times New Roman" w:cs="Times New Roman" w:eastAsia="Times New Roman" w:hAnsi="Times New Roman"/>
          <w:sz w:val="18"/>
          <w:szCs w:val="18"/>
          <w:color w:val="auto"/>
        </w:rPr>
        <w:t>Payment for the Firm Shares shall be made to the Company in Federal or other funds immediately available in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York City against delivery of such Firm Shares for the respective accounts of the several Underwriters at 10:00 a.m., New York City time, on [•], 2025, or at such other time on the same or such other date, not later than [•], 2025, as shall be designated in writing by the Representatives. The time and date of such payment are hereinafter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40" w:firstLine="436"/>
        <w:spacing w:after="0" w:line="257" w:lineRule="auto"/>
        <w:rPr>
          <w:sz w:val="20"/>
          <w:szCs w:val="20"/>
          <w:color w:val="auto"/>
        </w:rPr>
      </w:pPr>
      <w:r>
        <w:rPr>
          <w:rFonts w:ascii="Times New Roman" w:cs="Times New Roman" w:eastAsia="Times New Roman" w:hAnsi="Times New Roman"/>
          <w:sz w:val="18"/>
          <w:szCs w:val="18"/>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 [•], 2025, as shall be designated in writing by the Representatives.</w:t>
      </w:r>
    </w:p>
    <w:p>
      <w:pPr>
        <w:spacing w:after="0" w:line="182" w:lineRule="exact"/>
        <w:rPr>
          <w:sz w:val="20"/>
          <w:szCs w:val="20"/>
          <w:color w:val="auto"/>
        </w:rPr>
      </w:pPr>
    </w:p>
    <w:p>
      <w:pPr>
        <w:ind w:right="20" w:firstLine="436"/>
        <w:spacing w:after="0" w:line="257" w:lineRule="auto"/>
        <w:rPr>
          <w:sz w:val="20"/>
          <w:szCs w:val="20"/>
          <w:color w:val="auto"/>
        </w:rPr>
      </w:pPr>
      <w:r>
        <w:rPr>
          <w:rFonts w:ascii="Times New Roman" w:cs="Times New Roman" w:eastAsia="Times New Roman" w:hAnsi="Times New Roman"/>
          <w:sz w:val="18"/>
          <w:szCs w:val="18"/>
          <w:color w:val="auto"/>
        </w:rPr>
        <w:t>The Firm Shares and Additional Shares shall be registered in such names and in such denominations as the Representatives shall request not later than one full business day prior to the Closing Date or the applicable Option Closing Date, as the case may be. The Firm Shares and Additional Shares shall be delivered to the Representatives on the Closing Date or an Option Closing Date, as the case may be, for the respective accounts of the several Underwriters, with any transfer taxes payable in connection with the transfer of the Shares to the Underwriters duly paid by the Company.</w:t>
      </w:r>
    </w:p>
    <w:p>
      <w:pPr>
        <w:spacing w:after="0" w:line="180" w:lineRule="exact"/>
        <w:rPr>
          <w:sz w:val="20"/>
          <w:szCs w:val="20"/>
          <w:color w:val="auto"/>
        </w:rPr>
      </w:pPr>
    </w:p>
    <w:p>
      <w:pPr>
        <w:ind w:firstLine="430"/>
        <w:spacing w:after="0" w:line="263" w:lineRule="auto"/>
        <w:tabs>
          <w:tab w:leader="none" w:pos="61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the Underwriters’ Obligations</w:t>
      </w:r>
      <w:r>
        <w:rPr>
          <w:rFonts w:ascii="Times New Roman" w:cs="Times New Roman" w:eastAsia="Times New Roman" w:hAnsi="Times New Roman"/>
          <w:sz w:val="18"/>
          <w:szCs w:val="18"/>
          <w:color w:val="auto"/>
        </w:rPr>
        <w:t>. The obligations of the Company to sell the Shares to the Underwriters and the several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Underwriters to purchase and pay for the Shares on the Closing Date are subject to the condition that the Registration Statement shall have become effective not later than [•] (New York City time) on the date hereof.</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several obligations of the Underwriters are subject to the following further conditions:</w:t>
      </w:r>
    </w:p>
    <w:p>
      <w:pPr>
        <w:spacing w:after="0" w:line="114" w:lineRule="exact"/>
        <w:rPr>
          <w:sz w:val="20"/>
          <w:szCs w:val="20"/>
          <w:color w:val="auto"/>
        </w:rPr>
      </w:pPr>
    </w:p>
    <w:p>
      <w:pPr>
        <w:ind w:left="1100" w:hanging="252"/>
        <w:spacing w:after="0"/>
        <w:tabs>
          <w:tab w:leader="none" w:pos="11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and delivery of this Agreement and prior to the Closing Date:</w:t>
      </w:r>
    </w:p>
    <w:p>
      <w:pPr>
        <w:spacing w:after="0" w:line="113" w:lineRule="exact"/>
        <w:rPr>
          <w:rFonts w:ascii="Times New Roman" w:cs="Times New Roman" w:eastAsia="Times New Roman" w:hAnsi="Times New Roman"/>
          <w:sz w:val="18"/>
          <w:szCs w:val="18"/>
          <w:color w:val="auto"/>
        </w:rPr>
      </w:pPr>
    </w:p>
    <w:p>
      <w:pPr>
        <w:ind w:left="980" w:right="60" w:firstLine="391"/>
        <w:spacing w:after="0" w:line="308" w:lineRule="auto"/>
        <w:tabs>
          <w:tab w:leader="none" w:pos="1589" w:val="left"/>
        </w:tabs>
        <w:numPr>
          <w:ilvl w:val="1"/>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order suspending the effectiveness of the Registration Statement shall be in effect, and no proceeding for such purpose or pursuant to Section 8A under the Securities Act shall be pending before or, to the Company’s knowledge, threatened by the Commission;</w:t>
      </w:r>
    </w:p>
    <w:p>
      <w:pPr>
        <w:spacing w:after="0" w:line="32" w:lineRule="exact"/>
        <w:rPr>
          <w:rFonts w:ascii="Times New Roman" w:cs="Times New Roman" w:eastAsia="Times New Roman" w:hAnsi="Times New Roman"/>
          <w:sz w:val="17"/>
          <w:szCs w:val="17"/>
          <w:color w:val="auto"/>
        </w:rPr>
      </w:pPr>
    </w:p>
    <w:p>
      <w:pPr>
        <w:ind w:left="980" w:firstLine="391"/>
        <w:spacing w:after="0" w:line="277" w:lineRule="auto"/>
        <w:tabs>
          <w:tab w:leader="none" w:pos="1639"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Omada Entities has any securities rated by any “nationally recognized statistical rating organization,” as such term is defined in Section 3(a)(62)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w:t>
      </w:r>
    </w:p>
    <w:p>
      <w:pPr>
        <w:spacing w:after="0" w:line="56" w:lineRule="exact"/>
        <w:rPr>
          <w:rFonts w:ascii="Times New Roman" w:cs="Times New Roman" w:eastAsia="Times New Roman" w:hAnsi="Times New Roman"/>
          <w:sz w:val="18"/>
          <w:szCs w:val="18"/>
          <w:color w:val="auto"/>
        </w:rPr>
      </w:pPr>
    </w:p>
    <w:p>
      <w:pPr>
        <w:ind w:left="980" w:right="340" w:firstLine="391"/>
        <w:spacing w:after="0" w:line="257" w:lineRule="auto"/>
        <w:tabs>
          <w:tab w:leader="none" w:pos="1688"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change, or any development involving a prospective change, in the condition, financial or otherwise, or in the earnings, business, or operations of the Omada Entities, taken as a whole, from that set forth in the Time of Sale Prospectus that, in the Representatives’ judgment, is material and adverse and that makes it, in the Representatives’ judgment, impracticable to market the Shares on the terms and in the manner contemplated in the Time of Sale Prospectus.</w:t>
      </w:r>
    </w:p>
    <w:p>
      <w:pPr>
        <w:spacing w:after="0" w:line="1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00"/>
          </w:cols>
          <w:pgMar w:left="500" w:top="265" w:right="599" w:bottom="1440" w:gutter="0" w:footer="0" w:header="0"/>
        </w:sectPr>
      </w:pPr>
    </w:p>
    <w:bookmarkStart w:id="354" w:name="page355"/>
    <w:bookmarkEnd w:id="354"/>
    <w:p>
      <w:pPr>
        <w:ind w:left="420" w:firstLine="428"/>
        <w:spacing w:after="0" w:line="257" w:lineRule="auto"/>
        <w:tabs>
          <w:tab w:leader="none" w:pos="1091"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Underwriters shall have received on the Closing Date a certificate, dated the Closing Date and signed on behalf of the Company by an executive officer of the Company, to the effect set forth in Sections 5(a)(i) and 5(a)(ii)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officer signing and delivering such certificate may rely upon the best of his or her knowledge as to proceedings threatened.</w:t>
      </w:r>
    </w:p>
    <w:p>
      <w:pPr>
        <w:spacing w:after="0" w:line="114" w:lineRule="exact"/>
        <w:rPr>
          <w:sz w:val="20"/>
          <w:szCs w:val="20"/>
          <w:color w:val="auto"/>
        </w:rPr>
      </w:pPr>
    </w:p>
    <w:p>
      <w:pPr>
        <w:ind w:left="420" w:right="80" w:firstLine="428"/>
        <w:spacing w:after="0" w:line="277" w:lineRule="auto"/>
        <w:tabs>
          <w:tab w:leader="none" w:pos="1081"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the opinions and negative assurance letter of Latham &amp; Watkins LLP, outside counsel for the Company, dated the Closing Date, each in form and substance reasonably satisfactory to the Representatives.</w:t>
      </w:r>
    </w:p>
    <w:p>
      <w:pPr>
        <w:spacing w:after="0" w:line="56" w:lineRule="exact"/>
        <w:rPr>
          <w:rFonts w:ascii="Times New Roman" w:cs="Times New Roman" w:eastAsia="Times New Roman" w:hAnsi="Times New Roman"/>
          <w:sz w:val="18"/>
          <w:szCs w:val="18"/>
          <w:color w:val="auto"/>
        </w:rPr>
      </w:pPr>
    </w:p>
    <w:p>
      <w:pPr>
        <w:ind w:left="420" w:right="380" w:firstLine="428"/>
        <w:spacing w:after="0" w:line="277" w:lineRule="auto"/>
        <w:tabs>
          <w:tab w:leader="none" w:pos="1091"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and negative assurance letter of Davis Polk &amp; Wardwell LLP, counsel for the Underwriters, dated the Closing Date, each in form and substance reasonably satisfactory to the Representatives.</w:t>
      </w:r>
    </w:p>
    <w:p>
      <w:pPr>
        <w:spacing w:after="0" w:line="163" w:lineRule="exact"/>
        <w:rPr>
          <w:sz w:val="20"/>
          <w:szCs w:val="20"/>
          <w:color w:val="auto"/>
        </w:rPr>
      </w:pPr>
    </w:p>
    <w:p>
      <w:pPr>
        <w:ind w:right="60" w:firstLine="436"/>
        <w:spacing w:after="0" w:line="257" w:lineRule="auto"/>
        <w:rPr>
          <w:sz w:val="20"/>
          <w:szCs w:val="20"/>
          <w:color w:val="auto"/>
        </w:rPr>
      </w:pPr>
      <w:r>
        <w:rPr>
          <w:rFonts w:ascii="Times New Roman" w:cs="Times New Roman" w:eastAsia="Times New Roman" w:hAnsi="Times New Roman"/>
          <w:sz w:val="18"/>
          <w:szCs w:val="18"/>
          <w:color w:val="auto"/>
        </w:rPr>
        <w:t>With respect to the negative assurance letters to be delivered pursuant to Sections 5(c) and 5(d) above, Latham &amp; Watkins LLP and Davis Polk &amp; Wardwell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182" w:lineRule="exact"/>
        <w:rPr>
          <w:sz w:val="20"/>
          <w:szCs w:val="20"/>
          <w:color w:val="auto"/>
        </w:rPr>
      </w:pPr>
    </w:p>
    <w:p>
      <w:pPr>
        <w:ind w:right="60" w:firstLine="436"/>
        <w:spacing w:after="0" w:line="277" w:lineRule="auto"/>
        <w:rPr>
          <w:sz w:val="20"/>
          <w:szCs w:val="20"/>
          <w:color w:val="auto"/>
        </w:rPr>
      </w:pPr>
      <w:r>
        <w:rPr>
          <w:rFonts w:ascii="Times New Roman" w:cs="Times New Roman" w:eastAsia="Times New Roman" w:hAnsi="Times New Roman"/>
          <w:sz w:val="18"/>
          <w:szCs w:val="18"/>
          <w:color w:val="auto"/>
        </w:rPr>
        <w:t>The opinions of Latham &amp; Watkins LLP described in Section 5(c) above shall be rendered to the Underwriters at the request of the Company and shall so state therein.</w:t>
      </w:r>
    </w:p>
    <w:p>
      <w:pPr>
        <w:spacing w:after="0" w:line="57" w:lineRule="exact"/>
        <w:rPr>
          <w:sz w:val="20"/>
          <w:szCs w:val="20"/>
          <w:color w:val="auto"/>
        </w:rPr>
      </w:pPr>
    </w:p>
    <w:p>
      <w:pPr>
        <w:ind w:left="420" w:right="20" w:firstLine="428"/>
        <w:spacing w:after="0" w:line="255" w:lineRule="auto"/>
        <w:tabs>
          <w:tab w:leader="none" w:pos="108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Underwriters shall have received, on each of the date hereof and the Closing Date, a letter dated the date hereof or the Closing Date, as the case may be, in form and substance satisfactory to the Underwriters, from Deloitte &amp; Touche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letter delivered on the Closing Date shall use a “cut-off date” not earlier than the date hereof.</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40"/>
          </w:cols>
          <w:pgMar w:left="500" w:top="268" w:right="559" w:bottom="1440" w:gutter="0" w:footer="0" w:header="0"/>
        </w:sectPr>
      </w:pPr>
    </w:p>
    <w:bookmarkStart w:id="355" w:name="page356"/>
    <w:bookmarkEnd w:id="355"/>
    <w:p>
      <w:pPr>
        <w:ind w:right="120" w:firstLine="428"/>
        <w:spacing w:after="0" w:line="257" w:lineRule="auto"/>
        <w:tabs>
          <w:tab w:leader="none" w:pos="64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Underwriters shall have received, on each of the date hereof and the Closing Date, a certificate dated the date hereof or the Closing Date, as the case may be, and signed on behalf of the Company by the Chief Financial Officer of the Company as to the accuracy of certain financial and other information included in the Registration Statement, the Time of Sale Prospectus, and the Prospectus, in form and substance reasonably satisfactory to the Representatives.</w:t>
      </w:r>
    </w:p>
    <w:p>
      <w:pPr>
        <w:spacing w:after="0" w:line="75" w:lineRule="exact"/>
        <w:rPr>
          <w:rFonts w:ascii="Times New Roman" w:cs="Times New Roman" w:eastAsia="Times New Roman" w:hAnsi="Times New Roman"/>
          <w:sz w:val="18"/>
          <w:szCs w:val="18"/>
          <w:color w:val="auto"/>
        </w:rPr>
      </w:pPr>
    </w:p>
    <w:p>
      <w:pPr>
        <w:ind w:right="200" w:firstLine="428"/>
        <w:spacing w:after="0" w:line="262" w:lineRule="auto"/>
        <w:tabs>
          <w:tab w:leader="none" w:pos="67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between the Representatives and certain shareholders, officers, and directors of the Company relating to restrictions on sales and certain other dispositions of shares of Common Stock or certain other securities, delivered to the Representatives on or before the date hereof, shall be in full force and effect on the Closing Date.</w:t>
      </w:r>
    </w:p>
    <w:p>
      <w:pPr>
        <w:spacing w:after="0" w:line="70" w:lineRule="exact"/>
        <w:rPr>
          <w:rFonts w:ascii="Times New Roman" w:cs="Times New Roman" w:eastAsia="Times New Roman" w:hAnsi="Times New Roman"/>
          <w:sz w:val="18"/>
          <w:szCs w:val="18"/>
          <w:color w:val="auto"/>
        </w:rPr>
      </w:pPr>
    </w:p>
    <w:p>
      <w:pPr>
        <w:ind w:right="140" w:firstLine="428"/>
        <w:spacing w:after="0" w:line="277" w:lineRule="auto"/>
        <w:tabs>
          <w:tab w:leader="none" w:pos="67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delivered on the Closing Date or the Option Closing Date, as the case may be, shall have been approved for listing on The Nasdaq Global Market, subject to official notice of issuance.</w:t>
      </w:r>
    </w:p>
    <w:p>
      <w:pPr>
        <w:spacing w:after="0" w:line="56" w:lineRule="exact"/>
        <w:rPr>
          <w:rFonts w:ascii="Times New Roman" w:cs="Times New Roman" w:eastAsia="Times New Roman" w:hAnsi="Times New Roman"/>
          <w:sz w:val="18"/>
          <w:szCs w:val="18"/>
          <w:color w:val="auto"/>
        </w:rPr>
      </w:pPr>
    </w:p>
    <w:p>
      <w:pPr>
        <w:ind w:right="20" w:firstLine="428"/>
        <w:spacing w:after="0" w:line="277" w:lineRule="auto"/>
        <w:tabs>
          <w:tab w:leader="none" w:pos="63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several obligations of the Underwriters to purchase Additional Shares hereunder are subject to the delivery to the Representatives on the applicable Option Closing Date of the following:</w:t>
      </w:r>
    </w:p>
    <w:p>
      <w:pPr>
        <w:spacing w:after="0" w:line="56" w:lineRule="exact"/>
        <w:rPr>
          <w:rFonts w:ascii="Times New Roman" w:cs="Times New Roman" w:eastAsia="Times New Roman" w:hAnsi="Times New Roman"/>
          <w:sz w:val="18"/>
          <w:szCs w:val="18"/>
          <w:color w:val="auto"/>
        </w:rPr>
      </w:pPr>
    </w:p>
    <w:p>
      <w:pPr>
        <w:ind w:left="560" w:right="240" w:firstLine="391"/>
        <w:spacing w:after="0" w:line="262" w:lineRule="auto"/>
        <w:tabs>
          <w:tab w:leader="none" w:pos="1169"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the Option Closing Date and signed on behalf of the Company by an executive officer of the Company, confirming that the certificate delivered on the Closing Date pursuant to Section 5(b) hereof remains true and correct as of such Option Closing Date;</w:t>
      </w:r>
    </w:p>
    <w:p>
      <w:pPr>
        <w:spacing w:after="0" w:line="70" w:lineRule="exact"/>
        <w:rPr>
          <w:rFonts w:ascii="Times New Roman" w:cs="Times New Roman" w:eastAsia="Times New Roman" w:hAnsi="Times New Roman"/>
          <w:sz w:val="18"/>
          <w:szCs w:val="18"/>
          <w:color w:val="auto"/>
        </w:rPr>
      </w:pPr>
    </w:p>
    <w:p>
      <w:pPr>
        <w:ind w:left="560" w:firstLine="391"/>
        <w:spacing w:after="0" w:line="262" w:lineRule="auto"/>
        <w:tabs>
          <w:tab w:leader="none" w:pos="1219"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and negative assurance letter of Latham &amp; Watkins LLP, outside counsel for the Company, dated the Option Closing Date, relating to the Additional Shares to be purchased on such Option Closing Date and otherwise to the same effect as the opinions required by Section 5(c) hereof;</w:t>
      </w:r>
    </w:p>
    <w:p>
      <w:pPr>
        <w:spacing w:after="0" w:line="70" w:lineRule="exact"/>
        <w:rPr>
          <w:rFonts w:ascii="Times New Roman" w:cs="Times New Roman" w:eastAsia="Times New Roman" w:hAnsi="Times New Roman"/>
          <w:sz w:val="18"/>
          <w:szCs w:val="18"/>
          <w:color w:val="auto"/>
        </w:rPr>
      </w:pPr>
    </w:p>
    <w:p>
      <w:pPr>
        <w:ind w:left="560" w:right="20" w:firstLine="391"/>
        <w:spacing w:after="0" w:line="262" w:lineRule="auto"/>
        <w:tabs>
          <w:tab w:leader="none" w:pos="1268"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and negative assurance letter of Davis Polk &amp; Wardwell LLP, counsel for the Underwriters, dated the Option Closing Date, relating to the Additional Shares to be purchased on such Option Closing Date and otherwise to the same effect as the opinion required by Section 5(d) hereof;</w:t>
      </w:r>
    </w:p>
    <w:p>
      <w:pPr>
        <w:spacing w:after="0" w:line="70" w:lineRule="exact"/>
        <w:rPr>
          <w:rFonts w:ascii="Times New Roman" w:cs="Times New Roman" w:eastAsia="Times New Roman" w:hAnsi="Times New Roman"/>
          <w:sz w:val="18"/>
          <w:szCs w:val="18"/>
          <w:color w:val="auto"/>
        </w:rPr>
      </w:pPr>
    </w:p>
    <w:p>
      <w:pPr>
        <w:ind w:left="560" w:right="200" w:firstLine="391"/>
        <w:spacing w:after="0" w:line="257" w:lineRule="auto"/>
        <w:tabs>
          <w:tab w:leader="none" w:pos="1258"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letter dated the Option Closing Date, in form and substance satisfactory to the Underwriters, from Deloitte &amp; Touche LLP, independent public accountants, substantially in the same form and substance as the letter furnished to the Underwriters pursuant to Section 5(e)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letter delivered on the Option Closing Date shall use a “cut-off date” not earlier than two business days prior to such Option Closing Date;</w:t>
      </w:r>
    </w:p>
    <w:p>
      <w:pPr>
        <w:spacing w:after="0" w:line="75" w:lineRule="exact"/>
        <w:rPr>
          <w:rFonts w:ascii="Times New Roman" w:cs="Times New Roman" w:eastAsia="Times New Roman" w:hAnsi="Times New Roman"/>
          <w:sz w:val="18"/>
          <w:szCs w:val="18"/>
          <w:color w:val="auto"/>
        </w:rPr>
      </w:pPr>
    </w:p>
    <w:p>
      <w:pPr>
        <w:ind w:left="560" w:right="300" w:firstLine="391"/>
        <w:spacing w:after="0" w:line="277" w:lineRule="auto"/>
        <w:tabs>
          <w:tab w:leader="none" w:pos="1209"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signed on behalf of the Company by the Chief Financial Officer of the Company, dated the Option Closing Date, substantially in the same form and substance as the certificate required by Section 5(f) hereof; and</w:t>
      </w:r>
    </w:p>
    <w:p>
      <w:pPr>
        <w:spacing w:after="0" w:line="9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420"/>
          </w:cols>
          <w:pgMar w:left="920" w:top="268" w:right="559" w:bottom="1440" w:gutter="0" w:footer="0" w:header="0"/>
        </w:sectPr>
      </w:pPr>
    </w:p>
    <w:bookmarkStart w:id="356" w:name="page357"/>
    <w:bookmarkEnd w:id="356"/>
    <w:p>
      <w:pPr>
        <w:ind w:left="560" w:firstLine="391"/>
        <w:spacing w:after="0" w:line="262" w:lineRule="auto"/>
        <w:tabs>
          <w:tab w:leader="none" w:pos="1258" w:val="left"/>
        </w:tabs>
        <w:numPr>
          <w:ilvl w:val="2"/>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9">
                      <a:extLst>
                        <a:ext uri="{28A0092B-C50C-407E-A947-70E740481C1C}"/>
                      </a:extLst>
                    </a:blip>
                    <a:srcRect/>
                    <a:stretch>
                      <a:fillRect/>
                    </a:stretch>
                  </pic:blipFill>
                  <pic:spPr bwMode="auto">
                    <a:xfrm>
                      <a:off x="0" y="0"/>
                      <a:ext cx="7176135" cy="37465"/>
                    </a:xfrm>
                    <a:prstGeom prst="rect">
                      <a:avLst/>
                    </a:prstGeom>
                    <a:noFill/>
                  </pic:spPr>
                </pic:pic>
              </a:graphicData>
            </a:graphic>
          </wp:anchor>
        </w:drawing>
        <w:t>such other documents as the Representatives may reasonably request with respect to the good standing of the Company, the due authorization and issuance of the Additional Shares to be sold on such Option Closing Date and other matters related to the issuance of such Additional Shares.</w:t>
      </w:r>
    </w:p>
    <w:p>
      <w:pPr>
        <w:spacing w:after="0" w:line="175" w:lineRule="exact"/>
        <w:rPr>
          <w:rFonts w:ascii="Times New Roman" w:cs="Times New Roman" w:eastAsia="Times New Roman" w:hAnsi="Times New Roman"/>
          <w:sz w:val="18"/>
          <w:szCs w:val="18"/>
          <w:color w:val="auto"/>
        </w:rPr>
      </w:pPr>
    </w:p>
    <w:p>
      <w:pPr>
        <w:ind w:left="180" w:hanging="170"/>
        <w:spacing w:after="0"/>
        <w:tabs>
          <w:tab w:leader="none" w:pos="1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Company</w:t>
      </w:r>
      <w:r>
        <w:rPr>
          <w:rFonts w:ascii="Times New Roman" w:cs="Times New Roman" w:eastAsia="Times New Roman" w:hAnsi="Times New Roman"/>
          <w:sz w:val="18"/>
          <w:szCs w:val="18"/>
          <w:color w:val="auto"/>
        </w:rPr>
        <w:t>. The Company covenants with each Underwriter as follows:</w:t>
      </w:r>
    </w:p>
    <w:p>
      <w:pPr>
        <w:spacing w:after="0" w:line="115" w:lineRule="exact"/>
        <w:rPr>
          <w:rFonts w:ascii="Times New Roman" w:cs="Times New Roman" w:eastAsia="Times New Roman" w:hAnsi="Times New Roman"/>
          <w:sz w:val="18"/>
          <w:szCs w:val="18"/>
          <w:color w:val="auto"/>
        </w:rPr>
      </w:pPr>
    </w:p>
    <w:p>
      <w:pPr>
        <w:ind w:right="120" w:firstLine="428"/>
        <w:spacing w:after="0" w:line="253" w:lineRule="auto"/>
        <w:tabs>
          <w:tab w:leader="none" w:pos="661"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Representatives upon written request, without charge, three signed copies of the Registration Statement (including exhibits thereto) (which may be an electronic facsimile) and for delivery to each other Underwriter a conformed copy of the Registration Statement (without exhibits thereto) and to furnish to the Representatives in New York City, without charge, prior to 10:00 a.m. New York City time on the business day next succeeding the date of this Agreement and during the period mentioned in Section 6(e) or 6(f) below, as many copies of the Time of Sale Prospectus, the Prospectus, and any supplements and amendments thereto or to the Registration Statement as the Representatives may reasonably request.</w:t>
      </w:r>
    </w:p>
    <w:p>
      <w:pPr>
        <w:spacing w:after="0" w:line="80" w:lineRule="exact"/>
        <w:rPr>
          <w:rFonts w:ascii="Times New Roman" w:cs="Times New Roman" w:eastAsia="Times New Roman" w:hAnsi="Times New Roman"/>
          <w:sz w:val="18"/>
          <w:szCs w:val="18"/>
          <w:color w:val="auto"/>
        </w:rPr>
      </w:pPr>
    </w:p>
    <w:p>
      <w:pPr>
        <w:ind w:firstLine="428"/>
        <w:spacing w:after="0" w:line="257" w:lineRule="auto"/>
        <w:tabs>
          <w:tab w:leader="none" w:pos="671"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and to file with the Commission within the applicable period specified in Rule 424(b) under the Securities Act any prospectus required to be filed pursuant to such Rule.</w:t>
      </w:r>
    </w:p>
    <w:p>
      <w:pPr>
        <w:spacing w:after="0" w:line="75" w:lineRule="exact"/>
        <w:rPr>
          <w:rFonts w:ascii="Times New Roman" w:cs="Times New Roman" w:eastAsia="Times New Roman" w:hAnsi="Times New Roman"/>
          <w:sz w:val="18"/>
          <w:szCs w:val="18"/>
          <w:color w:val="auto"/>
        </w:rPr>
      </w:pPr>
    </w:p>
    <w:p>
      <w:pPr>
        <w:ind w:firstLine="428"/>
        <w:spacing w:after="0" w:line="277" w:lineRule="auto"/>
        <w:tabs>
          <w:tab w:leader="none" w:pos="661"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56" w:lineRule="exact"/>
        <w:rPr>
          <w:rFonts w:ascii="Times New Roman" w:cs="Times New Roman" w:eastAsia="Times New Roman" w:hAnsi="Times New Roman"/>
          <w:sz w:val="18"/>
          <w:szCs w:val="18"/>
          <w:color w:val="auto"/>
        </w:rPr>
      </w:pPr>
    </w:p>
    <w:p>
      <w:pPr>
        <w:ind w:right="20" w:firstLine="428"/>
        <w:spacing w:after="0" w:line="262" w:lineRule="auto"/>
        <w:tabs>
          <w:tab w:leader="none" w:pos="671"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70" w:lineRule="exact"/>
        <w:rPr>
          <w:rFonts w:ascii="Times New Roman" w:cs="Times New Roman" w:eastAsia="Times New Roman" w:hAnsi="Times New Roman"/>
          <w:sz w:val="18"/>
          <w:szCs w:val="18"/>
          <w:color w:val="auto"/>
        </w:rPr>
      </w:pPr>
    </w:p>
    <w:p>
      <w:pPr>
        <w:ind w:right="20" w:firstLine="428"/>
        <w:spacing w:after="0" w:line="273" w:lineRule="auto"/>
        <w:tabs>
          <w:tab w:leader="none" w:pos="661" w:val="left"/>
        </w:tabs>
        <w:numPr>
          <w:ilvl w:val="1"/>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under which they were made,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w:t>
      </w:r>
    </w:p>
    <w:p>
      <w:pPr>
        <w:spacing w:after="0" w:line="10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340"/>
          </w:cols>
          <w:pgMar w:left="920" w:top="267" w:right="639" w:bottom="1440" w:gutter="0" w:footer="0" w:header="0"/>
        </w:sectPr>
      </w:pPr>
    </w:p>
    <w:bookmarkStart w:id="357" w:name="page358"/>
    <w:bookmarkEnd w:id="357"/>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76" w:lineRule="exact"/>
        <w:rPr>
          <w:sz w:val="20"/>
          <w:szCs w:val="20"/>
          <w:color w:val="auto"/>
        </w:rPr>
      </w:pPr>
    </w:p>
    <w:p>
      <w:pPr>
        <w:ind w:left="660" w:hanging="232"/>
        <w:spacing w:after="0"/>
        <w:tabs>
          <w:tab w:leader="none" w:pos="6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such period after the first date of the public offering of the Shares as in the opinion of counsel for the Underwriters the</w:t>
      </w:r>
    </w:p>
    <w:p>
      <w:pPr>
        <w:spacing w:after="0" w:line="25" w:lineRule="exact"/>
        <w:rPr>
          <w:rFonts w:ascii="Times New Roman" w:cs="Times New Roman" w:eastAsia="Times New Roman" w:hAnsi="Times New Roman"/>
          <w:sz w:val="18"/>
          <w:szCs w:val="18"/>
          <w:color w:val="auto"/>
        </w:rPr>
      </w:pPr>
    </w:p>
    <w:p>
      <w:pPr>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Shares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86" w:lineRule="exact"/>
        <w:rPr>
          <w:rFonts w:ascii="Times New Roman" w:cs="Times New Roman" w:eastAsia="Times New Roman" w:hAnsi="Times New Roman"/>
          <w:sz w:val="18"/>
          <w:szCs w:val="18"/>
          <w:color w:val="auto"/>
        </w:rPr>
      </w:pPr>
    </w:p>
    <w:p>
      <w:pPr>
        <w:ind w:right="120" w:firstLine="428"/>
        <w:spacing w:after="0" w:line="255" w:lineRule="auto"/>
        <w:tabs>
          <w:tab w:leader="none" w:pos="671"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endeavor to qualify the Shares for offer and sale under the securities or Blue Sky laws of such jurisdictions as the Representatives shall reasonably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nothing contained in this provision shall require the Company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in which it is not otherwise subject.</w:t>
      </w:r>
    </w:p>
    <w:p>
      <w:pPr>
        <w:spacing w:after="0" w:line="75" w:lineRule="exact"/>
        <w:rPr>
          <w:rFonts w:ascii="Times New Roman" w:cs="Times New Roman" w:eastAsia="Times New Roman" w:hAnsi="Times New Roman"/>
          <w:sz w:val="18"/>
          <w:szCs w:val="18"/>
          <w:color w:val="auto"/>
        </w:rPr>
      </w:pPr>
    </w:p>
    <w:p>
      <w:pPr>
        <w:ind w:right="100" w:firstLine="428"/>
        <w:spacing w:after="0" w:line="257" w:lineRule="auto"/>
        <w:tabs>
          <w:tab w:leader="none" w:pos="671"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(which may be satisfied by filing with the Commission on its Electronic Data Gathering Analysis and Retrieval System) to the Company’s security holders and to the Representatives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11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440"/>
          </w:cols>
          <w:pgMar w:left="920" w:top="268" w:right="539" w:bottom="1440" w:gutter="0" w:footer="0" w:header="0"/>
        </w:sectPr>
      </w:pPr>
    </w:p>
    <w:bookmarkStart w:id="358" w:name="page359"/>
    <w:bookmarkEnd w:id="358"/>
    <w:p>
      <w:pPr>
        <w:ind w:firstLine="428"/>
        <w:spacing w:after="0" w:line="249" w:lineRule="auto"/>
        <w:tabs>
          <w:tab w:leader="none" w:pos="63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6(g) hereof, including filing fees and the reasonable fees and disbursements of counsel for the 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Shares by FINRA (provided that the fees and disbursements of counsel pursuant to clauses (iii) and (iv) shall not, in the aggregate, exceed $75,000), (v) all fees and expenses in connection with the preparation and filing of the registration statement on Form 8-A relating to the Common Stock and all costs and expenses incident to listing the Shares on The Nasdaq Global Market,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that the Company and the Representatives agree will be chartered in connection with the road show with the remaining 50% of the cost of the aircraft to be paid by the Underwriters,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10 below, the Underwriters will pay all of their costs and expenses, including fees and disbursements of their counsel, stock transfer taxes</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460"/>
          </w:cols>
          <w:pgMar w:left="920" w:top="268" w:right="519" w:bottom="1440" w:gutter="0" w:footer="0" w:header="0"/>
        </w:sectPr>
      </w:pPr>
    </w:p>
    <w:bookmarkStart w:id="359" w:name="page360"/>
    <w:bookmarkEnd w:id="359"/>
    <w:p>
      <w:pPr>
        <w:ind w:left="426" w:right="18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payable on resale of any of the Shares by them, any advertising expenses connected with any offers they may make, and all travel and other expenses of the Underwriters or any of their employees incurred by them in connection with participation in investor presentations on any “road show” undertaken in connection with the marketing of the offering of the Shares; provided the cost of any aircraft that the Company and the Representatives agree will be chartered, shall be paid 50% by the Company as described above in clause (viii).</w:t>
      </w:r>
    </w:p>
    <w:p>
      <w:pPr>
        <w:spacing w:after="0" w:line="75" w:lineRule="exact"/>
        <w:rPr>
          <w:sz w:val="20"/>
          <w:szCs w:val="20"/>
          <w:color w:val="auto"/>
        </w:rPr>
      </w:pPr>
    </w:p>
    <w:p>
      <w:pPr>
        <w:ind w:left="426" w:right="20" w:firstLine="428"/>
        <w:spacing w:after="0" w:line="262" w:lineRule="auto"/>
        <w:tabs>
          <w:tab w:leader="none" w:pos="105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promptly notify the Representatives if the Company ceases to be an Emerging Growth Company at any time prior to the later of (i) completion of the distribution of the Shares within the meaning of the Securities Act and (ii) completion of the Restricted Period (as defined in this Section 6).</w:t>
      </w:r>
    </w:p>
    <w:p>
      <w:pPr>
        <w:spacing w:after="0" w:line="70" w:lineRule="exact"/>
        <w:rPr>
          <w:rFonts w:ascii="Times New Roman" w:cs="Times New Roman" w:eastAsia="Times New Roman" w:hAnsi="Times New Roman"/>
          <w:sz w:val="18"/>
          <w:szCs w:val="18"/>
          <w:color w:val="auto"/>
        </w:rPr>
      </w:pPr>
    </w:p>
    <w:p>
      <w:pPr>
        <w:ind w:left="426" w:firstLine="428"/>
        <w:spacing w:after="0" w:line="253" w:lineRule="auto"/>
        <w:tabs>
          <w:tab w:leader="none" w:pos="109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following the distribution of any Testing-the-Waters Communication that is a written communication within the meaning of Rule 405 under the Securities Act there occurred or occurs an event or development as a result of which such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Testing-the-Waters Communication to eliminate or correct such untrue statement or omission.</w:t>
      </w:r>
    </w:p>
    <w:p>
      <w:pPr>
        <w:spacing w:after="0" w:line="80" w:lineRule="exact"/>
        <w:rPr>
          <w:rFonts w:ascii="Times New Roman" w:cs="Times New Roman" w:eastAsia="Times New Roman" w:hAnsi="Times New Roman"/>
          <w:sz w:val="18"/>
          <w:szCs w:val="18"/>
          <w:color w:val="auto"/>
        </w:rPr>
      </w:pPr>
    </w:p>
    <w:p>
      <w:pPr>
        <w:jc w:val="both"/>
        <w:ind w:left="426" w:right="300" w:firstLine="428"/>
        <w:spacing w:after="0" w:line="257" w:lineRule="auto"/>
        <w:tabs>
          <w:tab w:leader="none" w:pos="105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82" w:lineRule="exact"/>
        <w:rPr>
          <w:sz w:val="20"/>
          <w:szCs w:val="20"/>
          <w:color w:val="auto"/>
        </w:rPr>
      </w:pPr>
    </w:p>
    <w:p>
      <w:pPr>
        <w:ind w:left="6" w:firstLine="436"/>
        <w:spacing w:after="0" w:line="258" w:lineRule="auto"/>
        <w:rPr>
          <w:sz w:val="20"/>
          <w:szCs w:val="20"/>
          <w:color w:val="auto"/>
        </w:rPr>
      </w:pPr>
      <w:r>
        <w:rPr>
          <w:rFonts w:ascii="Times New Roman" w:cs="Times New Roman" w:eastAsia="Times New Roman" w:hAnsi="Times New Roman"/>
          <w:sz w:val="18"/>
          <w:szCs w:val="18"/>
          <w:color w:val="auto"/>
        </w:rPr>
        <w:t>The Company also covenants with each Underwriter that, without the prior written consent of the Representatives on behalf of the Underwriters, it will not, and will not publicly disclose an intention to, during the period ending 180 days after the date of the Prospectus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 w:hanging="6"/>
        <w:spacing w:after="0" w:line="266" w:lineRule="auto"/>
        <w:tabs>
          <w:tab w:leader="none" w:pos="258"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confidentially submit or file any registration statement with the Commission relating to the offering of any shares of Common Stock or any securities convertible into or exercisable or exchangeable for Common Stock.</w:t>
      </w:r>
    </w:p>
    <w:p>
      <w:pPr>
        <w:spacing w:after="0" w:line="110"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886"/>
          </w:cols>
          <w:pgMar w:left="494" w:top="268" w:right="519" w:bottom="1440" w:gutter="0" w:footer="0" w:header="0"/>
        </w:sectPr>
      </w:pPr>
    </w:p>
    <w:bookmarkStart w:id="360" w:name="page361"/>
    <w:bookmarkEnd w:id="360"/>
    <w:p>
      <w:pPr>
        <w:ind w:left="6" w:firstLine="436"/>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The restrictions contained in the preceding paragraph shall not apply to (A) the Shares to be sold hereunder, (B) the issuance by the Company of shares of Common Stock upon the exercise of an option or warrant (including net exercises to cover exercise prices or tax obligations) or the conversion of a security outstanding on the date hereof as described in each of the Time of Sale Prospectus and Prospectus, (C) grants of stock options, stock awards, restricted stock, restricted stock units, or other equity awards and the issuance of Common Stock or securities convertible into or exercisable for Common Stock (whether upon the exercise of stock options or otherwise) to employees, officers, directors, advisors, or consultants of the Company pursuant to the terms of an equity compensation plan or non-employee director compensation plan or program in effect as of the Closing Date and described in the Registration Statement, the Time of Sale Prospectus, and the Prospectus,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all recipients of any such grants, stock awards, restricted stock, restricted stock units or other equity awards shall execute and deliver to the Representatives a Lock-up Agreement covering the remainder of the Restricted Period, subject to any earlier release as provided in such Lock-up Agreement, to the extent the securities held by such person are not otherwise bound by a market standoff agreement that is at least as restrictive as the terms contained in the Lock-up Agreement, (D) facilitating the establishment of a trading plan on behalf of a shareholder, officer or director of the Company pursuant to Rule 10b5-1 under the Exchange Act for the transfer of shares of Common Stock,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such plan does not provide for the transfer of Common Stock during the Restricted Period, and</w:t>
      </w:r>
    </w:p>
    <w:p>
      <w:pPr>
        <w:spacing w:after="0" w:line="3" w:lineRule="exact"/>
        <w:rPr>
          <w:sz w:val="20"/>
          <w:szCs w:val="20"/>
          <w:color w:val="auto"/>
        </w:rPr>
      </w:pPr>
    </w:p>
    <w:p>
      <w:pPr>
        <w:ind w:left="6" w:right="20" w:hanging="6"/>
        <w:spacing w:after="0" w:line="248" w:lineRule="auto"/>
        <w:tabs>
          <w:tab w:leader="none" w:pos="26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 (E) the sale or issuance of, or entry into an agreement to sell or issue, Common Stock or any securities convertible into or exercisable or exchangeable for Common Stock in connection with one or more mergers, acquisitions of securities, businesses, property, or other assets, products, or technologies, joint ventures, commercial relationships, or other strategic corporate transactions or alliances; provided that the aggregate amounts of Common Stock or any securities convertible into or exercisable or exchangeable for Common Stock (on an as-converted, as-exercised, or as-exchanged basis) that the Company may sell or issue or agree to sell or issue pursuant to this clause (E) shall not exceed seven and a half percent (7.5%) of the total number of shares of Common Stock of the Company issued and outstanding immediately following the completion of the transactions contemplated by this Agreement determined on a fully diluted basis, and provided, further, that each recipient of Common Stock or any securities convertible into or exercisable or exchangeable for Common Stock pursuant to this clause (E) shall execute and deliver to the Representatives a Lock-up Agreement covering the remainder of the Restricted Period, subject to any earlier release as provided in such agreement, or (F) the filing by the Company of a registration statement on Form S-8 (or successor form) relating to the issuance, vesting, exercise, or settlement of equity awards granted or to be granted pursuant to any employee benefit plan as in effect on the date hereof and described in the Time of Sale Prospectus and Prospectus.</w:t>
      </w:r>
    </w:p>
    <w:p>
      <w:pPr>
        <w:spacing w:after="0" w:line="12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886"/>
          </w:cols>
          <w:pgMar w:left="494" w:top="268" w:right="519" w:bottom="1440" w:gutter="0" w:footer="0" w:header="0"/>
        </w:sectPr>
      </w:pPr>
    </w:p>
    <w:bookmarkStart w:id="361" w:name="page362"/>
    <w:bookmarkEnd w:id="361"/>
    <w:p>
      <w:pPr>
        <w:ind w:right="140" w:firstLine="43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addition, during the Restricted Period, the Company agrees to (a) enforce the Market Standoff Provisions and any similar transfer restrictions contained in any agreement between the Company and any of its securityholders, including, without limitation, through the issuance of stop transfer instructions to the Company’s transfer agent with respect to any transaction that would constitute a breach of, or default under, the transfer restrictions, except that this provision shall not prevent the Company from effecting such a waiver or amendment to permit a transfer of securities that would be permissible under the terms of the Lock-up Agreement and (b) subject to clause (a), not amend or waive any such transfer restrictions with respect to any such holder without the prior written consent of the Representatives.</w:t>
      </w:r>
    </w:p>
    <w:p>
      <w:pPr>
        <w:spacing w:after="0" w:line="187" w:lineRule="exact"/>
        <w:rPr>
          <w:sz w:val="20"/>
          <w:szCs w:val="20"/>
          <w:color w:val="auto"/>
        </w:rPr>
      </w:pPr>
    </w:p>
    <w:p>
      <w:pPr>
        <w:ind w:firstLine="436"/>
        <w:spacing w:after="0" w:line="257" w:lineRule="auto"/>
        <w:rPr>
          <w:sz w:val="20"/>
          <w:szCs w:val="20"/>
          <w:color w:val="auto"/>
        </w:rPr>
      </w:pPr>
      <w:r>
        <w:rPr>
          <w:rFonts w:ascii="Times New Roman" w:cs="Times New Roman" w:eastAsia="Times New Roman" w:hAnsi="Times New Roman"/>
          <w:sz w:val="18"/>
          <w:szCs w:val="18"/>
          <w:color w:val="auto"/>
        </w:rPr>
        <w:t>If the Representatives, in their sole discretion, agree to release or waive the restrictions on the transfer of Shares set forth in a Lock-up Agreement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Exhibit B hereto through a major news service at least two business days before the effective date of the release or waiver.</w:t>
      </w:r>
    </w:p>
    <w:p>
      <w:pPr>
        <w:spacing w:after="0" w:line="180" w:lineRule="exact"/>
        <w:rPr>
          <w:sz w:val="20"/>
          <w:szCs w:val="20"/>
          <w:color w:val="auto"/>
        </w:rPr>
      </w:pPr>
    </w:p>
    <w:p>
      <w:pPr>
        <w:ind w:right="240" w:firstLine="430"/>
        <w:spacing w:after="0" w:line="263" w:lineRule="auto"/>
        <w:tabs>
          <w:tab w:leader="none" w:pos="61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Underwriters</w:t>
      </w:r>
      <w:r>
        <w:rPr>
          <w:rFonts w:ascii="Times New Roman" w:cs="Times New Roman" w:eastAsia="Times New Roman" w:hAnsi="Times New Roman"/>
          <w:sz w:val="18"/>
          <w:szCs w:val="18"/>
          <w:color w:val="auto"/>
        </w:rPr>
        <w:t>. Each Underwriter, severally and not jointly, covenants with the Company not to take any action that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in the Company being required to file with the Commission under Rule 433(d) of the Securities Act a free writing prospectus prepared by or on behalf of such Underwriter that otherwise would not be required to be filed by the Company thereunder, but for the action of the Underwriter.</w:t>
      </w:r>
    </w:p>
    <w:p>
      <w:pPr>
        <w:spacing w:after="0" w:line="174" w:lineRule="exact"/>
        <w:rPr>
          <w:rFonts w:ascii="Times New Roman" w:cs="Times New Roman" w:eastAsia="Times New Roman" w:hAnsi="Times New Roman"/>
          <w:sz w:val="18"/>
          <w:szCs w:val="18"/>
          <w:color w:val="auto"/>
        </w:rPr>
      </w:pPr>
    </w:p>
    <w:p>
      <w:pPr>
        <w:ind w:right="20" w:firstLine="430"/>
        <w:spacing w:after="0" w:line="250" w:lineRule="auto"/>
        <w:tabs>
          <w:tab w:leader="none" w:pos="61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Indemnity and Contribution. </w:t>
      </w:r>
      <w:r>
        <w:rPr>
          <w:rFonts w:ascii="Times New Roman" w:cs="Times New Roman" w:eastAsia="Times New Roman" w:hAnsi="Times New Roman"/>
          <w:sz w:val="18"/>
          <w:szCs w:val="18"/>
          <w:color w:val="auto"/>
        </w:rPr>
        <w:t>(a) The Company agrees to indemnify and hold harmless each Underwriter, each person, if any, who controls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Times New Roman" w:cs="Times New Roman" w:eastAsia="Times New Roman" w:hAnsi="Times New Roman"/>
          <w:sz w:val="18"/>
          <w:szCs w:val="18"/>
          <w:b w:val="1"/>
          <w:bCs w:val="1"/>
          <w:color w:val="auto"/>
        </w:rPr>
        <w:t>road show</w:t>
      </w:r>
      <w:r>
        <w:rPr>
          <w:rFonts w:ascii="Times New Roman" w:cs="Times New Roman" w:eastAsia="Times New Roman" w:hAnsi="Times New Roman"/>
          <w:sz w:val="18"/>
          <w:szCs w:val="18"/>
          <w:color w:val="auto"/>
        </w:rPr>
        <w:t>”),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the Underwriters through the Representatives consists of Underwriter Information as defined in paragraph (b) below.</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880"/>
          </w:cols>
          <w:pgMar w:left="500" w:top="268" w:right="519" w:bottom="1440" w:gutter="0" w:footer="0" w:header="0"/>
        </w:sectPr>
      </w:pPr>
    </w:p>
    <w:bookmarkStart w:id="362" w:name="page363"/>
    <w:bookmarkEnd w:id="362"/>
    <w:p>
      <w:pPr>
        <w:ind w:right="120" w:firstLine="428"/>
        <w:spacing w:after="0" w:line="267" w:lineRule="auto"/>
        <w:tabs>
          <w:tab w:leader="none" w:pos="671"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expressly for use in the Registration Statement, any preliminary prospectus, the Time of Sale Prospectus, any issuer free writing prospectus, road show or the Prospectus or any amendment or supplement thereto (the “</w:t>
      </w:r>
      <w:r>
        <w:rPr>
          <w:rFonts w:ascii="Times New Roman" w:cs="Times New Roman" w:eastAsia="Times New Roman" w:hAnsi="Times New Roman"/>
          <w:sz w:val="17"/>
          <w:szCs w:val="17"/>
          <w:b w:val="1"/>
          <w:bCs w:val="1"/>
          <w:color w:val="auto"/>
        </w:rPr>
        <w:t>Underwriter Information</w:t>
      </w:r>
      <w:r>
        <w:rPr>
          <w:rFonts w:ascii="Times New Roman" w:cs="Times New Roman" w:eastAsia="Times New Roman" w:hAnsi="Times New Roman"/>
          <w:sz w:val="17"/>
          <w:szCs w:val="17"/>
          <w:color w:val="auto"/>
        </w:rPr>
        <w:t>”), it being understood and agreed that the only such information furnished by any such Underwriter consists of the following information in the Registration Statement, the Time of Sale Prospectus, and the Prospectus: the concession figure appearing in the third paragraph under the caption “Underwriters”; the information concerning sales to discretionary accounts appearing in the sole sentence of the seventh paragraph under the “Underwriters”; and the information concerning stabilization in the twelfth paragraph, other than in the third and eighth sentences thereof, under the caption “Underwriters.”</w:t>
      </w:r>
    </w:p>
    <w:p>
      <w:pPr>
        <w:spacing w:after="0" w:line="69" w:lineRule="exact"/>
        <w:rPr>
          <w:rFonts w:ascii="Times New Roman" w:cs="Times New Roman" w:eastAsia="Times New Roman" w:hAnsi="Times New Roman"/>
          <w:sz w:val="17"/>
          <w:szCs w:val="17"/>
          <w:color w:val="auto"/>
        </w:rPr>
      </w:pPr>
    </w:p>
    <w:p>
      <w:pPr>
        <w:ind w:firstLine="428"/>
        <w:spacing w:after="0" w:line="265" w:lineRule="auto"/>
        <w:tabs>
          <w:tab w:leader="none" w:pos="661"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any proceeding (including any governmental investigation) shall be instituted involving any person in respect of which indemnity may be sought pursuant to Section 8(a) or 8(b), such person (the “</w:t>
      </w:r>
      <w:r>
        <w:rPr>
          <w:rFonts w:ascii="Times New Roman" w:cs="Times New Roman" w:eastAsia="Times New Roman" w:hAnsi="Times New Roman"/>
          <w:sz w:val="17"/>
          <w:szCs w:val="17"/>
          <w:b w:val="1"/>
          <w:bCs w:val="1"/>
          <w:color w:val="auto"/>
        </w:rPr>
        <w:t>indemnified party</w:t>
      </w:r>
      <w:r>
        <w:rPr>
          <w:rFonts w:ascii="Times New Roman" w:cs="Times New Roman" w:eastAsia="Times New Roman" w:hAnsi="Times New Roman"/>
          <w:sz w:val="17"/>
          <w:szCs w:val="17"/>
          <w:color w:val="auto"/>
        </w:rPr>
        <w:t>”) shall promptly notify the person against whom such indemnity may be sought (the “</w:t>
      </w:r>
      <w:r>
        <w:rPr>
          <w:rFonts w:ascii="Times New Roman" w:cs="Times New Roman" w:eastAsia="Times New Roman" w:hAnsi="Times New Roman"/>
          <w:sz w:val="17"/>
          <w:szCs w:val="17"/>
          <w:b w:val="1"/>
          <w:bCs w:val="1"/>
          <w:color w:val="auto"/>
        </w:rPr>
        <w:t>indemnifying party</w:t>
      </w:r>
      <w:r>
        <w:rPr>
          <w:rFonts w:ascii="Times New Roman" w:cs="Times New Roman" w:eastAsia="Times New Roman" w:hAnsi="Times New Roman"/>
          <w:sz w:val="17"/>
          <w:szCs w:val="17"/>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in writing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(x)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w:t>
      </w:r>
    </w:p>
    <w:p>
      <w:pPr>
        <w:spacing w:after="0" w:line="32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460"/>
          </w:cols>
          <w:pgMar w:left="920" w:top="268" w:right="519" w:bottom="1440" w:gutter="0" w:footer="0" w:header="0"/>
        </w:sectPr>
      </w:pPr>
    </w:p>
    <w:bookmarkStart w:id="363" w:name="page364"/>
    <w:bookmarkEnd w:id="363"/>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(a) includes an unconditional release of such indemnified party from all liability on claims that are the subject matter of such proceeding and (b) does not include any statement as to any admission of fault, culpability, or a failure to act by or on behalf of any indemnified party.</w:t>
      </w:r>
    </w:p>
    <w:p>
      <w:pPr>
        <w:spacing w:after="0" w:line="82" w:lineRule="exact"/>
        <w:rPr>
          <w:sz w:val="20"/>
          <w:szCs w:val="20"/>
          <w:color w:val="auto"/>
        </w:rPr>
      </w:pPr>
    </w:p>
    <w:p>
      <w:pPr>
        <w:ind w:firstLine="428"/>
        <w:spacing w:after="0" w:line="249" w:lineRule="auto"/>
        <w:tabs>
          <w:tab w:leader="none" w:pos="671"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Shares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(after deducting underwriting commission and discounts but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Shares they have purchased hereunder, and not joint.</w:t>
      </w:r>
    </w:p>
    <w:p>
      <w:pPr>
        <w:spacing w:after="0" w:line="13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440"/>
          </w:cols>
          <w:pgMar w:left="920" w:top="268" w:right="539" w:bottom="1440" w:gutter="0" w:footer="0" w:header="0"/>
        </w:sectPr>
      </w:pPr>
    </w:p>
    <w:bookmarkStart w:id="364" w:name="page365"/>
    <w:bookmarkEnd w:id="364"/>
    <w:p>
      <w:pPr>
        <w:ind w:left="420" w:firstLine="428"/>
        <w:spacing w:after="0" w:line="250" w:lineRule="auto"/>
        <w:tabs>
          <w:tab w:leader="none" w:pos="1081"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The Company and the Underwriters agree that it would not be just or equitable if contribution pursuant to this Section 8 were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86" w:lineRule="exact"/>
        <w:rPr>
          <w:rFonts w:ascii="Times New Roman" w:cs="Times New Roman" w:eastAsia="Times New Roman" w:hAnsi="Times New Roman"/>
          <w:sz w:val="18"/>
          <w:szCs w:val="18"/>
          <w:color w:val="auto"/>
        </w:rPr>
      </w:pPr>
    </w:p>
    <w:p>
      <w:pPr>
        <w:ind w:left="420" w:right="360" w:firstLine="428"/>
        <w:spacing w:after="0" w:line="274" w:lineRule="auto"/>
        <w:tabs>
          <w:tab w:leader="none" w:pos="1061" w:val="left"/>
        </w:tabs>
        <w:numPr>
          <w:ilvl w:val="1"/>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w:t>
      </w:r>
    </w:p>
    <w:p>
      <w:pPr>
        <w:jc w:val="both"/>
        <w:ind w:left="420" w:right="140" w:firstLine="10"/>
        <w:spacing w:after="0" w:line="251" w:lineRule="auto"/>
        <w:tabs>
          <w:tab w:leader="none" w:pos="68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Shares.</w:t>
      </w:r>
    </w:p>
    <w:p>
      <w:pPr>
        <w:spacing w:after="0" w:line="185" w:lineRule="exact"/>
        <w:rPr>
          <w:sz w:val="20"/>
          <w:szCs w:val="20"/>
          <w:color w:val="auto"/>
        </w:rPr>
      </w:pPr>
    </w:p>
    <w:p>
      <w:pPr>
        <w:ind w:right="20" w:firstLine="430"/>
        <w:spacing w:after="0" w:line="251" w:lineRule="auto"/>
        <w:tabs>
          <w:tab w:leader="none" w:pos="614"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Underwriters may terminate this Agreement by notice given by the Representatives to the Company, if after the execution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this Agreement and prior to or on the Closing Date or any Option Closing Date, as the case may be, (i) trading generally shall have been suspended or materially limited on, or by, as the case may be, any of the New York Stock Exchange, the NYSE American, the Nasdaq Global Market, the Chicago Board of Options Exchange, the Chicago Mercantile Exchange or the Chicago Board of Trade,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Shares on the terms and in the manner contemplated in the Time of Sale Prospectus or the Prospectus.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880"/>
          </w:cols>
          <w:pgMar w:left="500" w:top="268" w:right="519" w:bottom="1440" w:gutter="0" w:footer="0" w:header="0"/>
        </w:sectPr>
      </w:pPr>
    </w:p>
    <w:bookmarkStart w:id="365" w:name="page366"/>
    <w:bookmarkEnd w:id="365"/>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10. </w:t>
      </w:r>
      <w:r>
        <w:rPr>
          <w:rFonts w:ascii="Times New Roman" w:cs="Times New Roman" w:eastAsia="Times New Roman" w:hAnsi="Times New Roman"/>
          <w:sz w:val="18"/>
          <w:szCs w:val="18"/>
          <w:i w:val="1"/>
          <w:iCs w:val="1"/>
          <w:color w:val="auto"/>
        </w:rPr>
        <w:t>Effectiveness; Defaulting Underwriters</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222" w:lineRule="exact"/>
        <w:rPr>
          <w:sz w:val="20"/>
          <w:szCs w:val="20"/>
          <w:color w:val="auto"/>
        </w:rPr>
      </w:pPr>
    </w:p>
    <w:p>
      <w:pPr>
        <w:ind w:firstLine="436"/>
        <w:spacing w:after="0" w:line="249" w:lineRule="auto"/>
        <w:rPr>
          <w:sz w:val="20"/>
          <w:szCs w:val="20"/>
          <w:color w:val="auto"/>
        </w:rPr>
      </w:pPr>
      <w:r>
        <w:rPr>
          <w:rFonts w:ascii="Times New Roman" w:cs="Times New Roman" w:eastAsia="Times New Roman" w:hAnsi="Times New Roman"/>
          <w:sz w:val="18"/>
          <w:szCs w:val="18"/>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the Representatives may specify, to purchase the Shares which such defaulting Underwriter or Underwriters agreed but failed or refused to purchase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number of Shares that any Underwriter has agreed to purchase pursuant to this Agreement be increased pursuant to this Section 10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Representatives and the Company for the purchase of such Firm Shares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93"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(other than by reason of a default by the Underwriters or the occurrence of any of the events described in clause (i), (iii), (iv), or (v) of Section 9 hereof),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880"/>
          </w:cols>
          <w:pgMar w:left="500" w:top="266" w:right="519" w:bottom="1440" w:gutter="0" w:footer="0" w:header="0"/>
        </w:sectPr>
      </w:pPr>
    </w:p>
    <w:bookmarkStart w:id="366" w:name="page367"/>
    <w:bookmarkEnd w:id="366"/>
    <w:p>
      <w:pPr>
        <w:ind w:firstLine="430"/>
        <w:spacing w:after="0" w:line="258" w:lineRule="auto"/>
        <w:tabs>
          <w:tab w:leader="none" w:pos="69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Entire Agreement</w:t>
      </w:r>
      <w:r>
        <w:rPr>
          <w:rFonts w:ascii="Times New Roman" w:cs="Times New Roman" w:eastAsia="Times New Roman" w:hAnsi="Times New Roman"/>
          <w:sz w:val="18"/>
          <w:szCs w:val="18"/>
          <w:color w:val="auto"/>
        </w:rPr>
        <w:t>. (a) This Agreement, together with any contemporaneous written agreements and any prior written agreements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superseded by this Agreement) that relate to the offering of the Shares, represents the entire agreement between the Company and the Underwriters with respect to the preparation of any preliminary prospectus, the Time of Sale Prospectus, the Prospectus, the conduct of the offering, and the purchase and sale of the Shares.</w:t>
      </w:r>
    </w:p>
    <w:p>
      <w:pPr>
        <w:spacing w:after="0" w:line="73" w:lineRule="exact"/>
        <w:rPr>
          <w:rFonts w:ascii="Times New Roman" w:cs="Times New Roman" w:eastAsia="Times New Roman" w:hAnsi="Times New Roman"/>
          <w:sz w:val="18"/>
          <w:szCs w:val="18"/>
          <w:color w:val="auto"/>
        </w:rPr>
      </w:pPr>
    </w:p>
    <w:p>
      <w:pPr>
        <w:ind w:left="420" w:right="160" w:firstLine="428"/>
        <w:spacing w:after="0" w:line="270" w:lineRule="auto"/>
        <w:tabs>
          <w:tab w:leader="none" w:pos="1091" w:val="left"/>
        </w:tabs>
        <w:numPr>
          <w:ilvl w:val="1"/>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any contemporaneous written agreements, and prior written agreements (to the extent not superseded by this Agreement), if any, (iii) the Underwriters may have interests that differ from those of the Company, and (iv) none of the activities of the Underwriters in connection with the transactions contemplated herein constitutes a recommendation, investment advice, or solicitation of any action by the Underwriters with respect to any entity or natural person. The Company waives to the full extent permitted by applicable law any claims it may have against the Underwriters arising from an alleged breach of fiduciary duty in connection with the offering of the Shares.</w:t>
      </w:r>
    </w:p>
    <w:p>
      <w:pPr>
        <w:spacing w:after="0" w:line="168" w:lineRule="exact"/>
        <w:rPr>
          <w:rFonts w:ascii="Times New Roman" w:cs="Times New Roman" w:eastAsia="Times New Roman" w:hAnsi="Times New Roman"/>
          <w:sz w:val="17"/>
          <w:szCs w:val="17"/>
          <w:color w:val="auto"/>
        </w:rPr>
      </w:pPr>
    </w:p>
    <w:p>
      <w:pPr>
        <w:ind w:right="80" w:firstLine="430"/>
        <w:spacing w:after="0" w:line="258" w:lineRule="auto"/>
        <w:tabs>
          <w:tab w:leader="none" w:pos="703"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 (a) In the event that any Underwriter that is a Covered Entity becomes subject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3" w:lineRule="exact"/>
        <w:rPr>
          <w:rFonts w:ascii="Times New Roman" w:cs="Times New Roman" w:eastAsia="Times New Roman" w:hAnsi="Times New Roman"/>
          <w:sz w:val="18"/>
          <w:szCs w:val="18"/>
          <w:color w:val="auto"/>
        </w:rPr>
      </w:pPr>
    </w:p>
    <w:p>
      <w:pPr>
        <w:ind w:left="420" w:firstLine="428"/>
        <w:spacing w:after="0" w:line="257" w:lineRule="auto"/>
        <w:tabs>
          <w:tab w:leader="none" w:pos="1091"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8"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color w:val="auto"/>
        </w:rPr>
        <w:t>For purposes of this Section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840"/>
          </w:cols>
          <w:pgMar w:left="500" w:top="266" w:right="559" w:bottom="1440" w:gutter="0" w:footer="0" w:header="0"/>
        </w:sectPr>
      </w:pPr>
    </w:p>
    <w:bookmarkStart w:id="367" w:name="page368"/>
    <w:bookmarkEnd w:id="367"/>
    <w:p>
      <w:pPr>
        <w:ind w:right="120" w:firstLine="430"/>
        <w:spacing w:after="0" w:line="255" w:lineRule="auto"/>
        <w:tabs>
          <w:tab w:leader="none" w:pos="703"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Counterparts</w:t>
      </w:r>
      <w:r>
        <w:rPr>
          <w:rFonts w:ascii="Times New Roman" w:cs="Times New Roman" w:eastAsia="Times New Roman" w:hAnsi="Times New Roman"/>
          <w:sz w:val="18"/>
          <w:szCs w:val="18"/>
          <w:color w:val="auto"/>
        </w:rPr>
        <w:t>. This Agreement may be signed in two or more counterparts, each of which shall be an original, with the same effect as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signatures thereto and hereto were upon the same instrument. Counterparts may be delivered via facsimile, electronic mail (including any electronic signature complying with the U.S. federal ESIGN Act of 2000, Uniform Electronic Transactions Act or other applicable law, e.g., www.Docusign.com) or other transmission method any counterpart so delivered shall be deemed to have been duly and validly delivered and be valid and effective for all purposes.</w:t>
      </w:r>
    </w:p>
    <w:p>
      <w:pPr>
        <w:spacing w:after="0" w:line="182" w:lineRule="exact"/>
        <w:rPr>
          <w:rFonts w:ascii="Times New Roman" w:cs="Times New Roman" w:eastAsia="Times New Roman" w:hAnsi="Times New Roman"/>
          <w:sz w:val="18"/>
          <w:szCs w:val="18"/>
          <w:color w:val="auto"/>
        </w:rPr>
      </w:pPr>
    </w:p>
    <w:p>
      <w:pPr>
        <w:ind w:right="280" w:firstLine="430"/>
        <w:spacing w:after="0" w:line="279" w:lineRule="auto"/>
        <w:tabs>
          <w:tab w:leader="none" w:pos="703"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Waiver of Jury Trial. </w:t>
      </w:r>
      <w:r>
        <w:rPr>
          <w:rFonts w:ascii="Times New Roman" w:cs="Times New Roman" w:eastAsia="Times New Roman" w:hAnsi="Times New Roman"/>
          <w:sz w:val="18"/>
          <w:szCs w:val="18"/>
          <w:color w:val="auto"/>
        </w:rPr>
        <w:t>Each of the parties hereto hereby waives any right to trial by jury in any suit or proceeding arising out of or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w:t>
      </w:r>
    </w:p>
    <w:p>
      <w:pPr>
        <w:spacing w:after="0" w:line="159" w:lineRule="exact"/>
        <w:rPr>
          <w:rFonts w:ascii="Times New Roman" w:cs="Times New Roman" w:eastAsia="Times New Roman" w:hAnsi="Times New Roman"/>
          <w:sz w:val="18"/>
          <w:szCs w:val="18"/>
          <w:color w:val="auto"/>
        </w:rPr>
      </w:pPr>
    </w:p>
    <w:p>
      <w:pPr>
        <w:ind w:left="700" w:hanging="270"/>
        <w:spacing w:after="0"/>
        <w:tabs>
          <w:tab w:leader="none" w:pos="7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Applicable Law</w:t>
      </w:r>
      <w:r>
        <w:rPr>
          <w:rFonts w:ascii="Times New Roman" w:cs="Times New Roman" w:eastAsia="Times New Roman" w:hAnsi="Times New Roman"/>
          <w:sz w:val="18"/>
          <w:szCs w:val="18"/>
          <w:color w:val="auto"/>
        </w:rPr>
        <w:t>. This Agreement shall be governed by and construed in accordance with the internal laws of the State of New York.</w:t>
      </w:r>
    </w:p>
    <w:p>
      <w:pPr>
        <w:spacing w:after="0" w:line="220" w:lineRule="exact"/>
        <w:rPr>
          <w:rFonts w:ascii="Times New Roman" w:cs="Times New Roman" w:eastAsia="Times New Roman" w:hAnsi="Times New Roman"/>
          <w:sz w:val="18"/>
          <w:szCs w:val="18"/>
          <w:color w:val="auto"/>
        </w:rPr>
      </w:pPr>
    </w:p>
    <w:p>
      <w:pPr>
        <w:ind w:right="40" w:firstLine="430"/>
        <w:spacing w:after="0" w:line="279" w:lineRule="auto"/>
        <w:tabs>
          <w:tab w:leader="none" w:pos="703"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of the sections of this Agreement have been inserted for convenience of reference only and shall not be deemed a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Agreement.</w:t>
      </w:r>
    </w:p>
    <w:p>
      <w:pPr>
        <w:spacing w:after="0" w:line="159" w:lineRule="exact"/>
        <w:rPr>
          <w:rFonts w:ascii="Times New Roman" w:cs="Times New Roman" w:eastAsia="Times New Roman" w:hAnsi="Times New Roman"/>
          <w:sz w:val="18"/>
          <w:szCs w:val="18"/>
          <w:color w:val="auto"/>
        </w:rPr>
      </w:pPr>
    </w:p>
    <w:p>
      <w:pPr>
        <w:ind w:firstLine="430"/>
        <w:spacing w:after="0" w:line="236" w:lineRule="auto"/>
        <w:tabs>
          <w:tab w:leader="none" w:pos="703"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communications hereunder shall be in writing and effective only upon receipt and if to the Underwriters shall be delivered, mailed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sent to (i) Morgan Stanley &amp; Co. LLC, 1585 Broadway, 29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10036, Attention: Equity Syndicate Desk, with a copy to the Legal Department (Fax. No.: (212) 507-8999), (ii) Goldman Sachs &amp; Co. LLC, 200 West Street, New York, New York 10282, Attention: Registration Department (Fax No.: (212) 902-9316) (Email: registration-syndops@ny.email.gs.com), and (iii) J.P. Morgan Securities LLC, 383 Madison Avenue, New York, New York 10179, Attention: Equity Syndicate Desk (Fax No.: (212) 622-8358); and if to the Company shall be delivered, mailed or sent to Omada Health, Inc., 500 Sansome Street, Suite 200, San Francisco, California 94111, Attention: General Counsel, with a copy to general.counsel@omadahealth.com.</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00"/>
          </w:cols>
          <w:pgMar w:left="500" w:top="266" w:right="499" w:bottom="1440" w:gutter="0" w:footer="0" w:header="0"/>
        </w:sectPr>
      </w:pPr>
    </w:p>
    <w:bookmarkStart w:id="368" w:name="page369"/>
    <w:bookmarkEnd w:id="368"/>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Very truly yours,</w:t>
      </w:r>
    </w:p>
    <w:p>
      <w:pPr>
        <w:spacing w:after="0" w:line="24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OMADA HEALTH, INC.</w:t>
      </w:r>
    </w:p>
    <w:p>
      <w:pPr>
        <w:spacing w:after="0" w:line="24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15875</wp:posOffset>
            </wp:positionV>
            <wp:extent cx="25361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72">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Underwriting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8" w:right="1440"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Accepted as of the date hereof</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severally on behalf of themselves and the several</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Underwriters named in Schedule I hereto.</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MORGAN STANLEY &amp; CO. LLC</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15875</wp:posOffset>
            </wp:positionV>
            <wp:extent cx="25361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74">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GOLDMAN SACHS &amp; CO. LLC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15875</wp:posOffset>
            </wp:positionV>
            <wp:extent cx="25361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5">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J.P. MORGAN SECURITIES LLC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15875</wp:posOffset>
            </wp:positionV>
            <wp:extent cx="25361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6">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33"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9959"/>
          </w:cols>
          <w:pgMar w:left="500" w:top="268" w:right="1440" w:bottom="1440" w:gutter="0" w:footer="0" w:header="0"/>
        </w:sectPr>
      </w:pPr>
    </w:p>
    <w:bookmarkStart w:id="370" w:name="page371"/>
    <w:bookmarkEnd w:id="370"/>
    <w:tbl>
      <w:tblPr>
        <w:tblLayout w:type="fixed"/>
        <w:tblInd w:w="0" w:type="dxa"/>
        <w:tblCellMar>
          <w:top w:w="0" w:type="dxa"/>
          <w:left w:w="0" w:type="dxa"/>
          <w:bottom w:w="0" w:type="dxa"/>
          <w:right w:w="0" w:type="dxa"/>
        </w:tblCellMar>
      </w:tblPr>
      <w:tr>
        <w:trPr>
          <w:trHeight w:val="237"/>
        </w:trPr>
        <w:tc>
          <w:tcPr>
            <w:tcW w:w="7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74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w w:val="97"/>
              </w:rPr>
              <w:t>SCHEDULE I</w:t>
            </w:r>
          </w:p>
        </w:tc>
        <w:tc>
          <w:tcPr>
            <w:tcW w:w="0" w:type="dxa"/>
            <w:vAlign w:val="bottom"/>
          </w:tcPr>
          <w:p>
            <w:pPr>
              <w:spacing w:after="0"/>
              <w:rPr>
                <w:sz w:val="1"/>
                <w:szCs w:val="1"/>
                <w:color w:val="auto"/>
              </w:rPr>
            </w:pPr>
          </w:p>
        </w:tc>
      </w:tr>
      <w:tr>
        <w:trPr>
          <w:trHeight w:val="362"/>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900" w:type="dxa"/>
            <w:vAlign w:val="bottom"/>
            <w:vMerge w:val="restart"/>
          </w:tcPr>
          <w:p>
            <w:pPr>
              <w:spacing w:after="0"/>
              <w:rPr>
                <w:sz w:val="24"/>
                <w:szCs w:val="24"/>
                <w:color w:val="auto"/>
              </w:rPr>
            </w:pPr>
          </w:p>
        </w:tc>
        <w:tc>
          <w:tcPr>
            <w:tcW w:w="7220" w:type="dxa"/>
            <w:vAlign w:val="bottom"/>
            <w:gridSpan w:val="3"/>
          </w:tcPr>
          <w:p>
            <w:pPr>
              <w:ind w:left="5460"/>
              <w:spacing w:after="0"/>
              <w:rPr>
                <w:sz w:val="20"/>
                <w:szCs w:val="20"/>
                <w:color w:val="auto"/>
              </w:rPr>
            </w:pPr>
            <w:r>
              <w:rPr>
                <w:rFonts w:ascii="Times New Roman" w:cs="Times New Roman" w:eastAsia="Times New Roman" w:hAnsi="Times New Roman"/>
                <w:sz w:val="14"/>
                <w:szCs w:val="14"/>
                <w:b w:val="1"/>
                <w:bCs w:val="1"/>
                <w:color w:val="auto"/>
              </w:rPr>
              <w:t>Number of Firm Shares To</w:t>
            </w:r>
          </w:p>
        </w:tc>
        <w:tc>
          <w:tcPr>
            <w:tcW w:w="0" w:type="dxa"/>
            <w:vAlign w:val="bottom"/>
          </w:tcPr>
          <w:p>
            <w:pPr>
              <w:spacing w:after="0"/>
              <w:rPr>
                <w:sz w:val="1"/>
                <w:szCs w:val="1"/>
                <w:color w:val="auto"/>
              </w:rPr>
            </w:pPr>
          </w:p>
        </w:tc>
      </w:tr>
      <w:tr>
        <w:trPr>
          <w:trHeight w:val="163"/>
        </w:trPr>
        <w:tc>
          <w:tcPr>
            <w:tcW w:w="780" w:type="dxa"/>
            <w:vAlign w:val="bottom"/>
            <w:tcBorders>
              <w:bottom w:val="single" w:sz="8" w:color="auto"/>
            </w:tcBorders>
            <w:vMerge w:val="continue"/>
          </w:tcPr>
          <w:p>
            <w:pPr>
              <w:spacing w:after="0"/>
              <w:rPr>
                <w:sz w:val="13"/>
                <w:szCs w:val="13"/>
                <w:color w:val="auto"/>
              </w:rPr>
            </w:pPr>
          </w:p>
        </w:tc>
        <w:tc>
          <w:tcPr>
            <w:tcW w:w="2900" w:type="dxa"/>
            <w:vAlign w:val="bottom"/>
            <w:vMerge w:val="continue"/>
          </w:tcPr>
          <w:p>
            <w:pPr>
              <w:spacing w:after="0"/>
              <w:rPr>
                <w:sz w:val="13"/>
                <w:szCs w:val="13"/>
                <w:color w:val="auto"/>
              </w:rPr>
            </w:pPr>
          </w:p>
        </w:tc>
        <w:tc>
          <w:tcPr>
            <w:tcW w:w="5480" w:type="dxa"/>
            <w:vAlign w:val="bottom"/>
          </w:tcPr>
          <w:p>
            <w:pPr>
              <w:spacing w:after="0"/>
              <w:rPr>
                <w:sz w:val="13"/>
                <w:szCs w:val="13"/>
                <w:color w:val="auto"/>
              </w:rPr>
            </w:pPr>
          </w:p>
        </w:tc>
        <w:tc>
          <w:tcPr>
            <w:tcW w:w="1740" w:type="dxa"/>
            <w:vAlign w:val="bottom"/>
            <w:gridSpan w:val="2"/>
          </w:tcPr>
          <w:p>
            <w:pPr>
              <w:ind w:left="400"/>
              <w:spacing w:after="0" w:line="158"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20"/>
        </w:trPr>
        <w:tc>
          <w:tcPr>
            <w:tcW w:w="3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548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680" w:type="dxa"/>
            <w:vAlign w:val="bottom"/>
            <w:gridSpan w:val="2"/>
            <w:vMerge w:val="continue"/>
            <w:shd w:val="clear" w:color="auto" w:fill="CCEEFF"/>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ind w:left="1500"/>
              <w:spacing w:after="0" w:line="20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5480" w:type="dxa"/>
            <w:vAlign w:val="bottom"/>
          </w:tcPr>
          <w:p>
            <w:pPr>
              <w:spacing w:after="0"/>
              <w:rPr>
                <w:sz w:val="18"/>
                <w:szCs w:val="18"/>
                <w:color w:val="auto"/>
              </w:rPr>
            </w:pPr>
          </w:p>
        </w:tc>
        <w:tc>
          <w:tcPr>
            <w:tcW w:w="17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54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5480" w:type="dxa"/>
            <w:vAlign w:val="bottom"/>
          </w:tcPr>
          <w:p>
            <w:pPr>
              <w:spacing w:after="0"/>
              <w:rPr>
                <w:sz w:val="18"/>
                <w:szCs w:val="18"/>
                <w:color w:val="auto"/>
              </w:rPr>
            </w:pPr>
          </w:p>
        </w:tc>
        <w:tc>
          <w:tcPr>
            <w:tcW w:w="17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Evercore Group L.L.C.</w:t>
            </w:r>
          </w:p>
        </w:tc>
        <w:tc>
          <w:tcPr>
            <w:tcW w:w="54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Canaccord Genuity LLC</w:t>
            </w:r>
          </w:p>
        </w:tc>
        <w:tc>
          <w:tcPr>
            <w:tcW w:w="5480" w:type="dxa"/>
            <w:vAlign w:val="bottom"/>
          </w:tcPr>
          <w:p>
            <w:pPr>
              <w:spacing w:after="0"/>
              <w:rPr>
                <w:sz w:val="18"/>
                <w:szCs w:val="18"/>
                <w:color w:val="auto"/>
              </w:rPr>
            </w:pPr>
          </w:p>
        </w:tc>
        <w:tc>
          <w:tcPr>
            <w:tcW w:w="17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Needham &amp; Company, LLC</w:t>
            </w:r>
          </w:p>
        </w:tc>
        <w:tc>
          <w:tcPr>
            <w:tcW w:w="54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4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680" w:type="dxa"/>
            <w:vAlign w:val="bottom"/>
            <w:gridSpan w:val="2"/>
            <w:vMerge w:val="continue"/>
          </w:tcPr>
          <w:p>
            <w:pPr>
              <w:spacing w:after="0"/>
              <w:rPr>
                <w:sz w:val="19"/>
                <w:szCs w:val="19"/>
                <w:color w:val="auto"/>
              </w:rPr>
            </w:pPr>
          </w:p>
        </w:tc>
        <w:tc>
          <w:tcPr>
            <w:tcW w:w="5480" w:type="dxa"/>
            <w:vAlign w:val="bottom"/>
          </w:tcPr>
          <w:p>
            <w:pPr>
              <w:spacing w:after="0"/>
              <w:rPr>
                <w:sz w:val="19"/>
                <w:szCs w:val="19"/>
                <w:color w:val="auto"/>
              </w:rPr>
            </w:pPr>
          </w:p>
        </w:tc>
        <w:tc>
          <w:tcPr>
            <w:tcW w:w="17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7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22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I-1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00"/>
          </w:cols>
          <w:pgMar w:left="500" w:top="264" w:right="49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371" w:name="page372"/>
    <w:bookmarkEnd w:id="37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SCHEDULE II</w:t>
      </w:r>
    </w:p>
    <w:p>
      <w:pPr>
        <w:spacing w:after="0" w:line="2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Time of Sale Prospectus</w:t>
      </w:r>
    </w:p>
    <w:p>
      <w:pPr>
        <w:spacing w:after="0" w:line="251" w:lineRule="exact"/>
        <w:rPr>
          <w:sz w:val="20"/>
          <w:szCs w:val="20"/>
          <w:color w:val="auto"/>
        </w:rPr>
      </w:pPr>
    </w:p>
    <w:p>
      <w:pPr>
        <w:ind w:left="426" w:hanging="426"/>
        <w:spacing w:after="0"/>
        <w:tabs>
          <w:tab w:leader="none" w:pos="42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Prospectus issued [•], 2025</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all free writing prospectuses filed by the Company under Rule 433(d) of the Securities Act]</w:t>
      </w:r>
    </w:p>
    <w:p>
      <w:pPr>
        <w:spacing w:after="0" w:line="126" w:lineRule="exact"/>
        <w:rPr>
          <w:rFonts w:ascii="Times New Roman" w:cs="Times New Roman" w:eastAsia="Times New Roman" w:hAnsi="Times New Roman"/>
          <w:sz w:val="18"/>
          <w:szCs w:val="18"/>
          <w:color w:val="auto"/>
        </w:rPr>
      </w:pPr>
    </w:p>
    <w:p>
      <w:pPr>
        <w:ind w:left="426" w:right="180" w:hanging="426"/>
        <w:spacing w:after="0" w:line="277" w:lineRule="auto"/>
        <w:tabs>
          <w:tab w:leader="none" w:pos="42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writing prospectus containing a description of terms that does not reflect final terms, if the Time of Sale Prospectus does not include a final term sheet]</w:t>
      </w:r>
    </w:p>
    <w:p>
      <w:pPr>
        <w:spacing w:after="0" w:line="69"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information:</w:t>
      </w:r>
    </w:p>
    <w:p>
      <w:pPr>
        <w:spacing w:after="0" w:line="26" w:lineRule="exact"/>
        <w:rPr>
          <w:sz w:val="20"/>
          <w:szCs w:val="20"/>
          <w:color w:val="auto"/>
        </w:rPr>
      </w:pPr>
    </w:p>
    <w:p>
      <w:pPr>
        <w:ind w:left="1386"/>
        <w:spacing w:after="0"/>
        <w:rPr>
          <w:sz w:val="20"/>
          <w:szCs w:val="20"/>
          <w:color w:val="auto"/>
        </w:rPr>
      </w:pPr>
      <w:r>
        <w:rPr>
          <w:rFonts w:ascii="Times New Roman" w:cs="Times New Roman" w:eastAsia="Times New Roman" w:hAnsi="Times New Roman"/>
          <w:sz w:val="18"/>
          <w:szCs w:val="18"/>
          <w:color w:val="auto"/>
        </w:rPr>
        <w:t>Firm Shares: [•]</w:t>
      </w:r>
    </w:p>
    <w:p>
      <w:pPr>
        <w:spacing w:after="0" w:line="7" w:lineRule="exact"/>
        <w:rPr>
          <w:sz w:val="20"/>
          <w:szCs w:val="20"/>
          <w:color w:val="auto"/>
        </w:rPr>
      </w:pPr>
    </w:p>
    <w:p>
      <w:pPr>
        <w:ind w:left="1386"/>
        <w:spacing w:after="0"/>
        <w:rPr>
          <w:sz w:val="20"/>
          <w:szCs w:val="20"/>
          <w:color w:val="auto"/>
        </w:rPr>
      </w:pPr>
      <w:r>
        <w:rPr>
          <w:rFonts w:ascii="Times New Roman" w:cs="Times New Roman" w:eastAsia="Times New Roman" w:hAnsi="Times New Roman"/>
          <w:sz w:val="18"/>
          <w:szCs w:val="18"/>
          <w:color w:val="auto"/>
        </w:rPr>
        <w:t>Additional Shares: [•]</w:t>
      </w:r>
    </w:p>
    <w:p>
      <w:pPr>
        <w:spacing w:after="0" w:line="7" w:lineRule="exact"/>
        <w:rPr>
          <w:sz w:val="20"/>
          <w:szCs w:val="20"/>
          <w:color w:val="auto"/>
        </w:rPr>
      </w:pPr>
    </w:p>
    <w:p>
      <w:pPr>
        <w:ind w:left="1386"/>
        <w:spacing w:after="0"/>
        <w:rPr>
          <w:sz w:val="20"/>
          <w:szCs w:val="20"/>
          <w:color w:val="auto"/>
        </w:rPr>
      </w:pPr>
      <w:r>
        <w:rPr>
          <w:rFonts w:ascii="Times New Roman" w:cs="Times New Roman" w:eastAsia="Times New Roman" w:hAnsi="Times New Roman"/>
          <w:sz w:val="18"/>
          <w:szCs w:val="18"/>
          <w:color w:val="auto"/>
        </w:rPr>
        <w:t>Public Offering Price: $[•] per share</w:t>
      </w:r>
    </w:p>
    <w:p>
      <w:pPr>
        <w:spacing w:after="0" w:line="37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0906"/>
          </w:cols>
          <w:pgMar w:left="494" w:top="263" w:right="499" w:bottom="1440" w:gutter="0" w:footer="0" w:header="0"/>
        </w:sectPr>
      </w:pPr>
    </w:p>
    <w:bookmarkStart w:id="372" w:name="page373"/>
    <w:bookmarkEnd w:id="37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9">
                      <a:extLst>
                        <a:ext uri="{28A0092B-C50C-407E-A947-70E740481C1C}"/>
                      </a:extLst>
                    </a:blip>
                    <a:srcRect/>
                    <a:stretch>
                      <a:fillRect/>
                    </a:stretch>
                  </pic:blipFill>
                  <pic:spPr bwMode="auto">
                    <a:xfrm>
                      <a:off x="0" y="0"/>
                      <a:ext cx="7176135" cy="37465"/>
                    </a:xfrm>
                    <a:prstGeom prst="rect">
                      <a:avLst/>
                    </a:prstGeom>
                    <a:noFill/>
                  </pic:spPr>
                </pic:pic>
              </a:graphicData>
            </a:graphic>
          </wp:anchor>
        </w:drawing>
        <w:t>SCHEDULE III</w:t>
      </w:r>
    </w:p>
    <w:p>
      <w:pPr>
        <w:spacing w:after="0" w:line="22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Written Testing-the-Waters Communications</w:t>
      </w:r>
    </w:p>
    <w:p>
      <w:pPr>
        <w:spacing w:after="0" w:line="251" w:lineRule="exact"/>
        <w:rPr>
          <w:sz w:val="20"/>
          <w:szCs w:val="20"/>
          <w:color w:val="auto"/>
        </w:rPr>
      </w:pPr>
    </w:p>
    <w:p>
      <w:pPr>
        <w:ind w:left="540" w:hanging="539"/>
        <w:spacing w:after="0"/>
        <w:tabs>
          <w:tab w:leader="none" w:pos="5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3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III-1</w:t>
      </w:r>
    </w:p>
    <w:p>
      <w:pPr>
        <w:sectPr>
          <w:pgSz w:w="11900" w:h="16838" w:orient="portrait"/>
          <w:cols w:equalWidth="0" w:num="1">
            <w:col w:w="10480"/>
          </w:cols>
          <w:pgMar w:left="920" w:top="263" w:right="499" w:bottom="1440" w:gutter="0" w:footer="0" w:header="0"/>
        </w:sectPr>
      </w:pPr>
    </w:p>
    <w:bookmarkStart w:id="373" w:name="page374"/>
    <w:bookmarkEnd w:id="37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IV</w:t>
      </w:r>
    </w:p>
    <w:p>
      <w:pPr>
        <w:spacing w:after="0" w:line="2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51" w:lineRule="exact"/>
        <w:rPr>
          <w:sz w:val="20"/>
          <w:szCs w:val="20"/>
          <w:color w:val="auto"/>
        </w:rPr>
      </w:pPr>
    </w:p>
    <w:p>
      <w:pPr>
        <w:ind w:left="540" w:hanging="539"/>
        <w:spacing w:after="0"/>
        <w:tabs>
          <w:tab w:leader="none" w:pos="5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Physera, Inc.</w:t>
      </w:r>
    </w:p>
    <w:p>
      <w:pPr>
        <w:spacing w:after="0" w:line="3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IV-1</w:t>
      </w:r>
    </w:p>
    <w:p>
      <w:pPr>
        <w:sectPr>
          <w:pgSz w:w="11900" w:h="16838" w:orient="portrait"/>
          <w:cols w:equalWidth="0" w:num="1">
            <w:col w:w="10480"/>
          </w:cols>
          <w:pgMar w:left="920" w:top="264" w:right="499" w:bottom="1440" w:gutter="0" w:footer="0" w:header="0"/>
        </w:sectPr>
      </w:pPr>
    </w:p>
    <w:bookmarkStart w:id="374" w:name="page375"/>
    <w:bookmarkEnd w:id="37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_____________,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Morgan Stanley &amp; Co. LLC</w:t>
      </w:r>
    </w:p>
    <w:p>
      <w:pPr>
        <w:spacing w:after="0" w:line="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1585 Broadway</w:t>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200 West Street</w:t>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ind w:right="60" w:firstLine="436"/>
        <w:spacing w:after="0" w:line="257" w:lineRule="auto"/>
        <w:rPr>
          <w:sz w:val="20"/>
          <w:szCs w:val="20"/>
          <w:color w:val="auto"/>
        </w:rPr>
      </w:pPr>
      <w:r>
        <w:rPr>
          <w:rFonts w:ascii="Times New Roman" w:cs="Times New Roman" w:eastAsia="Times New Roman" w:hAnsi="Times New Roman"/>
          <w:sz w:val="18"/>
          <w:szCs w:val="18"/>
          <w:color w:val="auto"/>
        </w:rPr>
        <w:t>The undersigned understands that Morgan Stanley &amp; Co. LLC, Goldman Sachs &amp; Co. LLC and J.P. Morgan Securities LLC (together,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propose to enter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with Omada Health,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providing for the public offering (the “</w:t>
      </w:r>
      <w:r>
        <w:rPr>
          <w:rFonts w:ascii="Times New Roman" w:cs="Times New Roman" w:eastAsia="Times New Roman" w:hAnsi="Times New Roman"/>
          <w:sz w:val="18"/>
          <w:szCs w:val="18"/>
          <w:b w:val="1"/>
          <w:bCs w:val="1"/>
          <w:color w:val="auto"/>
        </w:rPr>
        <w:t>Public Offering</w:t>
      </w:r>
      <w:r>
        <w:rPr>
          <w:rFonts w:ascii="Times New Roman" w:cs="Times New Roman" w:eastAsia="Times New Roman" w:hAnsi="Times New Roman"/>
          <w:sz w:val="18"/>
          <w:szCs w:val="18"/>
          <w:color w:val="auto"/>
        </w:rPr>
        <w:t>”) by the several Underwriters, including the Representatives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of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common stock, par value $0.001 per share, of the Company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100" w:firstLine="436"/>
        <w:spacing w:after="0" w:line="250" w:lineRule="auto"/>
        <w:rPr>
          <w:sz w:val="20"/>
          <w:szCs w:val="20"/>
          <w:color w:val="auto"/>
        </w:rPr>
      </w:pPr>
      <w:r>
        <w:rPr>
          <w:rFonts w:ascii="Times New Roman" w:cs="Times New Roman" w:eastAsia="Times New Roman" w:hAnsi="Times New Roman"/>
          <w:sz w:val="18"/>
          <w:szCs w:val="18"/>
          <w:color w:val="auto"/>
        </w:rPr>
        <w:t>To induce the Underwriters that may participate in the Public Offering to continue their efforts in connection with the Public Offering, the undersigned hereby agrees that, without the prior written consent of the Representatives on behalf of the Underwriters, it will not, and will not publicly disclose an intention to, during the period commencing on the date hereof and ending 180 days after the date of the final prospectus (the “</w:t>
      </w:r>
      <w:r>
        <w:rPr>
          <w:rFonts w:ascii="Times New Roman" w:cs="Times New Roman" w:eastAsia="Times New Roman" w:hAnsi="Times New Roman"/>
          <w:sz w:val="18"/>
          <w:szCs w:val="18"/>
          <w:b w:val="1"/>
          <w:b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relating to the Public Offering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(1) offer, pledge, sell, contract to sell, sell any option or contract to purchase, purchase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by the undersigned or any other securities so owned convertible into or exercisable or exchangeable for Common Stock (including, without limitation, the Company’s preferred stock or securities which may be issued upon exercise of stock options, restricted stock units or warrants) (collectively, “</w:t>
      </w: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or (2) enter into any swap or other arrangement that transfers to another, in whole or in part, any of the economic consequences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ownership of the Common Stock or Other Securities, whether any such transaction described in clause (1) or (2) above is to be settled by delivery of Common Stock or such Other Securities, in cash or otherwise. The foregoing sentence shall not apply to:</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900"/>
          </w:cols>
          <w:pgMar w:left="500" w:top="264" w:right="499" w:bottom="1440" w:gutter="0" w:footer="0" w:header="0"/>
        </w:sectPr>
      </w:pPr>
    </w:p>
    <w:bookmarkStart w:id="375" w:name="page376"/>
    <w:bookmarkEnd w:id="375"/>
    <w:p>
      <w:pPr>
        <w:ind w:left="6" w:right="60" w:firstLine="430"/>
        <w:spacing w:after="0" w:line="253" w:lineRule="auto"/>
        <w:tabs>
          <w:tab w:leader="none" w:pos="684"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8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transactions relating to shares of Common Stock or Other Securities acquired in the Public Offering or in open market or other transactions after the completion of the Public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filing under Section 16(a) of the Exchange Act or other public filing, report or announcement reporting a reduction in beneficial ownership of Common Stock or Other Securities shall be required or shall be voluntarily made in connection with subsequent sales of Common Stock or Other Securities acquired in the Public Offering or in such open market or other transactions (other than any filing on a Schedule 13D, Schedule 13G or Form 13F (or any amendments to such schedules or forms) that is required to be filed during the Restricted Period);</w:t>
      </w:r>
    </w:p>
    <w:p>
      <w:pPr>
        <w:spacing w:after="0" w:line="186" w:lineRule="exact"/>
        <w:rPr>
          <w:rFonts w:ascii="Times New Roman" w:cs="Times New Roman" w:eastAsia="Times New Roman" w:hAnsi="Times New Roman"/>
          <w:sz w:val="18"/>
          <w:szCs w:val="18"/>
          <w:color w:val="auto"/>
        </w:rPr>
      </w:pPr>
    </w:p>
    <w:p>
      <w:pPr>
        <w:jc w:val="both"/>
        <w:ind w:left="6" w:firstLine="430"/>
        <w:spacing w:after="0" w:line="270" w:lineRule="auto"/>
        <w:tabs>
          <w:tab w:leader="none" w:pos="694" w:val="left"/>
        </w:tabs>
        <w:numPr>
          <w:ilvl w:val="1"/>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transfers of shares of Common Stock or Other Securities (i) as a bona fide gift or charitable contribution (including any pledge or similar commitment to donate shares of Common Stock or Other Securities and/or proceeds from the sale of shares of Common Stock or Other Securities pursuant to a charitable contribution) or for bona fide estate planning purposes, (ii) upon death or by will, testamentary document or intestate succession,</w:t>
      </w:r>
    </w:p>
    <w:p>
      <w:pPr>
        <w:ind w:left="6" w:right="20" w:hanging="6"/>
        <w:spacing w:after="0" w:line="249" w:lineRule="auto"/>
        <w:tabs>
          <w:tab w:leader="none" w:pos="31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immediate family member of the undersigned or to any trust for the direct or indirect benefit of the undersigned or the immediate family of the undersigned (for purposes of this letter agreement, “immediate family” shall mean any relationship by blood, current or former marriage, domestic partnership or adoption, not more remote than first cousin), (iv) if the undersigned is a trust, to any trustor or beneficiary of the undersigned or the estate of any such beneficiary, (v) to a partnership, limited liability company or other entity of which the undersigned or an immediate family member of the undersigned is the legal and beneficial owner of all of the outstanding equity securities or similar interests or (vi) to a nominee or custodian of a person or entity to whom a disposition or transfer would be permissible under clauses (b)(i) through (b)(v) above;</w:t>
      </w:r>
    </w:p>
    <w:p>
      <w:pPr>
        <w:spacing w:after="0" w:line="188" w:lineRule="exact"/>
        <w:rPr>
          <w:rFonts w:ascii="Times New Roman" w:cs="Times New Roman" w:eastAsia="Times New Roman" w:hAnsi="Times New Roman"/>
          <w:sz w:val="18"/>
          <w:szCs w:val="18"/>
          <w:color w:val="auto"/>
        </w:rPr>
      </w:pPr>
    </w:p>
    <w:p>
      <w:pPr>
        <w:ind w:left="6" w:firstLine="430"/>
        <w:spacing w:after="0" w:line="253" w:lineRule="auto"/>
        <w:tabs>
          <w:tab w:leader="none" w:pos="684"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limited liability company, trust or other business entity, distributions, transfers or dispositions of shares of Common Stock or Other Securities (i)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the undersigned or affiliates of the undersigned, or (ii) as part of a distribution, transfer or disposition by the undersigned to its stockholders, current or former partners (general or limited), members, beneficiaries or other equity holders, or to the estates of any such stockholders, partners, beneficiaries or other equity holders;</w:t>
      </w:r>
    </w:p>
    <w:p>
      <w:pPr>
        <w:spacing w:after="0" w:line="186" w:lineRule="exact"/>
        <w:rPr>
          <w:rFonts w:ascii="Times New Roman" w:cs="Times New Roman" w:eastAsia="Times New Roman" w:hAnsi="Times New Roman"/>
          <w:sz w:val="18"/>
          <w:szCs w:val="18"/>
          <w:color w:val="auto"/>
        </w:rPr>
      </w:pPr>
    </w:p>
    <w:p>
      <w:pPr>
        <w:ind w:left="6" w:right="400" w:firstLine="430"/>
        <w:spacing w:after="0" w:line="285" w:lineRule="auto"/>
        <w:tabs>
          <w:tab w:leader="none" w:pos="694" w:val="left"/>
        </w:tabs>
        <w:numPr>
          <w:ilvl w:val="1"/>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transfer of shares of Common Stock or any securities convertible into Common Stock to the Company upon the exercise of options or warrants to purchase the Company’s securities on a “cashless” or “net exercise” basis to the extent permitted by the instruments representing such securities, options or warrants (and any transfer to the Company necessary in respect of such amount needed for the payment of taxes, including</w:t>
      </w:r>
    </w:p>
    <w:p>
      <w:pPr>
        <w:spacing w:after="0" w:line="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886"/>
          </w:cols>
          <w:pgMar w:left="494" w:top="267" w:right="519" w:bottom="1440" w:gutter="0" w:footer="0" w:header="0"/>
        </w:sectPr>
      </w:pPr>
    </w:p>
    <w:bookmarkStart w:id="376" w:name="page377"/>
    <w:bookmarkEnd w:id="376"/>
    <w:p>
      <w:pPr>
        <w:ind w:left="6" w:right="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estimated taxes, due as a result of such exercise whether by means of a “net settlement” or otherwise) so long as such “cashless” exercise or “net exercise” is effected solely by the surrender of outstanding securities, options or warrants (or the Common Stock or Other Securities issuable upon the exercise thereof) to the Company and the Company’s cancellation of all or a portion thereof to pay the exercise price and/or withholding tax and remittance obligations;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(x) the shares of Common Stock or Other Securities received upon exercise of the security, option or warrant are subject to the terms of this letter agreement, and (y) any filing under Section 16(a) of the Exchange Act shall clearly indicate in the footnotes thereto that</w:t>
      </w:r>
    </w:p>
    <w:p>
      <w:pPr>
        <w:ind w:left="6" w:right="180" w:hanging="6"/>
        <w:spacing w:after="0" w:line="251" w:lineRule="auto"/>
        <w:tabs>
          <w:tab w:leader="none" w:pos="298"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filing relates to the circumstances described above, including that the Common Stock or Other Securities remain subject to the terms of this letter agreement and (B) no shares were sold by the reporting person;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such options or warrants were granted or issued by the undersigned pursuant to an agreement, stock incentive plan or other equity award plan of the Company described in the Prospectus;</w:t>
      </w:r>
    </w:p>
    <w:p>
      <w:pPr>
        <w:spacing w:after="0" w:line="186" w:lineRule="exact"/>
        <w:rPr>
          <w:rFonts w:ascii="Times New Roman" w:cs="Times New Roman" w:eastAsia="Times New Roman" w:hAnsi="Times New Roman"/>
          <w:sz w:val="18"/>
          <w:szCs w:val="18"/>
          <w:color w:val="auto"/>
        </w:rPr>
      </w:pPr>
    </w:p>
    <w:p>
      <w:pPr>
        <w:ind w:left="6" w:right="20" w:firstLine="430"/>
        <w:spacing w:after="0" w:line="255" w:lineRule="auto"/>
        <w:tabs>
          <w:tab w:leader="none" w:pos="684"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transfer of the undersigned’s shares of Common Stock or Other Securities or a broker-assisted sale or cashless exercise to satisfy any tax obligations or payments (including the payment of exercise prices) due as a result of the exercise of stock options that will expire during the Restricted Period (including, if the undersigned is an employee, consultant, director or other service provider of the Company, as a result of the termination of the undersigned’s employment or service with the Company), provided that any securities received upon such exercise that are not sold or transferred to cover any such tax or payment obligations shall be subject to the terms of this letter agreement;</w:t>
      </w:r>
    </w:p>
    <w:p>
      <w:pPr>
        <w:spacing w:after="0" w:line="182" w:lineRule="exact"/>
        <w:rPr>
          <w:rFonts w:ascii="Times New Roman" w:cs="Times New Roman" w:eastAsia="Times New Roman" w:hAnsi="Times New Roman"/>
          <w:sz w:val="18"/>
          <w:szCs w:val="18"/>
          <w:color w:val="auto"/>
        </w:rPr>
      </w:pPr>
    </w:p>
    <w:p>
      <w:pPr>
        <w:ind w:left="6" w:firstLine="430"/>
        <w:spacing w:after="0" w:line="255" w:lineRule="auto"/>
        <w:tabs>
          <w:tab w:leader="none" w:pos="664"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pursuant to Rule 10b5-1 under the Exchange Act for the transfer of shares of Common Stock or Other Securities (a “</w:t>
      </w:r>
      <w:r>
        <w:rPr>
          <w:rFonts w:ascii="Times New Roman" w:cs="Times New Roman" w:eastAsia="Times New Roman" w:hAnsi="Times New Roman"/>
          <w:sz w:val="18"/>
          <w:szCs w:val="18"/>
          <w:b w:val="1"/>
          <w:bCs w:val="1"/>
          <w:color w:val="auto"/>
        </w:rPr>
        <w:t>10b5-1 Plan</w:t>
      </w:r>
      <w:r>
        <w:rPr>
          <w:rFonts w:ascii="Times New Roman" w:cs="Times New Roman" w:eastAsia="Times New Roman" w:hAnsi="Times New Roman"/>
          <w:sz w:val="18"/>
          <w:szCs w:val="18"/>
          <w:color w:val="auto"/>
        </w:rPr>
        <w:t>”), provided that (i) such 10b5-1 Plan does not provide for the transfer of Common Stock or Other Securities during the Restricted Period and (ii) to the extent a public announcement or filing under the Exchange Act, if any, is required of or voluntarily made by or on behalf of the undersigned or the Company regarding the establishment of such 10b5-1 Plan during the Restricted Period, such announcement or filing shall include a statement to the effect that no transfer of shares of Common Stock may be made under such 10b5-1 Plan during the Restricted Period;</w:t>
      </w:r>
    </w:p>
    <w:p>
      <w:pPr>
        <w:spacing w:after="0" w:line="182" w:lineRule="exact"/>
        <w:rPr>
          <w:rFonts w:ascii="Times New Roman" w:cs="Times New Roman" w:eastAsia="Times New Roman" w:hAnsi="Times New Roman"/>
          <w:sz w:val="18"/>
          <w:szCs w:val="18"/>
          <w:color w:val="auto"/>
        </w:rPr>
      </w:pPr>
    </w:p>
    <w:p>
      <w:pPr>
        <w:ind w:left="6" w:right="180" w:firstLine="430"/>
        <w:spacing w:after="0" w:line="277" w:lineRule="auto"/>
        <w:tabs>
          <w:tab w:leader="none" w:pos="694"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Common Stock or Other Securities that occurs by operation of law pursuant to a qualified domestic order in connection with a divorce settlement or other court order;</w:t>
      </w:r>
    </w:p>
    <w:p>
      <w:pPr>
        <w:spacing w:after="0" w:line="163" w:lineRule="exact"/>
        <w:rPr>
          <w:rFonts w:ascii="Times New Roman" w:cs="Times New Roman" w:eastAsia="Times New Roman" w:hAnsi="Times New Roman"/>
          <w:sz w:val="18"/>
          <w:szCs w:val="18"/>
          <w:color w:val="auto"/>
        </w:rPr>
      </w:pPr>
    </w:p>
    <w:p>
      <w:pPr>
        <w:ind w:left="6" w:right="300" w:firstLine="430"/>
        <w:spacing w:after="0" w:line="257" w:lineRule="auto"/>
        <w:tabs>
          <w:tab w:leader="none" w:pos="694"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the outstanding preferred stock or warrants to acquire preferred stock of the Company into shares of Common Stock or warrants to acquire shares of Common Stock prior to or in connection with the consummation of the Public Offering, or the conversion, exchange or reclassification of any shares of any class of the Company’s common stock into shares of Common Stock, provided that any such shares of Common Stock or warrants received upon such conversion shall be subject to the terms of this letter agreement;</w:t>
      </w:r>
    </w:p>
    <w:p>
      <w:pPr>
        <w:spacing w:after="0" w:line="11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906"/>
          </w:cols>
          <w:pgMar w:left="494" w:top="268" w:right="499" w:bottom="1440" w:gutter="0" w:footer="0" w:header="0"/>
        </w:sectPr>
      </w:pPr>
    </w:p>
    <w:bookmarkStart w:id="377" w:name="page378"/>
    <w:bookmarkEnd w:id="377"/>
    <w:p>
      <w:pPr>
        <w:ind w:right="60" w:firstLine="430"/>
        <w:spacing w:after="0" w:line="252" w:lineRule="auto"/>
        <w:tabs>
          <w:tab w:leader="none" w:pos="64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transfer of shares of Common Stock or Other Securities in connection with a bona fide third-party tender offer, merger, consolidation or other similar transaction, that is approved by the Board of Directors of the Company, made to all holders of the Company’s capital stock involving a Change of Control (as defined below), provided that in the event that the tender offer, merger, consolidation or other such transaction is not completed, the Common Stock or Other Securities owned by the undersigned shall remain subject to the restrictions contained in this letter agreement. For the purposes of this clause (i),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the transfer (whether by tender offer, merger, consolidation or other similar transaction), in one transaction or a series of related transactions, to a person or group of affiliated persons (other than the Underwriters pursuant to the Public Offering), of shares of Common Stock or Other Securities if, after such transfer, the stockholders of the Company immediately prior to such transfer do not own at least fifty percent (50%) of the outstanding voting securities of the Company (or the surviving entity);</w:t>
      </w:r>
    </w:p>
    <w:p>
      <w:pPr>
        <w:spacing w:after="0" w:line="184" w:lineRule="exact"/>
        <w:rPr>
          <w:rFonts w:ascii="Times New Roman" w:cs="Times New Roman" w:eastAsia="Times New Roman" w:hAnsi="Times New Roman"/>
          <w:sz w:val="18"/>
          <w:szCs w:val="18"/>
          <w:color w:val="auto"/>
        </w:rPr>
      </w:pPr>
    </w:p>
    <w:p>
      <w:pPr>
        <w:jc w:val="both"/>
        <w:ind w:right="200" w:firstLine="430"/>
        <w:spacing w:after="0" w:line="257" w:lineRule="auto"/>
        <w:tabs>
          <w:tab w:leader="none" w:pos="64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shares of Common Stock or Other Securities to the Company pursuant to arrangements under which the Company has the option to repurchase such shares or Other Securities or a right of first refusal with respect to such securities or to the Company from an employee, consultant, director or other service provider upon death, disability or termination of employment or service of such employee, consultant, director or other service provider;</w:t>
      </w:r>
    </w:p>
    <w:p>
      <w:pPr>
        <w:spacing w:after="0" w:line="182" w:lineRule="exact"/>
        <w:rPr>
          <w:rFonts w:ascii="Times New Roman" w:cs="Times New Roman" w:eastAsia="Times New Roman" w:hAnsi="Times New Roman"/>
          <w:sz w:val="18"/>
          <w:szCs w:val="18"/>
          <w:color w:val="auto"/>
        </w:rPr>
      </w:pPr>
    </w:p>
    <w:p>
      <w:pPr>
        <w:ind w:right="340" w:firstLine="430"/>
        <w:spacing w:after="0" w:line="262" w:lineRule="auto"/>
        <w:tabs>
          <w:tab w:leader="none" w:pos="68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conversion of warrants to purchase shares of Common Stock of the Company that are outstanding as of the date of the Prospectus into shares of Common Stock prior to or in connection with the consummation of the Public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shares of Common Stock received upon such conversion shall be subject to the terms of this letter agreement;</w:t>
      </w:r>
    </w:p>
    <w:p>
      <w:pPr>
        <w:spacing w:after="0" w:line="177" w:lineRule="exact"/>
        <w:rPr>
          <w:rFonts w:ascii="Times New Roman" w:cs="Times New Roman" w:eastAsia="Times New Roman" w:hAnsi="Times New Roman"/>
          <w:sz w:val="18"/>
          <w:szCs w:val="18"/>
          <w:color w:val="auto"/>
        </w:rPr>
      </w:pPr>
    </w:p>
    <w:p>
      <w:pPr>
        <w:ind w:left="640" w:hanging="210"/>
        <w:spacing w:after="0"/>
        <w:tabs>
          <w:tab w:leader="none" w:pos="64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sales of Common Stock by the undersigned to the Underwriters pursuant to the Underwriting Agreement; or</w:t>
      </w:r>
    </w:p>
    <w:p>
      <w:pPr>
        <w:spacing w:after="0" w:line="220" w:lineRule="exact"/>
        <w:rPr>
          <w:rFonts w:ascii="Times New Roman" w:cs="Times New Roman" w:eastAsia="Times New Roman" w:hAnsi="Times New Roman"/>
          <w:sz w:val="18"/>
          <w:szCs w:val="18"/>
          <w:color w:val="auto"/>
        </w:rPr>
      </w:pPr>
    </w:p>
    <w:p>
      <w:pPr>
        <w:ind w:right="180" w:firstLine="430"/>
        <w:spacing w:after="0" w:line="255" w:lineRule="auto"/>
        <w:tabs>
          <w:tab w:leader="none" w:pos="737"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sales in open market transactions during the Restricted Period to generate such amount of net proceeds to the undersigned from such sales (after deducting commissions) in an aggregate amount up to the total amount of taxes or estimated taxes (as applicable) that become due as a result of the vesting and/or settlement of Company equity awards held by the undersigned and issued pursuant to a plan or arrangement described in the Prospectus that vest and/or settle during the Restricted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any shares of Common Stock or Other Securities retained by the undersigned after giving effect to this provision shall be subject to the terms of this letter agreement;</w:t>
      </w:r>
    </w:p>
    <w:p>
      <w:pPr>
        <w:spacing w:after="0" w:line="181"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any transfer, distribution or disposition pursuant to clause (b) or (c), (i) such transfer shall not involve a disposition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(ii) each transferee, donee or distributee shall sign and deliver a lock-up agreement substantially in the form of this letter agreement and (iii) no filing under Section 16(a) of the Exchange Act, or other public filing, report or announcement reporting a reduction in beneficial ownership of shares of Common Stock, shall be required or shall be voluntarily made</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840"/>
          </w:cols>
          <w:pgMar w:left="500" w:top="268" w:right="559" w:bottom="1440" w:gutter="0" w:footer="0" w:header="0"/>
        </w:sectPr>
      </w:pPr>
    </w:p>
    <w:bookmarkStart w:id="378" w:name="page379"/>
    <w:bookmarkEnd w:id="378"/>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during the Restricted Period (other than a filing on a Schedule 13D, Schedule 13G or Form 13F (or any amendments to such schedules or forms) that is required to be filed during the Restricted Period, or, in the case of a transfer pursuant to clause (b) only, a filing required pursuant to Section 16(a) of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filing shall state that such transfer relates to the circumstances described in clause (b) and that such shares remain subject to the restrictions set forth herein);</w:t>
      </w:r>
    </w:p>
    <w:p>
      <w:pPr>
        <w:spacing w:after="0" w:line="180" w:lineRule="exact"/>
        <w:rPr>
          <w:sz w:val="20"/>
          <w:szCs w:val="20"/>
          <w:color w:val="auto"/>
        </w:rPr>
      </w:pPr>
    </w:p>
    <w:p>
      <w:pPr>
        <w:jc w:val="both"/>
        <w:ind w:right="40" w:firstLine="436"/>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in the case of any sale or transfer pursuant to clause (e), a filing required pursuant to Section 16(a) of the Exchange Act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that such sale or transfer relates to the circumstances described in clause (e);</w:t>
      </w:r>
    </w:p>
    <w:p>
      <w:pPr>
        <w:spacing w:after="0" w:line="160"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in the case of any transfer pursuant to clause (g) or (i), no public announcement or filing under Section 16(a) of the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or any other public filing or disclosure shall be made during the Restricted Period, unless such filing is required and clearly indicates in the footnotes thereto that the transfer is by operation of law, court order, or in connection with a divorce settlement, or a repurchase by the Company, as the case may be; and</w:t>
      </w:r>
    </w:p>
    <w:p>
      <w:pPr>
        <w:spacing w:after="0" w:line="179" w:lineRule="exact"/>
        <w:rPr>
          <w:sz w:val="20"/>
          <w:szCs w:val="20"/>
          <w:color w:val="auto"/>
        </w:rPr>
      </w:pPr>
    </w:p>
    <w:p>
      <w:pPr>
        <w:ind w:right="60" w:firstLine="436"/>
        <w:spacing w:after="0" w:line="286" w:lineRule="auto"/>
        <w:rPr>
          <w:sz w:val="20"/>
          <w:szCs w:val="20"/>
          <w:color w:val="auto"/>
        </w:rPr>
      </w:pPr>
      <w:r>
        <w:rPr>
          <w:rFonts w:ascii="Times New Roman" w:cs="Times New Roman" w:eastAsia="Times New Roman" w:hAnsi="Times New Roman"/>
          <w:sz w:val="17"/>
          <w:szCs w:val="17"/>
          <w:i w:val="1"/>
          <w:iCs w:val="1"/>
          <w:color w:val="auto"/>
        </w:rPr>
        <w:t xml:space="preserve">provided further </w:t>
      </w:r>
      <w:r>
        <w:rPr>
          <w:rFonts w:ascii="Times New Roman" w:cs="Times New Roman" w:eastAsia="Times New Roman" w:hAnsi="Times New Roman"/>
          <w:sz w:val="17"/>
          <w:szCs w:val="17"/>
          <w:color w:val="auto"/>
        </w:rPr>
        <w:t>that in the case of any sale pursuant to clause (m), filings under Section 16(a) of the Exchange Act shall only be permissible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Restricted Period if such filing clearly indicates in the footnotes thereto that the filing relates to securities being sold to generate net proceeds solely to cover taxes or estimated taxes (as applicable) that became due as a result of the vesting and/or settlement of Company equity awards.</w:t>
      </w:r>
    </w:p>
    <w:p>
      <w:pPr>
        <w:spacing w:after="0" w:line="158" w:lineRule="exact"/>
        <w:rPr>
          <w:sz w:val="20"/>
          <w:szCs w:val="20"/>
          <w:color w:val="auto"/>
        </w:rPr>
      </w:pPr>
    </w:p>
    <w:p>
      <w:pPr>
        <w:ind w:right="40" w:firstLine="436"/>
        <w:spacing w:after="0" w:line="252" w:lineRule="auto"/>
        <w:rPr>
          <w:sz w:val="20"/>
          <w:szCs w:val="20"/>
          <w:color w:val="auto"/>
        </w:rPr>
      </w:pPr>
      <w:r>
        <w:rPr>
          <w:rFonts w:ascii="Times New Roman" w:cs="Times New Roman" w:eastAsia="Times New Roman" w:hAnsi="Times New Roman"/>
          <w:sz w:val="18"/>
          <w:szCs w:val="18"/>
          <w:color w:val="auto"/>
        </w:rPr>
        <w:t>In addition, the undersigned agrees that, without the prior written consent of the Representatives on behalf of the Underwriters, it will not, during the Restricted Period, make any demand for or exercise any right with respect to, the registration of any shares of Common Stock or Other Securities; provided that, for the avoidance of doubt, to the extent the undersigned has demand and/or piggyback registration rights, the foregoing shall not prohibit the undersigned from notifying the Company privately that it is or will be exercising its demand and/or piggyback registration rights following the expiration of the Restricted Period so long as such demands or exercises do not involve any public disclosure or public filing during the Restricted Period.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89" w:lineRule="exact"/>
        <w:rPr>
          <w:sz w:val="20"/>
          <w:szCs w:val="20"/>
          <w:color w:val="auto"/>
        </w:rPr>
      </w:pPr>
    </w:p>
    <w:p>
      <w:pPr>
        <w:ind w:right="740" w:firstLine="436"/>
        <w:spacing w:after="0" w:line="277" w:lineRule="auto"/>
        <w:rPr>
          <w:sz w:val="20"/>
          <w:szCs w:val="20"/>
          <w:color w:val="auto"/>
        </w:rPr>
      </w:pPr>
      <w:r>
        <w:rPr>
          <w:rFonts w:ascii="Times New Roman" w:cs="Times New Roman" w:eastAsia="Times New Roman" w:hAnsi="Times New Roman"/>
          <w:sz w:val="18"/>
          <w:szCs w:val="18"/>
          <w:color w:val="auto"/>
        </w:rPr>
        <w:t>If the undersigned is an officer or director of the Company, the undersigned further agrees that the foregoing restrictions shall be equally applicable to any issuer-directed Shares the undersigned may purchase in the Public Offering.</w:t>
      </w:r>
    </w:p>
    <w:p>
      <w:pPr>
        <w:spacing w:after="0" w:line="163" w:lineRule="exact"/>
        <w:rPr>
          <w:sz w:val="20"/>
          <w:szCs w:val="20"/>
          <w:color w:val="auto"/>
        </w:rPr>
      </w:pPr>
    </w:p>
    <w:p>
      <w:pPr>
        <w:ind w:right="60" w:firstLine="436"/>
        <w:spacing w:after="0" w:line="257" w:lineRule="auto"/>
        <w:rPr>
          <w:sz w:val="20"/>
          <w:szCs w:val="20"/>
          <w:color w:val="auto"/>
        </w:rPr>
      </w:pPr>
      <w:r>
        <w:rPr>
          <w:rFonts w:ascii="Times New Roman" w:cs="Times New Roman" w:eastAsia="Times New Roman" w:hAnsi="Times New Roman"/>
          <w:sz w:val="18"/>
          <w:szCs w:val="18"/>
          <w:color w:val="auto"/>
        </w:rPr>
        <w:t>If any record or beneficial owner of any securities of the Company, other than the undersigned, is granted a release from the restrictions described herein or in any similar lock-up agreement during the Restricted Period, then the undersigned shall also be granted an early release from his, her, or its obligations hereunder with respect to a pro rata portion of the securities of the undersigned that are subject to this letter agreement, based on all other similarly restricted securities of the Company and on the maximum percentage of</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880"/>
          </w:cols>
          <w:pgMar w:left="500" w:top="268" w:right="519" w:bottom="1440" w:gutter="0" w:footer="0" w:header="0"/>
        </w:sectPr>
      </w:pPr>
    </w:p>
    <w:bookmarkStart w:id="379" w:name="page380"/>
    <w:bookmarkEnd w:id="379"/>
    <w:p>
      <w:pPr>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shares held by any such beneficial holder being released from such holder’s lock-up agreement (the “</w:t>
      </w:r>
      <w:r>
        <w:rPr>
          <w:rFonts w:ascii="Times New Roman" w:cs="Times New Roman" w:eastAsia="Times New Roman" w:hAnsi="Times New Roman"/>
          <w:sz w:val="18"/>
          <w:szCs w:val="18"/>
          <w:b w:val="1"/>
          <w:bCs w:val="1"/>
          <w:color w:val="auto"/>
        </w:rPr>
        <w:t>Pro-rata Release</w:t>
      </w:r>
      <w:r>
        <w:rPr>
          <w:rFonts w:ascii="Times New Roman" w:cs="Times New Roman" w:eastAsia="Times New Roman" w:hAnsi="Times New Roman"/>
          <w:sz w:val="18"/>
          <w:szCs w:val="18"/>
          <w:color w:val="auto"/>
        </w:rPr>
        <w:t>”); provided, however, that no Pro-rata Release of the undersigned’s securities will occur unless the Representatives have waived such prohibitions with respect to more than 1%, in the aggregate, of the Company’s total outstanding shares of Common Stock as of the date of the Underwriting Agreement (calculated assuming conversion of all outstanding shares of the Company’s preferred stock), in one or a series of similar transactions. The Pro-rata Release shall not be applied in the case of (A) a release effective solely to permit a transfer not involving a disposition for value if the transferee agrees in writing to be bound by the same terms described in this letter agreement or (B) any secondary underwritten public offering of shares of Common Stock (including a secondary underwritten public offering with a primary component); provided that, if the undersigned has a contractual right to demand or require the registration of the undersigned’s shares or otherwise “piggyback” on a registration statement filed by the Company for the offer and sale of Common Stock, the undersigned is offered the opportunity to participate in such underwritten sale on a basis consistent with such contractual rights. Upon the occurrence of a release of a stockholder of its obligations under any lock-up agreement executed in connection with the Public Offering that gives rise to a corresponding release of the undersigned from its obligations hereunder pursuant to the terms of this paragraph, the Representatives shall use commercially reasonable efforts to promptly notify the Company within two business days before the effective date of such release and the Company shall notify the undersigned within five business days of receipt of such notice (provided that the failure to give such notice shall not give rise to any claim or liability against the Company or the Underwriters). The undersigned further acknowledges that the Representatives are under no obligation to inquire into whether, or to ensure that, the Company notifies the undersigned of the delivery by the Representatives of any such notice, which is a matter between the undersigned and the Company. For purposes of determining beneficial ownership of a stockholder, all shares of securities held by investment funds affiliated with such stockholder shall be aggregated.</w:t>
      </w:r>
    </w:p>
    <w:p>
      <w:pPr>
        <w:spacing w:after="0" w:line="200" w:lineRule="exact"/>
        <w:rPr>
          <w:sz w:val="20"/>
          <w:szCs w:val="20"/>
          <w:color w:val="auto"/>
        </w:rPr>
      </w:pPr>
    </w:p>
    <w:p>
      <w:pPr>
        <w:ind w:right="60" w:firstLine="436"/>
        <w:spacing w:after="0" w:line="252" w:lineRule="auto"/>
        <w:rPr>
          <w:sz w:val="20"/>
          <w:szCs w:val="20"/>
          <w:color w:val="auto"/>
        </w:rPr>
      </w:pPr>
      <w:r>
        <w:rPr>
          <w:rFonts w:ascii="Times New Roman" w:cs="Times New Roman" w:eastAsia="Times New Roman" w:hAnsi="Times New Roman"/>
          <w:sz w:val="18"/>
          <w:szCs w:val="18"/>
          <w:color w:val="auto"/>
        </w:rPr>
        <w:t>If the undersigned is an officer or director of the Company, (i) the Representatives agree that, at least three business days before the effective date of any release or waiver of the foregoing restrictions in connection with a transfer of shares of Common Stock, the Representatives will notify the Company in writing of the impending release or waiver, and (ii) the Company will agree or has agreed in the Underwriting Agreement to announce the impending release or waiver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letter agreement to the extent and for the duration that such terms remain in effect at the time of the transfer.</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860"/>
          </w:cols>
          <w:pgMar w:left="500" w:top="264" w:right="539" w:bottom="1440" w:gutter="0" w:footer="0" w:header="0"/>
        </w:sectPr>
      </w:pPr>
    </w:p>
    <w:bookmarkStart w:id="380" w:name="page381"/>
    <w:bookmarkEnd w:id="380"/>
    <w:p>
      <w:pPr>
        <w:ind w:right="160" w:firstLine="436"/>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Notwithstanding anything to the contrary contained herein, if the Restricted Period is scheduled to end during, or within five Trading Days (as defined below) of, a Blackout Period (as defined below), then the Restricted Period will end ten Trading Days prior to the commencement of such Blackout Period (the “</w:t>
      </w:r>
      <w:r>
        <w:rPr>
          <w:rFonts w:ascii="Times New Roman" w:cs="Times New Roman" w:eastAsia="Times New Roman" w:hAnsi="Times New Roman"/>
          <w:sz w:val="18"/>
          <w:szCs w:val="18"/>
          <w:b w:val="1"/>
          <w:bCs w:val="1"/>
          <w:color w:val="auto"/>
        </w:rPr>
        <w:t>Conditional Early Release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promptly upon the Company’s determination of the Conditional Early Release Date and in any event at least five Trading Days in advance of the Conditional Early Release Date, the Company shall notify the Representatives of the date of the impending Conditional Early Release Date, and shall announce the Conditional Early Release Date through a major news service, or on a Form 8-K, at least two Trading Days in advance of the Conditional Early Release Date. For purposes of this letter agreement, a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is a day on which the New York Stock Exchange and the Nasdaq Stock Market are open for the buying and selling of securities, and a “</w:t>
      </w:r>
      <w:r>
        <w:rPr>
          <w:rFonts w:ascii="Times New Roman" w:cs="Times New Roman" w:eastAsia="Times New Roman" w:hAnsi="Times New Roman"/>
          <w:sz w:val="18"/>
          <w:szCs w:val="18"/>
          <w:b w:val="1"/>
          <w:bCs w:val="1"/>
          <w:color w:val="auto"/>
        </w:rPr>
        <w:t>Blackout Period</w:t>
      </w:r>
      <w:r>
        <w:rPr>
          <w:rFonts w:ascii="Times New Roman" w:cs="Times New Roman" w:eastAsia="Times New Roman" w:hAnsi="Times New Roman"/>
          <w:sz w:val="18"/>
          <w:szCs w:val="18"/>
          <w:color w:val="auto"/>
        </w:rPr>
        <w:t>” shall mean a broadly applicable and regularly scheduled period during which trading in the Company’s securities would not be permitted under the Company’s insider trading policy.</w:t>
      </w:r>
    </w:p>
    <w:p>
      <w:pPr>
        <w:spacing w:after="0" w:line="189" w:lineRule="exact"/>
        <w:rPr>
          <w:sz w:val="20"/>
          <w:szCs w:val="20"/>
          <w:color w:val="auto"/>
        </w:rPr>
      </w:pPr>
    </w:p>
    <w:p>
      <w:pPr>
        <w:jc w:val="both"/>
        <w:ind w:right="120" w:firstLine="436"/>
        <w:spacing w:after="0" w:line="262" w:lineRule="auto"/>
        <w:rPr>
          <w:sz w:val="20"/>
          <w:szCs w:val="20"/>
          <w:color w:val="auto"/>
        </w:rPr>
      </w:pPr>
      <w:r>
        <w:rPr>
          <w:rFonts w:ascii="Times New Roman" w:cs="Times New Roman" w:eastAsia="Times New Roman" w:hAnsi="Times New Roman"/>
          <w:sz w:val="18"/>
          <w:szCs w:val="18"/>
          <w:color w:val="auto"/>
        </w:rPr>
        <w:t>The undersigned understands that the Company and the Underwriters are relying upon this letter agreement in proceeding toward consummation of the Public Offering. The undersigned further understands that this letter agreement is irrevocable and shall be binding upon the undersigned’s heirs, legal representatives, successors and assigns.</w:t>
      </w:r>
    </w:p>
    <w:p>
      <w:pPr>
        <w:spacing w:after="0" w:line="177" w:lineRule="exact"/>
        <w:rPr>
          <w:sz w:val="20"/>
          <w:szCs w:val="20"/>
          <w:color w:val="auto"/>
        </w:rPr>
      </w:pPr>
    </w:p>
    <w:p>
      <w:pPr>
        <w:ind w:right="40" w:firstLine="436"/>
        <w:spacing w:after="0" w:line="252"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Public Offering of the Shares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enter into this letter agreement, participate in the Public Offering or sell any Shares at the price determined in the Public Offering and nothing set forth in such disclosures or documentation is intended to suggest that any Underwriter is making such a recommendation.</w:t>
      </w:r>
    </w:p>
    <w:p>
      <w:pPr>
        <w:spacing w:after="0" w:line="189" w:lineRule="exact"/>
        <w:rPr>
          <w:sz w:val="20"/>
          <w:szCs w:val="20"/>
          <w:color w:val="auto"/>
        </w:rPr>
      </w:pPr>
    </w:p>
    <w:p>
      <w:pPr>
        <w:ind w:firstLine="436"/>
        <w:spacing w:after="0" w:line="277" w:lineRule="auto"/>
        <w:rPr>
          <w:sz w:val="20"/>
          <w:szCs w:val="20"/>
          <w:color w:val="auto"/>
        </w:rPr>
      </w:pPr>
      <w:r>
        <w:rPr>
          <w:rFonts w:ascii="Times New Roman" w:cs="Times New Roman" w:eastAsia="Times New Roman" w:hAnsi="Times New Roman"/>
          <w:sz w:val="18"/>
          <w:szCs w:val="18"/>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63" w:lineRule="exact"/>
        <w:rPr>
          <w:sz w:val="20"/>
          <w:szCs w:val="20"/>
          <w:color w:val="auto"/>
        </w:rPr>
      </w:pPr>
    </w:p>
    <w:p>
      <w:pPr>
        <w:ind w:right="20" w:firstLine="436"/>
        <w:spacing w:after="0" w:line="252" w:lineRule="auto"/>
        <w:rPr>
          <w:sz w:val="20"/>
          <w:szCs w:val="20"/>
          <w:color w:val="auto"/>
        </w:rPr>
      </w:pPr>
      <w:r>
        <w:rPr>
          <w:rFonts w:ascii="Times New Roman" w:cs="Times New Roman" w:eastAsia="Times New Roman" w:hAnsi="Times New Roman"/>
          <w:sz w:val="18"/>
          <w:szCs w:val="18"/>
          <w:color w:val="auto"/>
        </w:rPr>
        <w:t>This letter agreement shall automatically terminate, and the undersigned will be released from all of his, her or its obligations hereunder, upon the earliest to occur, if any, of (a) the date that the Company advises the Representatives, or the Representatives advise the Company, in writing, prior to the execution of the Underwriting Agreement, that it has or they have determined not to proceed with the Public Offering, (b) the date that the Company withdraws the registration statement related to the Public Offering before the execution of the Underwriting Agreement, (c) if the Underwriting Agreement is executed but terminated (other than the provisions thereof that survive termination) prior to payment for and delivery of the shares of Common Stock to be sold thereunder, the date that the Underwriting Agreement is terminated or (d) June 30, 2025 if the Public Offering of the Shares has not been completed by such date (provided that the Company may by written notice to the undersigned prior to June 30, 2025 extend such date for a period of up to an additional three months).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0860"/>
          </w:cols>
          <w:pgMar w:left="500" w:top="268" w:right="539" w:bottom="1440" w:gutter="0" w:footer="0" w:header="0"/>
        </w:sectPr>
      </w:pPr>
    </w:p>
    <w:bookmarkStart w:id="381" w:name="page382"/>
    <w:bookmarkEnd w:id="381"/>
    <w:p>
      <w:pPr>
        <w:ind w:firstLine="43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This letter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This letter agreement shall be governed by and construed in accordance with the laws of the State of New York.</w:t>
      </w: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0820"/>
          </w:cols>
          <w:pgMar w:left="500" w:top="268" w:right="579" w:bottom="1440" w:gutter="0" w:footer="0" w:header="0"/>
        </w:sectPr>
      </w:pPr>
    </w:p>
    <w:bookmarkStart w:id="382" w:name="page383"/>
    <w:bookmarkEnd w:id="382"/>
    <w:tbl>
      <w:tblPr>
        <w:tblLayout w:type="fixed"/>
        <w:tblInd w:w="0" w:type="dxa"/>
        <w:tblCellMar>
          <w:top w:w="0" w:type="dxa"/>
          <w:left w:w="0" w:type="dxa"/>
          <w:bottom w:w="0" w:type="dxa"/>
          <w:right w:w="0" w:type="dxa"/>
        </w:tblCellMar>
      </w:tblPr>
      <w:tr>
        <w:trPr>
          <w:trHeight w:val="233"/>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Very truly yours,</w:t>
            </w: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54"/>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IF A NATURAL PERSON:</w:t>
            </w:r>
          </w:p>
        </w:tc>
        <w:tc>
          <w:tcPr>
            <w:tcW w:w="580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IF AN ENTITY OR TRUST:</w:t>
            </w:r>
          </w:p>
        </w:tc>
      </w:tr>
      <w:tr>
        <w:trPr>
          <w:trHeight w:val="42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28"/>
        </w:trPr>
        <w:tc>
          <w:tcPr>
            <w:tcW w:w="640" w:type="dxa"/>
            <w:vAlign w:val="bottom"/>
          </w:tcPr>
          <w:p>
            <w:pPr>
              <w:spacing w:after="0"/>
              <w:rPr>
                <w:sz w:val="19"/>
                <w:szCs w:val="19"/>
                <w:color w:val="auto"/>
              </w:rPr>
            </w:pPr>
          </w:p>
        </w:tc>
        <w:tc>
          <w:tcPr>
            <w:tcW w:w="4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(Duly authorized signature)</w:t>
            </w:r>
          </w:p>
        </w:tc>
        <w:tc>
          <w:tcPr>
            <w:tcW w:w="700" w:type="dxa"/>
            <w:vAlign w:val="bottom"/>
          </w:tcPr>
          <w:p>
            <w:pPr>
              <w:spacing w:after="0"/>
              <w:rPr>
                <w:sz w:val="19"/>
                <w:szCs w:val="19"/>
                <w:color w:val="auto"/>
              </w:rPr>
            </w:pPr>
          </w:p>
        </w:tc>
        <w:tc>
          <w:tcPr>
            <w:tcW w:w="5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(Please print complete name of entity)</w:t>
            </w:r>
          </w:p>
        </w:tc>
      </w:tr>
      <w:tr>
        <w:trPr>
          <w:trHeight w:val="42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58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By:</w:t>
            </w:r>
          </w:p>
        </w:tc>
      </w:tr>
      <w:tr>
        <w:trPr>
          <w:trHeight w:val="228"/>
        </w:trPr>
        <w:tc>
          <w:tcPr>
            <w:tcW w:w="640" w:type="dxa"/>
            <w:vAlign w:val="bottom"/>
          </w:tcPr>
          <w:p>
            <w:pPr>
              <w:spacing w:after="0"/>
              <w:rPr>
                <w:sz w:val="19"/>
                <w:szCs w:val="19"/>
                <w:color w:val="auto"/>
              </w:rPr>
            </w:pPr>
          </w:p>
        </w:tc>
        <w:tc>
          <w:tcPr>
            <w:tcW w:w="4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(Please print full name)</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(Duly authorized signature)</w:t>
            </w:r>
          </w:p>
        </w:tc>
      </w:tr>
      <w:tr>
        <w:trPr>
          <w:trHeight w:val="420"/>
        </w:trPr>
        <w:tc>
          <w:tcPr>
            <w:tcW w:w="6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58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Name:</w:t>
            </w:r>
          </w:p>
        </w:tc>
      </w:tr>
      <w:tr>
        <w:trPr>
          <w:trHeight w:val="228"/>
        </w:trPr>
        <w:tc>
          <w:tcPr>
            <w:tcW w:w="6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(Please print full name)</w:t>
            </w:r>
          </w:p>
        </w:tc>
      </w:tr>
      <w:tr>
        <w:trPr>
          <w:trHeight w:val="420"/>
        </w:trPr>
        <w:tc>
          <w:tcPr>
            <w:tcW w:w="6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58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Title:</w:t>
            </w:r>
          </w:p>
        </w:tc>
      </w:tr>
      <w:tr>
        <w:trPr>
          <w:trHeight w:val="228"/>
        </w:trPr>
        <w:tc>
          <w:tcPr>
            <w:tcW w:w="6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(Please print full title)</w:t>
            </w:r>
          </w:p>
        </w:tc>
      </w:tr>
      <w:tr>
        <w:trPr>
          <w:trHeight w:val="402"/>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c>
          <w:tcPr>
            <w:tcW w:w="58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Address:</w:t>
            </w:r>
          </w:p>
        </w:tc>
      </w:tr>
      <w:tr>
        <w:trPr>
          <w:trHeight w:val="232"/>
        </w:trPr>
        <w:tc>
          <w:tcPr>
            <w:tcW w:w="5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p>
        </w:tc>
      </w:tr>
      <w:tr>
        <w:trPr>
          <w:trHeight w:val="207"/>
        </w:trPr>
        <w:tc>
          <w:tcPr>
            <w:tcW w:w="5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00" w:type="dxa"/>
            <w:vAlign w:val="bottom"/>
          </w:tcPr>
          <w:p>
            <w:pPr>
              <w:spacing w:after="0"/>
              <w:rPr>
                <w:sz w:val="18"/>
                <w:szCs w:val="18"/>
                <w:color w:val="auto"/>
              </w:rPr>
            </w:pPr>
          </w:p>
        </w:tc>
        <w:tc>
          <w:tcPr>
            <w:tcW w:w="5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4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4460" w:type="dxa"/>
            <w:vAlign w:val="bottom"/>
            <w:tcBorders>
              <w:bottom w:val="single" w:sz="8" w:color="auto"/>
            </w:tcBorders>
          </w:tcPr>
          <w:p>
            <w:pPr>
              <w:spacing w:after="0"/>
              <w:rPr>
                <w:sz w:val="24"/>
                <w:szCs w:val="24"/>
                <w:color w:val="auto"/>
              </w:rPr>
            </w:pPr>
          </w:p>
        </w:tc>
        <w:tc>
          <w:tcPr>
            <w:tcW w:w="13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Email:</w:t>
            </w:r>
          </w:p>
        </w:tc>
        <w:tc>
          <w:tcPr>
            <w:tcW w:w="446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0900"/>
          </w:cols>
          <w:pgMar w:left="500" w:top="268" w:right="49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383" w:name="page384"/>
    <w:bookmarkEnd w:id="38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WAIVER OF LOCK-UP</w:t>
      </w:r>
    </w:p>
    <w:p>
      <w:pPr>
        <w:spacing w:after="0" w:line="22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_____________,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Address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or Director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Requesting Waiver]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Mr./Ms. [Name]:</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This letter is being delivered to you in connection with the offering by Omada Health,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of _____ shares of common stock,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and the lock-up agreement dated ____, 2025 (the “Lock-up Agreement”),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by you in connection with such offering, and your request for a [waiver] [release] dated ____, 2025, with respect to ____ shares of Common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firstLine="436"/>
        <w:spacing w:after="0" w:line="274" w:lineRule="auto"/>
        <w:rPr>
          <w:sz w:val="20"/>
          <w:szCs w:val="20"/>
          <w:color w:val="auto"/>
        </w:rPr>
      </w:pPr>
      <w:r>
        <w:rPr>
          <w:rFonts w:ascii="Times New Roman" w:cs="Times New Roman" w:eastAsia="Times New Roman" w:hAnsi="Times New Roman"/>
          <w:sz w:val="17"/>
          <w:szCs w:val="17"/>
          <w:color w:val="auto"/>
        </w:rPr>
        <w:t>Morgan Stanley &amp; Co. LLC, Goldman Sachs &amp; Co. LLC and J.P. Morgan Securities LLC hereby agree to [waive] [release] the transfer restrictions set forth in the Lock-up Agreement, but only with respect to the Shares, effective _____, 2025; provided, however, that such [waiver] [release] is</w:t>
      </w:r>
    </w:p>
    <w:p>
      <w:pPr>
        <w:ind w:right="400"/>
        <w:spacing w:after="0" w:line="255" w:lineRule="auto"/>
        <w:rPr>
          <w:sz w:val="20"/>
          <w:szCs w:val="20"/>
          <w:color w:val="auto"/>
        </w:rPr>
      </w:pPr>
      <w:r>
        <w:rPr>
          <w:rFonts w:ascii="Times New Roman" w:cs="Times New Roman" w:eastAsia="Times New Roman" w:hAnsi="Times New Roman"/>
          <w:sz w:val="18"/>
          <w:szCs w:val="18"/>
          <w:color w:val="auto"/>
        </w:rPr>
        <w:t>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Except as expressly [waived] [released] hereby, the Lock-up Agreement shall remain in full force and effect.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900"/>
          </w:cols>
          <w:pgMar w:left="500" w:top="264" w:right="499" w:bottom="1440" w:gutter="0" w:footer="0" w:header="0"/>
        </w:sectPr>
      </w:pPr>
    </w:p>
    <w:bookmarkStart w:id="384" w:name="page385"/>
    <w:bookmarkEnd w:id="384"/>
    <w:p>
      <w:pPr>
        <w:ind w:left="6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Very truly yours,</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0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auto"/>
        </w:rPr>
        <w:t>Acting severally on behalf of themselves and the several</w:t>
      </w:r>
    </w:p>
    <w:p>
      <w:pPr>
        <w:spacing w:after="0" w:line="3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Underwriters named in Schedule I hereto</w:t>
      </w:r>
    </w:p>
    <w:p>
      <w:pPr>
        <w:spacing w:after="0" w:line="20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15875</wp:posOffset>
            </wp:positionV>
            <wp:extent cx="25361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92">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Title:</w:t>
      </w:r>
    </w:p>
    <w:p>
      <w:pPr>
        <w:spacing w:after="0" w:line="20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15875</wp:posOffset>
            </wp:positionV>
            <wp:extent cx="25361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93">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Title:</w:t>
      </w:r>
    </w:p>
    <w:p>
      <w:pPr>
        <w:spacing w:after="0" w:line="20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15875</wp:posOffset>
            </wp:positionV>
            <wp:extent cx="25361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4">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Title: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Company</w:t>
      </w: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0560"/>
          </w:cols>
          <w:pgMar w:left="500" w:top="268" w:right="839" w:bottom="1440" w:gutter="0" w:footer="0" w:header="0"/>
        </w:sectPr>
      </w:pPr>
    </w:p>
    <w:bookmarkStart w:id="385" w:name="page386"/>
    <w:bookmarkEnd w:id="38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FORM OF PRESS RELEASE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Omada Health,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19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Omada Health,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announced today that Morgan Stanley &amp; Co. LLC, Goldman Sachs &amp; Co. LLC and J.P. Morgan Securities LLC, the lead book-running managers in the Company’s recent public sale of _____ shares of its common stock, are [waiving][releasing] a lock-up restriction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respect to ____ shares of the Company’s common stock held by [certain officers or directors] [an officer or director] of the Company. The [waiver]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[release] will take effect on ____, 2025, and the shares may be sold on or after such date.</w:t>
      </w:r>
    </w:p>
    <w:p>
      <w:pPr>
        <w:spacing w:after="0" w:line="198"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0840"/>
          </w:cols>
          <w:pgMar w:left="500" w:top="264" w:right="559" w:bottom="1440" w:gutter="0" w:footer="0" w:header="0"/>
        </w:sectPr>
      </w:pPr>
    </w:p>
    <w:bookmarkStart w:id="386" w:name="page387"/>
    <w:bookmarkEnd w:id="386"/>
    <w:p>
      <w:pPr>
        <w:jc w:val="right"/>
        <w:spacing w:after="0"/>
        <w:rPr>
          <w:sz w:val="20"/>
          <w:szCs w:val="20"/>
          <w:color w:val="auto"/>
        </w:rPr>
      </w:pPr>
      <w:r>
        <w:rPr>
          <w:rFonts w:ascii="Times New Roman" w:cs="Times New Roman" w:eastAsia="Times New Roman" w:hAnsi="Times New Roman"/>
          <w:sz w:val="18"/>
          <w:szCs w:val="18"/>
          <w:b w:val="1"/>
          <w:bCs w:val="1"/>
          <w:color w:val="auto"/>
        </w:rPr>
        <w:t>Exhibit 3.1(c)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 TO</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RESTATED CERTIFICATE OF INCORPORATION OF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220" w:lineRule="exact"/>
        <w:rPr>
          <w:sz w:val="20"/>
          <w:szCs w:val="20"/>
          <w:color w:val="auto"/>
        </w:rPr>
      </w:pPr>
    </w:p>
    <w:p>
      <w:pPr>
        <w:ind w:right="220" w:firstLine="436"/>
        <w:spacing w:after="0" w:line="282" w:lineRule="auto"/>
        <w:rPr>
          <w:sz w:val="20"/>
          <w:szCs w:val="20"/>
          <w:color w:val="auto"/>
        </w:rPr>
      </w:pPr>
      <w:r>
        <w:rPr>
          <w:rFonts w:ascii="Times New Roman" w:cs="Times New Roman" w:eastAsia="Times New Roman" w:hAnsi="Times New Roman"/>
          <w:sz w:val="18"/>
          <w:szCs w:val="18"/>
          <w:color w:val="auto"/>
        </w:rPr>
        <w:t>Omada Health,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a corporation organized and existing under the General Corporation Law of the State of Delaware (the “</w:t>
      </w:r>
      <w:r>
        <w:rPr>
          <w:rFonts w:ascii="Times New Roman" w:cs="Times New Roman" w:eastAsia="Times New Roman" w:hAnsi="Times New Roman"/>
          <w:sz w:val="18"/>
          <w:szCs w:val="18"/>
          <w:b w:val="1"/>
          <w:bCs w:val="1"/>
          <w:i w:val="1"/>
          <w:iCs w:val="1"/>
          <w:color w:val="auto"/>
        </w:rPr>
        <w:t>General Corporation Law</w:t>
      </w:r>
      <w:r>
        <w:rPr>
          <w:rFonts w:ascii="Times New Roman" w:cs="Times New Roman" w:eastAsia="Times New Roman" w:hAnsi="Times New Roman"/>
          <w:sz w:val="18"/>
          <w:szCs w:val="18"/>
          <w:color w:val="auto"/>
        </w:rPr>
        <w:t>”), hereby certifies as follows:</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1.   The Corporation’s original Certificate of Incorporation was filed with the Secretary of State of the State of Delaware on April 25, 2011.</w:t>
      </w:r>
    </w:p>
    <w:p>
      <w:pPr>
        <w:spacing w:after="0" w:line="216" w:lineRule="exact"/>
        <w:rPr>
          <w:sz w:val="20"/>
          <w:szCs w:val="20"/>
          <w:color w:val="auto"/>
        </w:rPr>
      </w:pPr>
    </w:p>
    <w:p>
      <w:pPr>
        <w:ind w:right="420" w:firstLine="436"/>
        <w:spacing w:after="0" w:line="259" w:lineRule="auto"/>
        <w:rPr>
          <w:sz w:val="20"/>
          <w:szCs w:val="20"/>
          <w:color w:val="auto"/>
        </w:rPr>
      </w:pPr>
      <w:r>
        <w:rPr>
          <w:rFonts w:ascii="Times New Roman" w:cs="Times New Roman" w:eastAsia="Times New Roman" w:hAnsi="Times New Roman"/>
          <w:sz w:val="18"/>
          <w:szCs w:val="18"/>
          <w:color w:val="auto"/>
        </w:rPr>
        <w:t>2.  This Certificate of Amendment to the Corporation’s Restated Certificate of Incorporation of the Corporation (the “</w:t>
      </w:r>
      <w:r>
        <w:rPr>
          <w:rFonts w:ascii="Times New Roman" w:cs="Times New Roman" w:eastAsia="Times New Roman" w:hAnsi="Times New Roman"/>
          <w:sz w:val="18"/>
          <w:szCs w:val="18"/>
          <w:b w:val="1"/>
          <w:bCs w:val="1"/>
          <w:i w:val="1"/>
          <w:iCs w:val="1"/>
          <w:color w:val="auto"/>
        </w:rPr>
        <w:t>Restated Certificate</w:t>
      </w:r>
      <w:r>
        <w:rPr>
          <w:rFonts w:ascii="Times New Roman" w:cs="Times New Roman" w:eastAsia="Times New Roman" w:hAnsi="Times New Roman"/>
          <w:sz w:val="18"/>
          <w:szCs w:val="18"/>
          <w:color w:val="auto"/>
        </w:rPr>
        <w:t>”) herein certified was duly adopted by the Board of Directors of the Corporation in accordance with the applicable provisions of Section 242 of the General Corporation Law and the requisite stockholders of the Corporation have given their written consent in accordance with Section 228 of the General Corporation Law.</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3.   Article IV, Section A, of the Restated Certificate shall be amended and restated to read in its entirety as follows:</w:t>
      </w:r>
    </w:p>
    <w:p>
      <w:pPr>
        <w:spacing w:after="0" w:line="114" w:lineRule="exact"/>
        <w:rPr>
          <w:sz w:val="20"/>
          <w:szCs w:val="20"/>
          <w:color w:val="auto"/>
        </w:rPr>
      </w:pPr>
    </w:p>
    <w:p>
      <w:pPr>
        <w:ind w:left="760"/>
        <w:spacing w:after="0"/>
        <w:tabs>
          <w:tab w:leader="none" w:pos="1220" w:val="left"/>
        </w:tabs>
        <w:rPr>
          <w:sz w:val="20"/>
          <w:szCs w:val="20"/>
          <w:color w:val="auto"/>
        </w:rPr>
      </w:pPr>
      <w:r>
        <w:rPr>
          <w:rFonts w:ascii="Times New Roman" w:cs="Times New Roman" w:eastAsia="Times New Roman" w:hAnsi="Times New Roman"/>
          <w:sz w:val="18"/>
          <w:szCs w:val="18"/>
          <w:color w:val="auto"/>
        </w:rPr>
        <w:t>“A. </w:t>
      </w:r>
      <w:r>
        <w:rPr>
          <w:sz w:val="20"/>
          <w:szCs w:val="20"/>
          <w:color w:val="auto"/>
        </w:rPr>
        <w:tab/>
      </w:r>
      <w:r>
        <w:rPr>
          <w:rFonts w:ascii="Times New Roman" w:cs="Times New Roman" w:eastAsia="Times New Roman" w:hAnsi="Times New Roman"/>
          <w:sz w:val="17"/>
          <w:szCs w:val="17"/>
          <w:u w:val="single" w:color="auto"/>
          <w:color w:val="auto"/>
        </w:rPr>
        <w:t>Reverse Stock Split; Authorization of Stock</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left="760" w:right="80"/>
        <w:spacing w:after="0" w:line="250" w:lineRule="auto"/>
        <w:rPr>
          <w:sz w:val="20"/>
          <w:szCs w:val="20"/>
          <w:color w:val="auto"/>
        </w:rPr>
      </w:pPr>
      <w:r>
        <w:rPr>
          <w:rFonts w:ascii="Times New Roman" w:cs="Times New Roman" w:eastAsia="Times New Roman" w:hAnsi="Times New Roman"/>
          <w:sz w:val="18"/>
          <w:szCs w:val="18"/>
          <w:color w:val="auto"/>
        </w:rPr>
        <w:t>Effective immediately upon the filing of this Certificate of Amendment to the Restated Certificate with the Secretary of State of the State of Delaware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each three (3) outstanding shares of Common Stock (as defined below) shall, automatically and without further action on the part of any stockholders of this corporation, be reclassified as one (1) share of Common Stock (the “</w:t>
      </w:r>
      <w:r>
        <w:rPr>
          <w:rFonts w:ascii="Times New Roman" w:cs="Times New Roman" w:eastAsia="Times New Roman" w:hAnsi="Times New Roman"/>
          <w:sz w:val="18"/>
          <w:szCs w:val="18"/>
          <w:b w:val="1"/>
          <w:bCs w:val="1"/>
          <w:i w:val="1"/>
          <w:iCs w:val="1"/>
          <w:color w:val="auto"/>
        </w:rPr>
        <w:t>Reverse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Split</w:t>
      </w:r>
      <w:r>
        <w:rPr>
          <w:rFonts w:ascii="Times New Roman" w:cs="Times New Roman" w:eastAsia="Times New Roman" w:hAnsi="Times New Roman"/>
          <w:sz w:val="18"/>
          <w:szCs w:val="18"/>
          <w:color w:val="auto"/>
        </w:rPr>
        <w:t>”). Each stock certificate (or book entry shares) that, immediately prior to the Effective Time, represented shares of Common Stock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were issued and outstanding immediately prior to the Effective Time shall, from and after the Effective Time, represent that number of shares of Common Stock resulting from the Reverse Stock Split; provided, however, that each holder of any stock certificate(s) that represented shares of Common Stock immediately prior to the Effective Time shall be entitled to receive, upon surrender of such certificate(s), one or more stock certificates (or book entry shares) evidencing and representing the number of shares of Common Stock into which the shares represented by such certificate(s) shall have been reclassified pursuant to the Reverse Stock Split. No fractional shares of Common Stock shall be issued as a result of the Reverse Stock Split and, in lieu thereof, any person who would otherwise be entitled to a fractional share of Common Stock as a result of the Reverse Stock Split, following the Effective Time, shall be entitled to receive a cash payment equal to the fraction of which such holder would otherwise</w:t>
      </w:r>
    </w:p>
    <w:p>
      <w:pPr>
        <w:sectPr>
          <w:pgSz w:w="11900" w:h="16838" w:orient="portrait"/>
          <w:cols w:equalWidth="0" w:num="1">
            <w:col w:w="10900"/>
          </w:cols>
          <w:pgMar w:left="500" w:top="117" w:right="499" w:bottom="1440" w:gutter="0" w:footer="0" w:header="0"/>
        </w:sectPr>
      </w:pPr>
    </w:p>
    <w:bookmarkStart w:id="387" w:name="page388"/>
    <w:bookmarkEnd w:id="387"/>
    <w:p>
      <w:pPr>
        <w:ind w:left="340" w:right="40"/>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be entitled multiplied by the fair value per share as determined by the Board of Directors. The par value of the Common Stock and Preferred Stock (as defined below) following the Reverse Stock Split shall remain at $0.001 per share.</w:t>
      </w:r>
    </w:p>
    <w:p>
      <w:pPr>
        <w:spacing w:after="0" w:line="57" w:lineRule="exact"/>
        <w:rPr>
          <w:sz w:val="20"/>
          <w:szCs w:val="20"/>
          <w:color w:val="auto"/>
        </w:rPr>
      </w:pPr>
    </w:p>
    <w:p>
      <w:pPr>
        <w:ind w:left="340"/>
        <w:spacing w:after="0" w:line="252" w:lineRule="auto"/>
        <w:rPr>
          <w:sz w:val="20"/>
          <w:szCs w:val="20"/>
          <w:color w:val="auto"/>
        </w:rPr>
      </w:pPr>
      <w:r>
        <w:rPr>
          <w:rFonts w:ascii="Times New Roman" w:cs="Times New Roman" w:eastAsia="Times New Roman" w:hAnsi="Times New Roman"/>
          <w:sz w:val="18"/>
          <w:szCs w:val="18"/>
          <w:color w:val="auto"/>
        </w:rPr>
        <w:t>This corporation is authorized to issue two classes of stock to be designated, respectively, common stock and preferred stock. The total number of shares that this corporation is authorized to issue is 302,189,139. The total number of shares of common stock authorized to be issued is 181,500,000, par value $0.001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The total number of shares of preferred stock authorized to be issued is 120,689,139, par value $0.001 per share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12,027,426 of which shares are designated as “</w:t>
      </w:r>
      <w:r>
        <w:rPr>
          <w:rFonts w:ascii="Times New Roman" w:cs="Times New Roman" w:eastAsia="Times New Roman" w:hAnsi="Times New Roman"/>
          <w:sz w:val="18"/>
          <w:szCs w:val="18"/>
          <w:b w:val="1"/>
          <w:bCs w:val="1"/>
          <w:i w:val="1"/>
          <w:iCs w:val="1"/>
          <w:color w:val="auto"/>
        </w:rPr>
        <w:t>Series A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19,724,378 of which shares are designated as “</w:t>
      </w:r>
      <w:r>
        <w:rPr>
          <w:rFonts w:ascii="Times New Roman" w:cs="Times New Roman" w:eastAsia="Times New Roman" w:hAnsi="Times New Roman"/>
          <w:sz w:val="18"/>
          <w:szCs w:val="18"/>
          <w:b w:val="1"/>
          <w:bCs w:val="1"/>
          <w:i w:val="1"/>
          <w:iCs w:val="1"/>
          <w:color w:val="auto"/>
        </w:rPr>
        <w:t>Series B Preferred Stock</w:t>
      </w:r>
      <w:r>
        <w:rPr>
          <w:rFonts w:ascii="Times New Roman" w:cs="Times New Roman" w:eastAsia="Times New Roman" w:hAnsi="Times New Roman"/>
          <w:sz w:val="18"/>
          <w:szCs w:val="18"/>
          <w:color w:val="auto"/>
        </w:rPr>
        <w:t>”, 15,385,707 of which shares are designated as “</w:t>
      </w:r>
      <w:r>
        <w:rPr>
          <w:rFonts w:ascii="Times New Roman" w:cs="Times New Roman" w:eastAsia="Times New Roman" w:hAnsi="Times New Roman"/>
          <w:sz w:val="18"/>
          <w:szCs w:val="18"/>
          <w:b w:val="1"/>
          <w:bCs w:val="1"/>
          <w:i w:val="1"/>
          <w:iCs w:val="1"/>
          <w:color w:val="auto"/>
        </w:rPr>
        <w:t>Series C Preferred Stock</w:t>
      </w:r>
      <w:r>
        <w:rPr>
          <w:rFonts w:ascii="Times New Roman" w:cs="Times New Roman" w:eastAsia="Times New Roman" w:hAnsi="Times New Roman"/>
          <w:sz w:val="18"/>
          <w:szCs w:val="18"/>
          <w:color w:val="auto"/>
        </w:rPr>
        <w:t>”, 13,357,797 of which shares are designated as “</w:t>
      </w:r>
      <w:r>
        <w:rPr>
          <w:rFonts w:ascii="Times New Roman" w:cs="Times New Roman" w:eastAsia="Times New Roman" w:hAnsi="Times New Roman"/>
          <w:sz w:val="18"/>
          <w:szCs w:val="18"/>
          <w:b w:val="1"/>
          <w:bCs w:val="1"/>
          <w:i w:val="1"/>
          <w:iCs w:val="1"/>
          <w:color w:val="auto"/>
        </w:rPr>
        <w:t>Series C-1 Preferred Stock</w:t>
      </w:r>
      <w:r>
        <w:rPr>
          <w:rFonts w:ascii="Times New Roman" w:cs="Times New Roman" w:eastAsia="Times New Roman" w:hAnsi="Times New Roman"/>
          <w:sz w:val="18"/>
          <w:szCs w:val="18"/>
          <w:color w:val="auto"/>
        </w:rPr>
        <w:t>”, 22,330,212 of which shares are designated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D Preferred Stock</w:t>
      </w:r>
      <w:r>
        <w:rPr>
          <w:rFonts w:ascii="Times New Roman" w:cs="Times New Roman" w:eastAsia="Times New Roman" w:hAnsi="Times New Roman"/>
          <w:sz w:val="18"/>
          <w:szCs w:val="18"/>
          <w:color w:val="auto"/>
        </w:rPr>
        <w:t>”, 4,503,601 of which shares are designated as “</w:t>
      </w:r>
      <w:r>
        <w:rPr>
          <w:rFonts w:ascii="Times New Roman" w:cs="Times New Roman" w:eastAsia="Times New Roman" w:hAnsi="Times New Roman"/>
          <w:sz w:val="18"/>
          <w:szCs w:val="18"/>
          <w:b w:val="1"/>
          <w:bCs w:val="1"/>
          <w:i w:val="1"/>
          <w:iCs w:val="1"/>
          <w:color w:val="auto"/>
        </w:rPr>
        <w:t>Series D-1 Preferred Stock</w:t>
      </w:r>
      <w:r>
        <w:rPr>
          <w:rFonts w:ascii="Times New Roman" w:cs="Times New Roman" w:eastAsia="Times New Roman" w:hAnsi="Times New Roman"/>
          <w:sz w:val="18"/>
          <w:szCs w:val="18"/>
          <w:color w:val="auto"/>
        </w:rPr>
        <w:t>” and 33,360,018 of which shares are designated as “</w:t>
      </w:r>
      <w:r>
        <w:rPr>
          <w:rFonts w:ascii="Times New Roman" w:cs="Times New Roman" w:eastAsia="Times New Roman" w:hAnsi="Times New Roman"/>
          <w:sz w:val="18"/>
          <w:szCs w:val="18"/>
          <w:b w:val="1"/>
          <w:bCs w:val="1"/>
          <w:i w:val="1"/>
          <w:iCs w:val="1"/>
          <w:color w:val="auto"/>
        </w:rPr>
        <w:t>Series E Preferred Stock</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All other provisions of the Restated Certificate shall remain in full force and effect.</w:t>
      </w:r>
    </w:p>
    <w:p>
      <w:pPr>
        <w:spacing w:after="0" w:line="22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380"/>
          </w:cols>
          <w:pgMar w:left="920" w:top="268" w:right="599" w:bottom="1440" w:gutter="0" w:footer="0" w:header="0"/>
        </w:sectPr>
      </w:pPr>
    </w:p>
    <w:bookmarkStart w:id="388" w:name="page389"/>
    <w:bookmarkEnd w:id="388"/>
    <w:p>
      <w:pPr>
        <w:ind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undersigned has caused this Certificate of Amendment to the Restated Certificate to be duly executed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27th day of May, 2025.</w:t>
      </w:r>
    </w:p>
    <w:p>
      <w:pPr>
        <w:spacing w:after="0" w:line="279" w:lineRule="exact"/>
        <w:rPr>
          <w:sz w:val="20"/>
          <w:szCs w:val="20"/>
          <w:color w:val="auto"/>
        </w:rPr>
      </w:pPr>
    </w:p>
    <w:p>
      <w:pPr>
        <w:ind w:left="6540"/>
        <w:spacing w:after="0"/>
        <w:tabs>
          <w:tab w:leader="none" w:pos="7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Sean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4521200</wp:posOffset>
            </wp:positionH>
            <wp:positionV relativeFrom="paragraph">
              <wp:posOffset>15875</wp:posOffset>
            </wp:positionV>
            <wp:extent cx="240030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Sean Duffy</w:t>
      </w:r>
    </w:p>
    <w:p>
      <w:pPr>
        <w:spacing w:after="0" w:line="26" w:lineRule="exact"/>
        <w:rPr>
          <w:sz w:val="20"/>
          <w:szCs w:val="20"/>
          <w:color w:val="auto"/>
        </w:rPr>
      </w:pPr>
    </w:p>
    <w:p>
      <w:pPr>
        <w:ind w:left="6540"/>
        <w:spacing w:after="0"/>
        <w:tabs>
          <w:tab w:leader="none" w:pos="71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80"/>
          </w:cols>
          <w:pgMar w:left="500" w:top="264" w:right="719" w:bottom="1440" w:gutter="0" w:footer="0" w:header="0"/>
        </w:sectPr>
      </w:pPr>
    </w:p>
    <w:bookmarkStart w:id="389" w:name="page390"/>
    <w:bookmarkEnd w:id="389"/>
    <w:tbl>
      <w:tblPr>
        <w:tblLayout w:type="fixed"/>
        <w:tblInd w:w="0" w:type="dxa"/>
        <w:tblCellMar>
          <w:top w:w="0" w:type="dxa"/>
          <w:left w:w="0" w:type="dxa"/>
          <w:bottom w:w="0" w:type="dxa"/>
          <w:right w:w="0" w:type="dxa"/>
        </w:tblCellMar>
      </w:tblPr>
      <w:tr>
        <w:trPr>
          <w:trHeight w:val="237"/>
        </w:trPr>
        <w:tc>
          <w:tcPr>
            <w:tcW w:w="48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10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w w:val="97"/>
              </w:rPr>
              <w:t>Exhibit 5.1</w:t>
            </w:r>
          </w:p>
        </w:tc>
      </w:tr>
      <w:tr>
        <w:trPr>
          <w:trHeight w:val="435"/>
        </w:trPr>
        <w:tc>
          <w:tcPr>
            <w:tcW w:w="4840" w:type="dxa"/>
            <w:vAlign w:val="bottom"/>
          </w:tcPr>
          <w:p>
            <w:pPr>
              <w:spacing w:after="0"/>
              <w:rPr>
                <w:sz w:val="24"/>
                <w:szCs w:val="24"/>
                <w:color w:val="auto"/>
              </w:rPr>
            </w:pPr>
          </w:p>
        </w:tc>
        <w:tc>
          <w:tcPr>
            <w:tcW w:w="39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140 Scott Drive</w:t>
            </w:r>
          </w:p>
        </w:tc>
        <w:tc>
          <w:tcPr>
            <w:tcW w:w="2100" w:type="dxa"/>
            <w:vAlign w:val="bottom"/>
          </w:tcPr>
          <w:p>
            <w:pPr>
              <w:spacing w:after="0"/>
              <w:rPr>
                <w:sz w:val="24"/>
                <w:szCs w:val="24"/>
                <w:color w:val="auto"/>
              </w:rPr>
            </w:pPr>
          </w:p>
        </w:tc>
      </w:tr>
      <w:tr>
        <w:trPr>
          <w:trHeight w:val="214"/>
        </w:trPr>
        <w:tc>
          <w:tcPr>
            <w:tcW w:w="4840" w:type="dxa"/>
            <w:vAlign w:val="bottom"/>
          </w:tcPr>
          <w:p>
            <w:pPr>
              <w:spacing w:after="0"/>
              <w:rPr>
                <w:sz w:val="18"/>
                <w:szCs w:val="18"/>
                <w:color w:val="auto"/>
              </w:rPr>
            </w:pPr>
          </w:p>
        </w:tc>
        <w:tc>
          <w:tcPr>
            <w:tcW w:w="606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Menlo Park, California 94025</w:t>
            </w:r>
          </w:p>
        </w:tc>
      </w:tr>
      <w:tr>
        <w:trPr>
          <w:trHeight w:val="214"/>
        </w:trPr>
        <w:tc>
          <w:tcPr>
            <w:tcW w:w="4840" w:type="dxa"/>
            <w:vAlign w:val="bottom"/>
          </w:tcPr>
          <w:p>
            <w:pPr>
              <w:spacing w:after="0"/>
              <w:rPr>
                <w:sz w:val="18"/>
                <w:szCs w:val="18"/>
                <w:color w:val="auto"/>
              </w:rPr>
            </w:pPr>
          </w:p>
        </w:tc>
        <w:tc>
          <w:tcPr>
            <w:tcW w:w="606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Tel: +1.650.328.4600 Fax: +1.650.463.2600</w:t>
            </w:r>
          </w:p>
        </w:tc>
      </w:tr>
      <w:tr>
        <w:trPr>
          <w:trHeight w:val="233"/>
        </w:trPr>
        <w:tc>
          <w:tcPr>
            <w:tcW w:w="4840" w:type="dxa"/>
            <w:vAlign w:val="bottom"/>
          </w:tcPr>
          <w:p>
            <w:pPr>
              <w:spacing w:after="0"/>
              <w:rPr>
                <w:sz w:val="20"/>
                <w:szCs w:val="20"/>
                <w:color w:val="auto"/>
              </w:rPr>
            </w:pPr>
          </w:p>
        </w:tc>
        <w:tc>
          <w:tcPr>
            <w:tcW w:w="39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www.lw.com</w:t>
            </w:r>
          </w:p>
        </w:tc>
        <w:tc>
          <w:tcPr>
            <w:tcW w:w="2100" w:type="dxa"/>
            <w:vAlign w:val="bottom"/>
          </w:tcPr>
          <w:p>
            <w:pPr>
              <w:spacing w:after="0"/>
              <w:rPr>
                <w:sz w:val="20"/>
                <w:szCs w:val="20"/>
                <w:color w:val="auto"/>
              </w:rPr>
            </w:pPr>
          </w:p>
        </w:tc>
      </w:tr>
      <w:tr>
        <w:trPr>
          <w:trHeight w:val="321"/>
        </w:trPr>
        <w:tc>
          <w:tcPr>
            <w:tcW w:w="4840" w:type="dxa"/>
            <w:vAlign w:val="bottom"/>
          </w:tcPr>
          <w:p>
            <w:pPr>
              <w:spacing w:after="0"/>
              <w:rPr>
                <w:sz w:val="24"/>
                <w:szCs w:val="24"/>
                <w:color w:val="auto"/>
              </w:rPr>
            </w:pPr>
          </w:p>
        </w:tc>
        <w:tc>
          <w:tcPr>
            <w:tcW w:w="606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FIRM / AFFILIATE OFFICES</w:t>
            </w:r>
          </w:p>
        </w:tc>
      </w:tr>
      <w:tr>
        <w:trPr>
          <w:trHeight w:val="302"/>
        </w:trPr>
        <w:tc>
          <w:tcPr>
            <w:tcW w:w="4840" w:type="dxa"/>
            <w:vAlign w:val="bottom"/>
          </w:tcPr>
          <w:p>
            <w:pPr>
              <w:spacing w:after="0"/>
              <w:rPr>
                <w:sz w:val="24"/>
                <w:szCs w:val="24"/>
                <w:color w:val="auto"/>
              </w:rPr>
            </w:pPr>
          </w:p>
        </w:tc>
        <w:tc>
          <w:tcPr>
            <w:tcW w:w="39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Austin</w:t>
            </w:r>
          </w:p>
        </w:tc>
        <w:tc>
          <w:tcPr>
            <w:tcW w:w="2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Milan</w:t>
            </w:r>
          </w:p>
        </w:tc>
      </w:tr>
      <w:tr>
        <w:trPr>
          <w:trHeight w:val="214"/>
        </w:trPr>
        <w:tc>
          <w:tcPr>
            <w:tcW w:w="4840" w:type="dxa"/>
            <w:vAlign w:val="bottom"/>
          </w:tcPr>
          <w:p>
            <w:pPr>
              <w:spacing w:after="0"/>
              <w:rPr>
                <w:sz w:val="18"/>
                <w:szCs w:val="18"/>
                <w:color w:val="auto"/>
              </w:rPr>
            </w:pPr>
          </w:p>
        </w:tc>
        <w:tc>
          <w:tcPr>
            <w:tcW w:w="39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Beijing</w:t>
            </w:r>
          </w:p>
        </w:tc>
        <w:tc>
          <w:tcPr>
            <w:tcW w:w="2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Munich</w:t>
            </w:r>
          </w:p>
        </w:tc>
      </w:tr>
      <w:tr>
        <w:trPr>
          <w:trHeight w:val="214"/>
        </w:trPr>
        <w:tc>
          <w:tcPr>
            <w:tcW w:w="4840" w:type="dxa"/>
            <w:vAlign w:val="bottom"/>
          </w:tcPr>
          <w:p>
            <w:pPr>
              <w:spacing w:after="0"/>
              <w:rPr>
                <w:sz w:val="18"/>
                <w:szCs w:val="18"/>
                <w:color w:val="auto"/>
              </w:rPr>
            </w:pPr>
          </w:p>
        </w:tc>
        <w:tc>
          <w:tcPr>
            <w:tcW w:w="39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Boston</w:t>
            </w:r>
          </w:p>
        </w:tc>
        <w:tc>
          <w:tcPr>
            <w:tcW w:w="2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New York</w:t>
            </w:r>
          </w:p>
        </w:tc>
      </w:tr>
      <w:tr>
        <w:trPr>
          <w:trHeight w:val="214"/>
        </w:trPr>
        <w:tc>
          <w:tcPr>
            <w:tcW w:w="4840" w:type="dxa"/>
            <w:vAlign w:val="bottom"/>
          </w:tcPr>
          <w:p>
            <w:pPr>
              <w:spacing w:after="0"/>
              <w:rPr>
                <w:sz w:val="18"/>
                <w:szCs w:val="18"/>
                <w:color w:val="auto"/>
              </w:rPr>
            </w:pPr>
          </w:p>
        </w:tc>
        <w:tc>
          <w:tcPr>
            <w:tcW w:w="39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Brussels</w:t>
            </w:r>
          </w:p>
        </w:tc>
        <w:tc>
          <w:tcPr>
            <w:tcW w:w="2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Orange County</w:t>
            </w:r>
          </w:p>
        </w:tc>
      </w:tr>
      <w:tr>
        <w:trPr>
          <w:trHeight w:val="21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May 29, 2025</w:t>
            </w:r>
          </w:p>
        </w:tc>
        <w:tc>
          <w:tcPr>
            <w:tcW w:w="39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Century City</w:t>
            </w:r>
          </w:p>
        </w:tc>
        <w:tc>
          <w:tcPr>
            <w:tcW w:w="2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Paris</w:t>
            </w:r>
          </w:p>
        </w:tc>
      </w:tr>
      <w:tr>
        <w:trPr>
          <w:trHeight w:val="214"/>
        </w:trPr>
        <w:tc>
          <w:tcPr>
            <w:tcW w:w="4840" w:type="dxa"/>
            <w:vAlign w:val="bottom"/>
          </w:tcPr>
          <w:p>
            <w:pPr>
              <w:spacing w:after="0"/>
              <w:rPr>
                <w:sz w:val="18"/>
                <w:szCs w:val="18"/>
                <w:color w:val="auto"/>
              </w:rPr>
            </w:pPr>
          </w:p>
        </w:tc>
        <w:tc>
          <w:tcPr>
            <w:tcW w:w="39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Chicago</w:t>
            </w:r>
          </w:p>
        </w:tc>
        <w:tc>
          <w:tcPr>
            <w:tcW w:w="2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Riyadh</w:t>
            </w:r>
          </w:p>
        </w:tc>
      </w:tr>
      <w:tr>
        <w:trPr>
          <w:trHeight w:val="214"/>
        </w:trPr>
        <w:tc>
          <w:tcPr>
            <w:tcW w:w="4840" w:type="dxa"/>
            <w:vAlign w:val="bottom"/>
          </w:tcPr>
          <w:p>
            <w:pPr>
              <w:spacing w:after="0"/>
              <w:rPr>
                <w:sz w:val="18"/>
                <w:szCs w:val="18"/>
                <w:color w:val="auto"/>
              </w:rPr>
            </w:pPr>
          </w:p>
        </w:tc>
        <w:tc>
          <w:tcPr>
            <w:tcW w:w="39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Dubai</w:t>
            </w:r>
          </w:p>
        </w:tc>
        <w:tc>
          <w:tcPr>
            <w:tcW w:w="2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San Diego</w:t>
            </w:r>
          </w:p>
        </w:tc>
      </w:tr>
      <w:tr>
        <w:trPr>
          <w:trHeight w:val="214"/>
        </w:trPr>
        <w:tc>
          <w:tcPr>
            <w:tcW w:w="4840" w:type="dxa"/>
            <w:vAlign w:val="bottom"/>
          </w:tcPr>
          <w:p>
            <w:pPr>
              <w:spacing w:after="0"/>
              <w:rPr>
                <w:sz w:val="18"/>
                <w:szCs w:val="18"/>
                <w:color w:val="auto"/>
              </w:rPr>
            </w:pPr>
          </w:p>
        </w:tc>
        <w:tc>
          <w:tcPr>
            <w:tcW w:w="39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Düsseldorf</w:t>
            </w:r>
          </w:p>
        </w:tc>
        <w:tc>
          <w:tcPr>
            <w:tcW w:w="2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San Francisco</w:t>
            </w:r>
          </w:p>
        </w:tc>
      </w:tr>
      <w:tr>
        <w:trPr>
          <w:trHeight w:val="214"/>
        </w:trPr>
        <w:tc>
          <w:tcPr>
            <w:tcW w:w="4840" w:type="dxa"/>
            <w:vAlign w:val="bottom"/>
          </w:tcPr>
          <w:p>
            <w:pPr>
              <w:spacing w:after="0"/>
              <w:rPr>
                <w:sz w:val="18"/>
                <w:szCs w:val="18"/>
                <w:color w:val="auto"/>
              </w:rPr>
            </w:pPr>
          </w:p>
        </w:tc>
        <w:tc>
          <w:tcPr>
            <w:tcW w:w="39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Frankfurt</w:t>
            </w:r>
          </w:p>
        </w:tc>
        <w:tc>
          <w:tcPr>
            <w:tcW w:w="2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Seoul</w:t>
            </w:r>
          </w:p>
        </w:tc>
      </w:tr>
      <w:tr>
        <w:trPr>
          <w:trHeight w:val="214"/>
        </w:trPr>
        <w:tc>
          <w:tcPr>
            <w:tcW w:w="4840" w:type="dxa"/>
            <w:vAlign w:val="bottom"/>
          </w:tcPr>
          <w:p>
            <w:pPr>
              <w:spacing w:after="0"/>
              <w:rPr>
                <w:sz w:val="18"/>
                <w:szCs w:val="18"/>
                <w:color w:val="auto"/>
              </w:rPr>
            </w:pPr>
          </w:p>
        </w:tc>
        <w:tc>
          <w:tcPr>
            <w:tcW w:w="39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Hamburg</w:t>
            </w:r>
          </w:p>
        </w:tc>
        <w:tc>
          <w:tcPr>
            <w:tcW w:w="2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Silicon Valley</w:t>
            </w:r>
          </w:p>
        </w:tc>
      </w:tr>
      <w:tr>
        <w:trPr>
          <w:trHeight w:val="214"/>
        </w:trPr>
        <w:tc>
          <w:tcPr>
            <w:tcW w:w="4840" w:type="dxa"/>
            <w:vAlign w:val="bottom"/>
          </w:tcPr>
          <w:p>
            <w:pPr>
              <w:spacing w:after="0"/>
              <w:rPr>
                <w:sz w:val="18"/>
                <w:szCs w:val="18"/>
                <w:color w:val="auto"/>
              </w:rPr>
            </w:pPr>
          </w:p>
        </w:tc>
        <w:tc>
          <w:tcPr>
            <w:tcW w:w="39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Hong Kong</w:t>
            </w:r>
          </w:p>
        </w:tc>
        <w:tc>
          <w:tcPr>
            <w:tcW w:w="2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Singapore</w:t>
            </w:r>
          </w:p>
        </w:tc>
      </w:tr>
      <w:tr>
        <w:trPr>
          <w:trHeight w:val="214"/>
        </w:trPr>
        <w:tc>
          <w:tcPr>
            <w:tcW w:w="4840" w:type="dxa"/>
            <w:vAlign w:val="bottom"/>
          </w:tcPr>
          <w:p>
            <w:pPr>
              <w:spacing w:after="0"/>
              <w:rPr>
                <w:sz w:val="18"/>
                <w:szCs w:val="18"/>
                <w:color w:val="auto"/>
              </w:rPr>
            </w:pPr>
          </w:p>
        </w:tc>
        <w:tc>
          <w:tcPr>
            <w:tcW w:w="39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Houston</w:t>
            </w:r>
          </w:p>
        </w:tc>
        <w:tc>
          <w:tcPr>
            <w:tcW w:w="2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Tel Aviv</w:t>
            </w:r>
          </w:p>
        </w:tc>
      </w:tr>
      <w:tr>
        <w:trPr>
          <w:trHeight w:val="21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Omada Health, Inc.</w:t>
            </w:r>
          </w:p>
        </w:tc>
        <w:tc>
          <w:tcPr>
            <w:tcW w:w="39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London</w:t>
            </w:r>
          </w:p>
        </w:tc>
        <w:tc>
          <w:tcPr>
            <w:tcW w:w="2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Tokyo</w:t>
            </w:r>
          </w:p>
        </w:tc>
      </w:tr>
      <w:tr>
        <w:trPr>
          <w:trHeight w:val="21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500 Sansome Street, Suite 200</w:t>
            </w:r>
          </w:p>
        </w:tc>
        <w:tc>
          <w:tcPr>
            <w:tcW w:w="39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Los Angeles</w:t>
            </w:r>
          </w:p>
        </w:tc>
        <w:tc>
          <w:tcPr>
            <w:tcW w:w="2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Washington, D.C.</w:t>
            </w:r>
          </w:p>
        </w:tc>
      </w:tr>
      <w:tr>
        <w:trPr>
          <w:trHeight w:val="23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San Francisco, California 94111</w:t>
            </w:r>
          </w:p>
        </w:tc>
        <w:tc>
          <w:tcPr>
            <w:tcW w:w="39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Madrid</w:t>
            </w:r>
          </w:p>
        </w:tc>
        <w:tc>
          <w:tcPr>
            <w:tcW w:w="2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-2239010</wp:posOffset>
            </wp:positionV>
            <wp:extent cx="1874520" cy="20383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9">
                      <a:extLst>
                        <a:ext uri="{28A0092B-C50C-407E-A947-70E740481C1C}"/>
                      </a:extLst>
                    </a:blip>
                    <a:srcRect/>
                    <a:stretch>
                      <a:fillRect/>
                    </a:stretch>
                  </pic:blipFill>
                  <pic:spPr bwMode="auto">
                    <a:xfrm>
                      <a:off x="0" y="0"/>
                      <a:ext cx="1874520" cy="203835"/>
                    </a:xfrm>
                    <a:prstGeom prst="rect">
                      <a:avLst/>
                    </a:prstGeom>
                    <a:noFill/>
                  </pic:spPr>
                </pic:pic>
              </a:graphicData>
            </a:graphic>
          </wp:anchor>
        </w:drawing>
      </w:r>
    </w:p>
    <w:p>
      <w:pPr>
        <w:spacing w:after="0" w:line="20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Registration Statement No. 333-287156</w:t>
      </w:r>
    </w:p>
    <w:p>
      <w:pPr>
        <w:spacing w:after="0" w:line="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9,085,000 Shares of Common Stock, Par Value $0.001 per Share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 set forth above:</w:t>
      </w:r>
    </w:p>
    <w:p>
      <w:pPr>
        <w:spacing w:after="0" w:line="110" w:lineRule="exact"/>
        <w:rPr>
          <w:sz w:val="20"/>
          <w:szCs w:val="20"/>
          <w:color w:val="auto"/>
        </w:rPr>
      </w:pPr>
    </w:p>
    <w:p>
      <w:pPr>
        <w:ind w:right="20" w:firstLine="436"/>
        <w:spacing w:after="0" w:line="252" w:lineRule="auto"/>
        <w:rPr>
          <w:sz w:val="20"/>
          <w:szCs w:val="20"/>
          <w:color w:val="auto"/>
        </w:rPr>
      </w:pPr>
      <w:r>
        <w:rPr>
          <w:rFonts w:ascii="Times New Roman" w:cs="Times New Roman" w:eastAsia="Times New Roman" w:hAnsi="Times New Roman"/>
          <w:sz w:val="18"/>
          <w:szCs w:val="18"/>
          <w:color w:val="auto"/>
        </w:rPr>
        <w:t>We have acted as special counsel to Omada Health,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proposed issuance of up to 9,085,000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common stock, par value $0.001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The Shares are included in a registration statement on Form S-1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initially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May 9, 2025 (Registration No. 333-287156) (as amended,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The term “Shares” shall include any additional shares of Common Stock registered by the Company pursuant to Rule 462(b) under the Act in connection with the offering contemplated by the Registration Statement. This opinion is being furnished in connection with the requirements of Item 601(b)(5) of Regulation S-K under the Act, and no opinion is expressed herein as to any matter pertaining to the contents of the Registration Statement or related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other than as expressly stated herein with respect to the issue of the Shares.</w:t>
      </w:r>
    </w:p>
    <w:p>
      <w:pPr>
        <w:spacing w:after="0" w:line="189" w:lineRule="exact"/>
        <w:rPr>
          <w:sz w:val="20"/>
          <w:szCs w:val="20"/>
          <w:color w:val="auto"/>
        </w:rPr>
      </w:pPr>
    </w:p>
    <w:p>
      <w:pPr>
        <w:ind w:right="180" w:firstLine="436"/>
        <w:spacing w:after="0" w:line="257"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we express no opinion with respect to any other laws.</w:t>
      </w:r>
    </w:p>
    <w:p>
      <w:pPr>
        <w:spacing w:after="0" w:line="182" w:lineRule="exact"/>
        <w:rPr>
          <w:sz w:val="20"/>
          <w:szCs w:val="20"/>
          <w:color w:val="auto"/>
        </w:rPr>
      </w:pPr>
    </w:p>
    <w:p>
      <w:pPr>
        <w:ind w:right="260" w:firstLine="436"/>
        <w:spacing w:after="0" w:line="277" w:lineRule="auto"/>
        <w:rPr>
          <w:sz w:val="20"/>
          <w:szCs w:val="20"/>
          <w:color w:val="auto"/>
        </w:rPr>
      </w:pPr>
      <w:r>
        <w:rPr>
          <w:rFonts w:ascii="Times New Roman" w:cs="Times New Roman" w:eastAsia="Times New Roman" w:hAnsi="Times New Roman"/>
          <w:sz w:val="17"/>
          <w:szCs w:val="17"/>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(not less than par value) in the circumstances contemplated by the form of underwriting agreement most recently filed as an exhibit to the Registration Statement, the issue and sale of the Shares will have been duly authorized by all necessary corporate action</w:t>
      </w:r>
    </w:p>
    <w:p>
      <w:pPr>
        <w:sectPr>
          <w:pgSz w:w="11900" w:h="16838" w:orient="portrait"/>
          <w:cols w:equalWidth="0" w:num="1">
            <w:col w:w="10900"/>
          </w:cols>
          <w:pgMar w:left="500" w:top="117" w:right="499"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May 29,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1289050" cy="135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01">
                      <a:extLst>
                        <a:ext uri="{28A0092B-C50C-407E-A947-70E740481C1C}"/>
                      </a:extLst>
                    </a:blip>
                    <a:srcRect/>
                    <a:stretch>
                      <a:fillRect/>
                    </a:stretch>
                  </pic:blipFill>
                  <pic:spPr bwMode="auto">
                    <a:xfrm>
                      <a:off x="0" y="0"/>
                      <a:ext cx="1289050" cy="1358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of the Company, and the Shares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177"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Prospectus under the heading “Legal Matters.” We further consent to the incorporation by reference of this letter and consent into any registration statement filed pursuant to Rule 462(b) with respect to the Shares. In giving such consent, we do not thereby admit that we are in the category of persons whose consent is required under Section 7 of the Act or the rules and regulations of the Commission thereunder.</w:t>
      </w:r>
    </w:p>
    <w:p>
      <w:pPr>
        <w:spacing w:after="0" w:line="21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Sincerely,</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Latham &amp; Watkins LLP</w:t>
      </w:r>
    </w:p>
    <w:p>
      <w:pPr>
        <w:sectPr>
          <w:pgSz w:w="11900" w:h="16838" w:orient="portrait"/>
          <w:cols w:equalWidth="0" w:num="1">
            <w:col w:w="10820"/>
          </w:cols>
          <w:pgMar w:left="500" w:top="262" w:right="579" w:bottom="1440" w:gutter="0" w:footer="0" w:header="0"/>
        </w:sectPr>
      </w:pPr>
    </w:p>
    <w:bookmarkStart w:id="391" w:name="page392"/>
    <w:bookmarkEnd w:id="391"/>
    <w:p>
      <w:pPr>
        <w:jc w:val="right"/>
        <w:spacing w:after="0"/>
        <w:rPr>
          <w:sz w:val="20"/>
          <w:szCs w:val="20"/>
          <w:color w:val="auto"/>
        </w:rPr>
      </w:pPr>
      <w:r>
        <w:rPr>
          <w:rFonts w:ascii="Times New Roman" w:cs="Times New Roman" w:eastAsia="Times New Roman" w:hAnsi="Times New Roman"/>
          <w:sz w:val="18"/>
          <w:szCs w:val="18"/>
          <w:b w:val="1"/>
          <w:bCs w:val="1"/>
          <w:color w:val="auto"/>
        </w:rPr>
        <w:t>Exhibit 10.7(e)</w:t>
      </w:r>
    </w:p>
    <w:p>
      <w:pPr>
        <w:spacing w:after="0" w:line="2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Amendment Four to Ancillary Services Agreement</w:t>
      </w:r>
    </w:p>
    <w:p>
      <w:pPr>
        <w:spacing w:after="0" w:line="224" w:lineRule="exact"/>
        <w:rPr>
          <w:sz w:val="20"/>
          <w:szCs w:val="20"/>
          <w:color w:val="auto"/>
        </w:rPr>
      </w:pPr>
    </w:p>
    <w:p>
      <w:pPr>
        <w:ind w:left="6" w:right="220"/>
        <w:spacing w:after="0" w:line="277" w:lineRule="auto"/>
        <w:rPr>
          <w:sz w:val="20"/>
          <w:szCs w:val="20"/>
          <w:color w:val="auto"/>
        </w:rPr>
      </w:pPr>
      <w:r>
        <w:rPr>
          <w:rFonts w:ascii="Times New Roman" w:cs="Times New Roman" w:eastAsia="Times New Roman" w:hAnsi="Times New Roman"/>
          <w:sz w:val="18"/>
          <w:szCs w:val="18"/>
          <w:color w:val="auto"/>
        </w:rPr>
        <w:t>WHEREAS, Cigna Health Corporation on behalf of itself and its affiliates (“Cigna”) and Omada Health, Inc. (“Provider”) have executed an Ancillary Services Agreement dated May 31, 2018 (the “Agreement”); and</w:t>
      </w:r>
    </w:p>
    <w:p>
      <w:pPr>
        <w:spacing w:after="0" w:line="163" w:lineRule="exact"/>
        <w:rPr>
          <w:sz w:val="20"/>
          <w:szCs w:val="20"/>
          <w:color w:val="auto"/>
        </w:rPr>
      </w:pPr>
    </w:p>
    <w:p>
      <w:pPr>
        <w:ind w:left="6" w:right="700"/>
        <w:spacing w:after="0" w:line="277" w:lineRule="auto"/>
        <w:rPr>
          <w:sz w:val="20"/>
          <w:szCs w:val="20"/>
          <w:color w:val="auto"/>
        </w:rPr>
      </w:pPr>
      <w:r>
        <w:rPr>
          <w:rFonts w:ascii="Times New Roman" w:cs="Times New Roman" w:eastAsia="Times New Roman" w:hAnsi="Times New Roman"/>
          <w:sz w:val="18"/>
          <w:szCs w:val="18"/>
          <w:color w:val="auto"/>
        </w:rPr>
        <w:t>WHEREAS, pursuant to Section 6.13 of the Agreement, Cigna desires to amend the Agreement to comply with a regulatory requirement of the Washington State Office of the Insurance Commissioner;</w:t>
      </w:r>
    </w:p>
    <w:p>
      <w:pPr>
        <w:spacing w:after="0" w:line="163" w:lineRule="exact"/>
        <w:rPr>
          <w:sz w:val="20"/>
          <w:szCs w:val="20"/>
          <w:color w:val="auto"/>
        </w:rPr>
      </w:pPr>
    </w:p>
    <w:p>
      <w:pPr>
        <w:ind w:left="6" w:right="140"/>
        <w:spacing w:after="0" w:line="277" w:lineRule="auto"/>
        <w:rPr>
          <w:sz w:val="20"/>
          <w:szCs w:val="20"/>
          <w:color w:val="auto"/>
        </w:rPr>
      </w:pPr>
      <w:r>
        <w:rPr>
          <w:rFonts w:ascii="Times New Roman" w:cs="Times New Roman" w:eastAsia="Times New Roman" w:hAnsi="Times New Roman"/>
          <w:sz w:val="18"/>
          <w:szCs w:val="18"/>
          <w:color w:val="auto"/>
        </w:rPr>
        <w:t>NOW, THEREFORE, pursuant to the Amendment Sections of the Agreement and in consideration of the mutual promises contained herein, the parties hereby agree as follows:</w:t>
      </w:r>
    </w:p>
    <w:p>
      <w:pPr>
        <w:spacing w:after="0" w:line="70" w:lineRule="exact"/>
        <w:rPr>
          <w:sz w:val="20"/>
          <w:szCs w:val="20"/>
          <w:color w:val="auto"/>
        </w:rPr>
      </w:pPr>
    </w:p>
    <w:p>
      <w:pPr>
        <w:ind w:left="426" w:hanging="426"/>
        <w:spacing w:after="0"/>
        <w:tabs>
          <w:tab w:leader="none" w:pos="42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this Amendment is June 1, 2025 (“Amendment Effective Date”).</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Health and Life Insurance Company shall be added as a party to the Agreement as of the Amendment Effective Date.</w:t>
      </w:r>
    </w:p>
    <w:p>
      <w:pPr>
        <w:spacing w:after="0" w:line="126" w:lineRule="exact"/>
        <w:rPr>
          <w:rFonts w:ascii="Times New Roman" w:cs="Times New Roman" w:eastAsia="Times New Roman" w:hAnsi="Times New Roman"/>
          <w:sz w:val="18"/>
          <w:szCs w:val="18"/>
          <w:color w:val="auto"/>
        </w:rPr>
      </w:pPr>
    </w:p>
    <w:p>
      <w:pPr>
        <w:ind w:left="426" w:right="540" w:hanging="426"/>
        <w:spacing w:after="0" w:line="277" w:lineRule="auto"/>
        <w:tabs>
          <w:tab w:leader="none" w:pos="42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“Cigna Health Corporation (“Cigna”)” contracting entity in the introductory paragraph of page 1 of the Agreement shall be deleted and replaced with the following: “Cigna Health Corporation; Cigna Health and Life Insurance Company and its affiliates (“Cigna”)”.</w:t>
      </w:r>
    </w:p>
    <w:p>
      <w:pPr>
        <w:spacing w:after="0" w:line="69" w:lineRule="exact"/>
        <w:rPr>
          <w:rFonts w:ascii="Times New Roman" w:cs="Times New Roman" w:eastAsia="Times New Roman" w:hAnsi="Times New Roman"/>
          <w:sz w:val="18"/>
          <w:szCs w:val="18"/>
          <w:color w:val="auto"/>
        </w:rPr>
      </w:pPr>
    </w:p>
    <w:p>
      <w:pPr>
        <w:ind w:left="426" w:right="880" w:hanging="426"/>
        <w:spacing w:after="0" w:line="277" w:lineRule="auto"/>
        <w:tabs>
          <w:tab w:leader="none" w:pos="42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modified herein, the Agreement remains in full force and effect. To the extent of a conflict between this Amendment and the Agreement, this Amendment shall control.</w:t>
      </w:r>
    </w:p>
    <w:p>
      <w:pPr>
        <w:spacing w:after="0" w:line="69"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capitalized terms not defined herein shall have the same meaning as in the Agreement.</w:t>
      </w:r>
    </w:p>
    <w:p>
      <w:pPr>
        <w:spacing w:after="0" w:line="2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END OF AMENDMENT</w:t>
      </w:r>
    </w:p>
    <w:p>
      <w:pPr>
        <w:sectPr>
          <w:pgSz w:w="11900" w:h="16838" w:orient="portrait"/>
          <w:cols w:equalWidth="0" w:num="1">
            <w:col w:w="10906"/>
          </w:cols>
          <w:pgMar w:left="494" w:top="116" w:right="499" w:bottom="1440" w:gutter="0" w:footer="0" w:header="0"/>
        </w:sectPr>
      </w:pPr>
    </w:p>
    <w:bookmarkStart w:id="392" w:name="page393"/>
    <w:bookmarkEnd w:id="392"/>
    <w:p>
      <w:pPr>
        <w:jc w:val="right"/>
        <w:spacing w:after="0"/>
        <w:rPr>
          <w:sz w:val="20"/>
          <w:szCs w:val="20"/>
          <w:color w:val="auto"/>
        </w:rPr>
      </w:pPr>
      <w:r>
        <w:rPr>
          <w:rFonts w:ascii="Times New Roman" w:cs="Times New Roman" w:eastAsia="Times New Roman" w:hAnsi="Times New Roman"/>
          <w:sz w:val="18"/>
          <w:szCs w:val="18"/>
          <w:b w:val="1"/>
          <w:bCs w:val="1"/>
          <w:color w:val="auto"/>
        </w:rPr>
        <w:t>Exhibit 10.8(b)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OMADA HEALTH, INC. 2011 STOCK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STOCK OPTION GRANT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Optionee has been granted the following option to purchase shares of the Common Stock of Omada Health, Inc.:</w:t>
      </w:r>
    </w:p>
    <w:p>
      <w:pPr>
        <w:sectPr>
          <w:pgSz w:w="11900" w:h="16838" w:orient="portrait"/>
          <w:cols w:equalWidth="0" w:num="1">
            <w:col w:w="10900"/>
          </w:cols>
          <w:pgMar w:left="500" w:top="117" w:right="499" w:bottom="1440" w:gutter="0" w:footer="0" w:header="0"/>
        </w:sectPr>
      </w:pPr>
    </w:p>
    <w:p>
      <w:pPr>
        <w:spacing w:after="0" w:line="2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Name of Optionee:</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760" w:space="720"/>
            <w:col w:w="7420"/>
          </w:cols>
          <w:pgMar w:left="500" w:top="117" w:right="4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Total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760" w:space="720"/>
            <w:col w:w="7420"/>
          </w:cols>
          <w:pgMar w:left="500" w:top="117" w:right="4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760" w:space="720"/>
            <w:col w:w="7420"/>
          </w:cols>
          <w:pgMar w:left="500" w:top="117" w:right="4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760" w:space="720"/>
            <w:col w:w="7420"/>
          </w:cols>
          <w:pgMar w:left="500" w:top="117" w:right="4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760" w:space="720"/>
            <w:col w:w="7420"/>
          </w:cols>
          <w:pgMar w:left="500" w:top="117" w:right="4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Date Exercisable: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760" w:space="720"/>
            <w:col w:w="7420"/>
          </w:cols>
          <w:pgMar w:left="500" w:top="117" w:right="4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760" w:space="720"/>
            <w:col w:w="7420"/>
          </w:cols>
          <w:pgMar w:left="500" w:top="117" w:right="4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760" w:space="720"/>
            <w:col w:w="7420"/>
          </w:cols>
          <w:pgMar w:left="500" w:top="117" w:right="4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Expiration Date:</w:t>
      </w:r>
    </w:p>
    <w:p>
      <w:pPr>
        <w:spacing w:after="0" w:line="20" w:lineRule="exact"/>
        <w:rPr>
          <w:sz w:val="20"/>
          <w:szCs w:val="20"/>
          <w:color w:val="auto"/>
        </w:rPr>
      </w:pPr>
      <w:r>
        <w:rPr>
          <w:sz w:val="20"/>
          <w:szCs w:val="20"/>
          <w:color w:val="auto"/>
        </w:rPr>
        <w:br w:type="column"/>
      </w:r>
    </w:p>
    <w:p>
      <w:pPr>
        <w:ind w:right="10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See Carta. </w:t>
      </w:r>
      <w:r>
        <w:rPr>
          <w:rFonts w:ascii="Times New Roman" w:cs="Times New Roman" w:eastAsia="Times New Roman" w:hAnsi="Times New Roman"/>
          <w:sz w:val="18"/>
          <w:szCs w:val="18"/>
          <w:color w:val="auto"/>
        </w:rPr>
        <w:t>The date ten (10) years after the Date of Grant set forth above. This option expires earlier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Optionee’s Service terminates earlier, as provided in Section 6 of the Stock Option Agreement.</w:t>
      </w:r>
    </w:p>
    <w:p>
      <w:pPr>
        <w:spacing w:after="0" w:line="162" w:lineRule="exact"/>
        <w:rPr>
          <w:sz w:val="20"/>
          <w:szCs w:val="20"/>
          <w:color w:val="auto"/>
        </w:rPr>
      </w:pPr>
    </w:p>
    <w:p>
      <w:pPr>
        <w:sectPr>
          <w:pgSz w:w="11900" w:h="16838" w:orient="portrait"/>
          <w:cols w:equalWidth="0" w:num="2">
            <w:col w:w="2760" w:space="720"/>
            <w:col w:w="7420"/>
          </w:cols>
          <w:pgMar w:left="500" w:top="117" w:right="499" w:bottom="1440" w:gutter="0" w:footer="0" w:header="0"/>
          <w:type w:val="continuous"/>
        </w:sect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 xml:space="preserve">By Optionee’s acceptance of this Option, the Optionee and the Company agree that this option is granted under, and governed by the terms and conditions of, the 2011 Stock Plan and the Stock Option Agreement. Both of these documents are attached to, and made a part of, this Notice of Stock Option Grant. </w:t>
      </w:r>
      <w:r>
        <w:rPr>
          <w:rFonts w:ascii="Times New Roman" w:cs="Times New Roman" w:eastAsia="Times New Roman" w:hAnsi="Times New Roman"/>
          <w:sz w:val="18"/>
          <w:szCs w:val="18"/>
          <w:b w:val="1"/>
          <w:bCs w:val="1"/>
          <w:color w:val="auto"/>
        </w:rPr>
        <w:t>Section 13 of the Stock Option Agreement includes important acknowledgements of the Optionee</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b w:val="1"/>
          <w:bCs w:val="1"/>
          <w:color w:val="auto"/>
        </w:rPr>
        <w:t>Execution and Delivery</w:t>
      </w:r>
      <w:r>
        <w:rPr>
          <w:rFonts w:ascii="Times New Roman" w:cs="Times New Roman" w:eastAsia="Times New Roman" w:hAnsi="Times New Roman"/>
          <w:sz w:val="18"/>
          <w:szCs w:val="18"/>
          <w:color w:val="auto"/>
        </w:rPr>
        <w:t>: This Grant Notice may be executed and delivered electronically whether via the Company’s intranet or the Internet site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party or via email or any other means of electronic delivery specified by the Company. By Optionee’s acceptance hereof (whether written, electronic or otherwise), Optionee agrees, to the fullest extent permitted by law, that in lieu of receiving documents in paper format, Optionee accepts the electronic delivery of any documents that the Company (or any third party the Company may designate), may deliver in connection with this grant (including the Plan, this Grant Notice, the Stock Option Agreement, the information described in Rules 701(e)(2), (3), (4) and (5) under the Securities Act (the “</w:t>
      </w:r>
      <w:r>
        <w:rPr>
          <w:rFonts w:ascii="Times New Roman" w:cs="Times New Roman" w:eastAsia="Times New Roman" w:hAnsi="Times New Roman"/>
          <w:sz w:val="18"/>
          <w:szCs w:val="18"/>
          <w:b w:val="1"/>
          <w:bCs w:val="1"/>
          <w:i w:val="1"/>
          <w:iCs w:val="1"/>
          <w:color w:val="auto"/>
        </w:rPr>
        <w:t>701 Disclosures</w:t>
      </w:r>
      <w:r>
        <w:rPr>
          <w:rFonts w:ascii="Times New Roman" w:cs="Times New Roman" w:eastAsia="Times New Roman" w:hAnsi="Times New Roman"/>
          <w:sz w:val="18"/>
          <w:szCs w:val="18"/>
          <w:color w:val="auto"/>
        </w:rPr>
        <w:t>”), account statements, or other communications or information) whether via the Company’s intranet or the Internet site of such third party or via email or such other means of electronic delivery specified by the Company.</w:t>
      </w:r>
    </w:p>
    <w:p>
      <w:pPr>
        <w:sectPr>
          <w:pgSz w:w="11900" w:h="16838" w:orient="portrait"/>
          <w:cols w:equalWidth="0" w:num="1">
            <w:col w:w="10900"/>
          </w:cols>
          <w:pgMar w:left="500" w:top="117" w:right="499" w:bottom="1440" w:gutter="0" w:footer="0" w:header="0"/>
          <w:type w:val="continuous"/>
        </w:sectPr>
      </w:pPr>
    </w:p>
    <w:bookmarkStart w:id="393" w:name="page394"/>
    <w:bookmarkEnd w:id="393"/>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OPTION GRANTED PURSUANT TO THIS AGREEMENT AND THE SHARES ISSUABLE UPON THE EXERCISE THEREOF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OMADA HEALTH, INC. 2011 STOCK PLAN:</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1.   GRANT OF OPTION.</w:t>
      </w:r>
    </w:p>
    <w:p>
      <w:pPr>
        <w:spacing w:after="0" w:line="114" w:lineRule="exact"/>
        <w:rPr>
          <w:sz w:val="20"/>
          <w:szCs w:val="20"/>
          <w:color w:val="auto"/>
        </w:rPr>
      </w:pPr>
    </w:p>
    <w:p>
      <w:pPr>
        <w:ind w:right="200" w:firstLine="981"/>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On the terms and conditions set forth in the Notice of Stock Option Grant and this Agreement, the Company grants to the Optionee on the Date of Grant the option to purchase at the Exercise Price the number of Shares set forth in the Notice of Stock Option Grant. The Exercise Price is agreed to be at least 100% of the Fair Market Value per Share on the Date of Grant (110% of Fair Market Value if this option is designated as an ISO in the Notice of Stock Option Grant and Section 3(b) of the Plan applies). This option is intended to be an ISO or an NSO, as provided in the Notice of Stock Option Grant.</w:t>
      </w:r>
    </w:p>
    <w:p>
      <w:pPr>
        <w:spacing w:after="0" w:line="178" w:lineRule="exact"/>
        <w:rPr>
          <w:sz w:val="20"/>
          <w:szCs w:val="20"/>
          <w:color w:val="auto"/>
        </w:rPr>
      </w:pPr>
    </w:p>
    <w:p>
      <w:pPr>
        <w:ind w:right="240" w:firstLine="981"/>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$100,000 Limitation</w:t>
      </w:r>
      <w:r>
        <w:rPr>
          <w:rFonts w:ascii="Times New Roman" w:cs="Times New Roman" w:eastAsia="Times New Roman" w:hAnsi="Times New Roman"/>
          <w:sz w:val="18"/>
          <w:szCs w:val="18"/>
          <w:color w:val="auto"/>
        </w:rPr>
        <w:t>. Even if this option is designated as an ISO in the Notice of Stock Option Grant, it shall be deemed to be an NSO to the extent (and only to the extent) required by the $100,000 annual limitation under Section 422(d) of the Code.</w:t>
      </w:r>
    </w:p>
    <w:p>
      <w:pPr>
        <w:spacing w:after="0" w:line="155" w:lineRule="exact"/>
        <w:rPr>
          <w:sz w:val="20"/>
          <w:szCs w:val="20"/>
          <w:color w:val="auto"/>
        </w:rPr>
      </w:pPr>
    </w:p>
    <w:p>
      <w:pPr>
        <w:ind w:right="280" w:firstLine="981"/>
        <w:spacing w:after="0" w:line="26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Stock Plan and Defined Terms</w:t>
      </w:r>
      <w:r>
        <w:rPr>
          <w:rFonts w:ascii="Times New Roman" w:cs="Times New Roman" w:eastAsia="Times New Roman" w:hAnsi="Times New Roman"/>
          <w:sz w:val="18"/>
          <w:szCs w:val="18"/>
          <w:color w:val="auto"/>
        </w:rPr>
        <w:t>. This option is granted pursuant to the Plan, a copy of which the Optionee acknowledges having received. The provisions of the Plan are incorporated into this Agreement by this reference. Capitalized terms are defined in Section 14 of this Agreement.</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2.   RIGHT TO EXERCISE.</w:t>
      </w:r>
    </w:p>
    <w:p>
      <w:pPr>
        <w:spacing w:after="0" w:line="114" w:lineRule="exact"/>
        <w:rPr>
          <w:sz w:val="20"/>
          <w:szCs w:val="20"/>
          <w:color w:val="auto"/>
        </w:rPr>
      </w:pPr>
    </w:p>
    <w:p>
      <w:pPr>
        <w:ind w:firstLine="981"/>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Exercisability</w:t>
      </w:r>
      <w:r>
        <w:rPr>
          <w:rFonts w:ascii="Times New Roman" w:cs="Times New Roman" w:eastAsia="Times New Roman" w:hAnsi="Times New Roman"/>
          <w:sz w:val="18"/>
          <w:szCs w:val="18"/>
          <w:color w:val="auto"/>
        </w:rPr>
        <w:t>. Subject to Subsection (b) below and the other conditions set forth in this Agreement, all or part of this option may be exercised prior to its expiration at the time or times set forth in the Notice of Stock Option Grant.</w:t>
      </w:r>
    </w:p>
    <w:p>
      <w:pPr>
        <w:spacing w:after="0" w:line="155" w:lineRule="exact"/>
        <w:rPr>
          <w:sz w:val="20"/>
          <w:szCs w:val="20"/>
          <w:color w:val="auto"/>
        </w:rPr>
      </w:pPr>
    </w:p>
    <w:p>
      <w:pPr>
        <w:ind w:firstLine="981"/>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Any other provision of this Agreement notwithstanding, no portion of this option shall be exercisable at any time prior to the approval of the Plan by the Company’s stockholders.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3.   NO TRANSFER OR ASSIGNMENT OF OPTION.</w:t>
      </w:r>
    </w:p>
    <w:p>
      <w:pPr>
        <w:spacing w:after="0" w:line="118" w:lineRule="exact"/>
        <w:rPr>
          <w:sz w:val="20"/>
          <w:szCs w:val="20"/>
          <w:color w:val="auto"/>
        </w:rPr>
      </w:pPr>
    </w:p>
    <w:p>
      <w:pPr>
        <w:jc w:val="both"/>
        <w:ind w:right="200" w:firstLine="981"/>
        <w:spacing w:after="0" w:line="308" w:lineRule="auto"/>
        <w:rPr>
          <w:sz w:val="20"/>
          <w:szCs w:val="20"/>
          <w:color w:val="auto"/>
        </w:rPr>
      </w:pPr>
      <w:r>
        <w:rPr>
          <w:rFonts w:ascii="Times New Roman" w:cs="Times New Roman" w:eastAsia="Times New Roman" w:hAnsi="Times New Roman"/>
          <w:sz w:val="17"/>
          <w:szCs w:val="17"/>
          <w:color w:val="auto"/>
        </w:rPr>
        <w:t>Except as otherwise provided in this Agreement, this option and the rights and privileges conferred hereby shall not be sold, pledged or otherwise transferred (whether by operation of law or otherwise) and shall not be subject to sale under execution, attachment, levy or similar process.</w:t>
      </w:r>
    </w:p>
    <w:p>
      <w:pPr>
        <w:spacing w:after="0" w:line="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20"/>
          </w:cols>
          <w:pgMar w:left="500" w:top="264" w:right="579" w:bottom="1440" w:gutter="0" w:footer="0" w:header="0"/>
        </w:sectPr>
      </w:pPr>
    </w:p>
    <w:bookmarkStart w:id="394" w:name="page395"/>
    <w:bookmarkEnd w:id="394"/>
    <w:p>
      <w:pPr>
        <w:ind w:left="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0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4.   EXERCISE PROCEDURES.</w:t>
      </w:r>
    </w:p>
    <w:p>
      <w:pPr>
        <w:spacing w:after="0" w:line="114" w:lineRule="exact"/>
        <w:rPr>
          <w:sz w:val="20"/>
          <w:szCs w:val="20"/>
          <w:color w:val="auto"/>
        </w:rPr>
      </w:pPr>
    </w:p>
    <w:p>
      <w:pPr>
        <w:ind w:left="6" w:right="60" w:firstLine="981"/>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Notice of Exercise</w:t>
      </w:r>
      <w:r>
        <w:rPr>
          <w:rFonts w:ascii="Times New Roman" w:cs="Times New Roman" w:eastAsia="Times New Roman" w:hAnsi="Times New Roman"/>
          <w:sz w:val="18"/>
          <w:szCs w:val="18"/>
          <w:color w:val="auto"/>
        </w:rPr>
        <w:t>. The Optionee or the Optionee’s representative may exercise this option by giving written notice to the Company pursuant to Section 12(c). The notice shall specify the election to exercise this option, the number of Shares for which it is being exercised and the form of payment. The person exercising this option shall sign the notice. In the event that this option is being exercised by the representative of the Optionee, the notice shall be accompanied by proof (satisfactory to the Company) of the representative’s right to exercise this option. The Optionee or the Optionee’s representative shall deliver to the Company, at the time of giving the notice, payment in a form permissible under Section 5 for the full amount of the Purchase Price. In the event of a partial exercise of this option, Shares shall be deemed to have been purchased in the order in which they vest in accordance with the Notice of Stock Option Grant.</w:t>
      </w:r>
    </w:p>
    <w:p>
      <w:pPr>
        <w:spacing w:after="0" w:line="182" w:lineRule="exact"/>
        <w:rPr>
          <w:sz w:val="20"/>
          <w:szCs w:val="20"/>
          <w:color w:val="auto"/>
        </w:rPr>
      </w:pPr>
    </w:p>
    <w:p>
      <w:pPr>
        <w:ind w:left="6" w:right="420" w:firstLine="981"/>
        <w:spacing w:after="0" w:line="276"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b w:val="1"/>
          <w:bCs w:val="1"/>
          <w:color w:val="auto"/>
        </w:rPr>
        <w:t>Issuance of Shares</w:t>
      </w:r>
      <w:r>
        <w:rPr>
          <w:rFonts w:ascii="Times New Roman" w:cs="Times New Roman" w:eastAsia="Times New Roman" w:hAnsi="Times New Roman"/>
          <w:sz w:val="17"/>
          <w:szCs w:val="17"/>
          <w:color w:val="auto"/>
        </w:rPr>
        <w:t>. After receiving a proper notice of exercise, the Company shall cause to be issued one or more certificates evidencing the Shares for which this option has been exercised. Such Shares shall be registered (i) in the name of the person exercising this option,</w:t>
      </w:r>
    </w:p>
    <w:p>
      <w:pPr>
        <w:spacing w:after="0" w:line="1" w:lineRule="exact"/>
        <w:rPr>
          <w:sz w:val="20"/>
          <w:szCs w:val="20"/>
          <w:color w:val="auto"/>
        </w:rPr>
      </w:pPr>
    </w:p>
    <w:p>
      <w:pPr>
        <w:ind w:left="6" w:right="500" w:hanging="6"/>
        <w:spacing w:after="0" w:line="251" w:lineRule="auto"/>
        <w:tabs>
          <w:tab w:leader="none" w:pos="268"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names of such person and his or her spouse as community property or as joint tenants with the right of survivorship or (iii) with the Company’s consent, in the name of a revocable trust. The Company shall cause such certificates to be delivered to or upon the order of the person exercising this option.</w:t>
      </w:r>
    </w:p>
    <w:p>
      <w:pPr>
        <w:spacing w:after="0" w:line="183" w:lineRule="exact"/>
        <w:rPr>
          <w:sz w:val="20"/>
          <w:szCs w:val="20"/>
          <w:color w:val="auto"/>
        </w:rPr>
      </w:pPr>
    </w:p>
    <w:p>
      <w:pPr>
        <w:ind w:left="6" w:right="20" w:firstLine="981"/>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Withholding Taxes</w:t>
      </w:r>
      <w:r>
        <w:rPr>
          <w:rFonts w:ascii="Times New Roman" w:cs="Times New Roman" w:eastAsia="Times New Roman" w:hAnsi="Times New Roman"/>
          <w:sz w:val="18"/>
          <w:szCs w:val="18"/>
          <w:color w:val="auto"/>
        </w:rPr>
        <w:t>. In the event that the Company determines that it is required to withhold any tax as a result of the exercise of this option, the Optionee, as a condition to the exercise of this option, shall make arrangements satisfactory to the Company to enable it to satisfy all withholding requirements. The Optionee shall also make arrangements satisfactory to the Company to enable it to satisfy any withholding requirements that may arise in connection with the vesting or disposition of Shares purchased by exercising this option.</w:t>
      </w:r>
    </w:p>
    <w:p>
      <w:pPr>
        <w:spacing w:after="0" w:line="28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5.   PAYMENT FOR STOCK.</w:t>
      </w:r>
    </w:p>
    <w:p>
      <w:pPr>
        <w:spacing w:after="0" w:line="114" w:lineRule="exact"/>
        <w:rPr>
          <w:sz w:val="20"/>
          <w:szCs w:val="20"/>
          <w:color w:val="auto"/>
        </w:rPr>
      </w:pPr>
    </w:p>
    <w:p>
      <w:pPr>
        <w:ind w:left="986"/>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xml:space="preserve">   Cash</w:t>
      </w:r>
      <w:r>
        <w:rPr>
          <w:rFonts w:ascii="Times New Roman" w:cs="Times New Roman" w:eastAsia="Times New Roman" w:hAnsi="Times New Roman"/>
          <w:sz w:val="18"/>
          <w:szCs w:val="18"/>
          <w:color w:val="auto"/>
        </w:rPr>
        <w:t>. All or part of the Purchase Price may be paid in cash or cash equivalents.</w:t>
      </w:r>
    </w:p>
    <w:p>
      <w:pPr>
        <w:spacing w:after="0" w:line="220" w:lineRule="exact"/>
        <w:rPr>
          <w:sz w:val="20"/>
          <w:szCs w:val="20"/>
          <w:color w:val="auto"/>
        </w:rPr>
      </w:pPr>
    </w:p>
    <w:p>
      <w:pPr>
        <w:jc w:val="both"/>
        <w:ind w:left="6" w:firstLine="981"/>
        <w:spacing w:after="0" w:line="265"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b w:val="1"/>
          <w:bCs w:val="1"/>
          <w:color w:val="auto"/>
        </w:rPr>
        <w:t xml:space="preserve">  Surrender of Stock</w:t>
      </w:r>
      <w:r>
        <w:rPr>
          <w:rFonts w:ascii="Times New Roman" w:cs="Times New Roman" w:eastAsia="Times New Roman" w:hAnsi="Times New Roman"/>
          <w:sz w:val="18"/>
          <w:szCs w:val="18"/>
          <w:color w:val="auto"/>
        </w:rPr>
        <w:t>. At the discretion of the Board of Directors, all or any part of the Purchase Price may be paid by surrendering, or attesting to the ownership of, Shares that are already owned by the Optionee. Such Shares shall be surrendered to the Company in good form for transfer and shall be valued at their Fair Market Value as of the date when this option is exercised.</w:t>
      </w:r>
    </w:p>
    <w:p>
      <w:pPr>
        <w:spacing w:after="0" w:line="169" w:lineRule="exact"/>
        <w:rPr>
          <w:sz w:val="20"/>
          <w:szCs w:val="20"/>
          <w:color w:val="auto"/>
        </w:rPr>
      </w:pPr>
    </w:p>
    <w:p>
      <w:pPr>
        <w:ind w:left="6" w:right="20" w:firstLine="981"/>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Exercise/Sale</w:t>
      </w:r>
      <w:r>
        <w:rPr>
          <w:rFonts w:ascii="Times New Roman" w:cs="Times New Roman" w:eastAsia="Times New Roman" w:hAnsi="Times New Roman"/>
          <w:sz w:val="18"/>
          <w:szCs w:val="18"/>
          <w:color w:val="auto"/>
        </w:rPr>
        <w:t>. All or part of the Purchase Price and any withholding taxes may be paid by the delivery (on a form prescribed by the Company) of an irrevocable direction to a securities broker approved by the Company to sell Shares and to deliver all or part of the sales proceeds to the Company. However, payment pursuant to this Subsection (c) shall be permitted only if (i) Stock then is publicly traded and (ii) such payment does not violate applicable law.</w:t>
      </w:r>
    </w:p>
    <w:p>
      <w:pPr>
        <w:spacing w:after="0" w:line="112"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6"/>
          </w:cols>
          <w:pgMar w:left="494" w:top="263" w:right="519"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0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6.   TERM AND EXPIRATION.</w:t>
      </w:r>
    </w:p>
    <w:p>
      <w:pPr>
        <w:spacing w:after="0" w:line="114" w:lineRule="exact"/>
        <w:rPr>
          <w:sz w:val="20"/>
          <w:szCs w:val="20"/>
          <w:color w:val="auto"/>
        </w:rPr>
      </w:pPr>
    </w:p>
    <w:p>
      <w:pPr>
        <w:ind w:right="160" w:firstLine="981"/>
        <w:spacing w:after="0" w:line="26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Basic Term</w:t>
      </w:r>
      <w:r>
        <w:rPr>
          <w:rFonts w:ascii="Times New Roman" w:cs="Times New Roman" w:eastAsia="Times New Roman" w:hAnsi="Times New Roman"/>
          <w:sz w:val="18"/>
          <w:szCs w:val="18"/>
          <w:color w:val="auto"/>
        </w:rPr>
        <w:t>. This option shall in any event expire on the expiration date set forth in the Notice of Stock Option Grant, which date is 10 years after the Date of Grant (five years after the Date of Grant if this option is designated as an ISO in the Notice of Stock Option Grant and Section 3(b) of the Plan applies).</w:t>
      </w:r>
    </w:p>
    <w:p>
      <w:pPr>
        <w:spacing w:after="0" w:line="169" w:lineRule="exact"/>
        <w:rPr>
          <w:sz w:val="20"/>
          <w:szCs w:val="20"/>
          <w:color w:val="auto"/>
        </w:rPr>
      </w:pPr>
    </w:p>
    <w:p>
      <w:pPr>
        <w:ind w:right="280" w:firstLine="981"/>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Termination of Service (Except by Death)</w:t>
      </w:r>
      <w:r>
        <w:rPr>
          <w:rFonts w:ascii="Times New Roman" w:cs="Times New Roman" w:eastAsia="Times New Roman" w:hAnsi="Times New Roman"/>
          <w:sz w:val="18"/>
          <w:szCs w:val="18"/>
          <w:color w:val="auto"/>
        </w:rPr>
        <w:t>. If the Optionee’s Service terminates for any reason other than death, then this option shall expire on the earliest of the following occasions:</w:t>
      </w:r>
    </w:p>
    <w:p>
      <w:pPr>
        <w:spacing w:after="0" w:line="5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    The expiration date determined pursuant to Subsection (a)</w:t>
      </w:r>
    </w:p>
    <w:p>
      <w:pPr>
        <w:spacing w:after="0" w:line="11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(ii)   The date three months after the termination of the Optionee’s Service for any reason other than Disability; or</w:t>
      </w:r>
    </w:p>
    <w:p>
      <w:pPr>
        <w:spacing w:after="0" w:line="11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(iii)   The date six months after the termination of the Optionee’s Service by reason of Disability.</w:t>
      </w:r>
    </w:p>
    <w:p>
      <w:pPr>
        <w:spacing w:after="0" w:line="2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Optionee may exercise all or part of this option at any time before its expiration under the preceding sentence, but only to the extent that this option had become exercisable before the Optionee’s Service terminated. When the Optionee’s Service terminates, this option shall expire immediately with respect to the number of Shares for which this option is not yet exercisable.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had become exercisable before the Optionee’s Service terminated.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Death of the Optionee</w:t>
      </w:r>
      <w:r>
        <w:rPr>
          <w:rFonts w:ascii="Times New Roman" w:cs="Times New Roman" w:eastAsia="Times New Roman" w:hAnsi="Times New Roman"/>
          <w:sz w:val="18"/>
          <w:szCs w:val="18"/>
          <w:color w:val="auto"/>
        </w:rPr>
        <w:t>. If the Optionee dies while in Service, then this option shall expire on the earlier of the following dates:</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The expiration date determined pursuant to Subsection (a) above; or</w:t>
      </w:r>
    </w:p>
    <w:p>
      <w:pPr>
        <w:spacing w:after="0" w:line="114" w:lineRule="exact"/>
        <w:rPr>
          <w:sz w:val="20"/>
          <w:szCs w:val="20"/>
          <w:color w:val="auto"/>
        </w:rPr>
      </w:pPr>
    </w:p>
    <w:p>
      <w:pPr>
        <w:ind w:left="980"/>
        <w:spacing w:after="0"/>
        <w:tabs>
          <w:tab w:leader="none" w:pos="1400" w:val="left"/>
        </w:tabs>
        <w:rPr>
          <w:sz w:val="20"/>
          <w:szCs w:val="20"/>
          <w:color w:val="auto"/>
        </w:rPr>
      </w:pPr>
      <w:r>
        <w:rPr>
          <w:rFonts w:ascii="Times New Roman" w:cs="Times New Roman" w:eastAsia="Times New Roman" w:hAnsi="Times New Roman"/>
          <w:sz w:val="18"/>
          <w:szCs w:val="18"/>
          <w:color w:val="auto"/>
        </w:rPr>
        <w:t xml:space="preserve">(ii) </w:t>
      </w:r>
      <w:r>
        <w:rPr>
          <w:sz w:val="20"/>
          <w:szCs w:val="20"/>
          <w:color w:val="auto"/>
        </w:rPr>
        <w:tab/>
      </w:r>
      <w:r>
        <w:rPr>
          <w:rFonts w:ascii="Times New Roman" w:cs="Times New Roman" w:eastAsia="Times New Roman" w:hAnsi="Times New Roman"/>
          <w:sz w:val="17"/>
          <w:szCs w:val="17"/>
          <w:color w:val="auto"/>
        </w:rPr>
        <w:t>The date 12 months after the Optionee’s death.</w:t>
      </w:r>
    </w:p>
    <w:p>
      <w:pPr>
        <w:spacing w:after="0" w:line="220"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had become exercisable before the Optionee’s death. When the Optionee dies, this option shall expire immediately with respect to the number of Shares for which this option is not yet exercisable.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500" w:top="263" w:right="499" w:bottom="1440" w:gutter="0" w:footer="0" w:header="0"/>
        </w:sectPr>
      </w:pPr>
    </w:p>
    <w:bookmarkStart w:id="396" w:name="page397"/>
    <w:bookmarkEnd w:id="396"/>
    <w:p>
      <w:pPr>
        <w:ind w:right="40" w:firstLine="98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(d)  </w:t>
      </w:r>
      <w:r>
        <w:rPr>
          <w:rFonts w:ascii="Times New Roman" w:cs="Times New Roman" w:eastAsia="Times New Roman" w:hAnsi="Times New Roman"/>
          <w:sz w:val="18"/>
          <w:szCs w:val="18"/>
          <w:b w:val="1"/>
          <w:bCs w:val="1"/>
          <w:color w:val="auto"/>
        </w:rPr>
        <w:t>Part-Time Employment and Leaves of Absence</w:t>
      </w:r>
      <w:r>
        <w:rPr>
          <w:rFonts w:ascii="Times New Roman" w:cs="Times New Roman" w:eastAsia="Times New Roman" w:hAnsi="Times New Roman"/>
          <w:sz w:val="18"/>
          <w:szCs w:val="18"/>
          <w:color w:val="auto"/>
        </w:rPr>
        <w:t xml:space="preserve">. If the Optionee commences working on a part-time basis, then the Company may adjust the vesting schedule set forth in the Notice of Stock Option Grant. If the Optionee goes on a leave of absence, then the Company may adjust the vesting schedule set forth in the Notice of Stock Option Grant in accordance with the Company’s leave of absence policy or the terms of such leave. Except as provided in the preceding sentence, Service shall be deemed to continue for any purpose under this Agreement while the Optionee is on a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leave of absence, if (i) such leave was approved by the Company in writing and (ii) continued crediting of Service for such purpose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expressly required by the terms of such leave or by applicable law (as determined by the Company). Service shall be deemed to terminate when such leave ends, unless the Optionee immediately returns to active work.</w:t>
      </w:r>
    </w:p>
    <w:p>
      <w:pPr>
        <w:spacing w:after="0" w:line="182" w:lineRule="exact"/>
        <w:rPr>
          <w:sz w:val="20"/>
          <w:szCs w:val="20"/>
          <w:color w:val="auto"/>
        </w:rPr>
      </w:pPr>
    </w:p>
    <w:p>
      <w:pPr>
        <w:ind w:right="320" w:firstLine="981"/>
        <w:spacing w:after="0" w:line="28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Notice Concerning ISO Treatment</w:t>
      </w:r>
      <w:r>
        <w:rPr>
          <w:rFonts w:ascii="Times New Roman" w:cs="Times New Roman" w:eastAsia="Times New Roman" w:hAnsi="Times New Roman"/>
          <w:sz w:val="18"/>
          <w:szCs w:val="18"/>
          <w:color w:val="auto"/>
        </w:rPr>
        <w:t>. Even if this option is designated as an ISO in the Notice of Stock Option Grant, it ceases to qualify for favorable tax treatment as an ISO to the extent that it is exercised:</w:t>
      </w:r>
    </w:p>
    <w:p>
      <w:pPr>
        <w:spacing w:after="0" w:line="52" w:lineRule="exact"/>
        <w:rPr>
          <w:sz w:val="20"/>
          <w:szCs w:val="20"/>
          <w:color w:val="auto"/>
        </w:rPr>
      </w:pPr>
    </w:p>
    <w:p>
      <w:pPr>
        <w:ind w:left="420" w:right="180" w:firstLine="419"/>
        <w:spacing w:after="0" w:line="277" w:lineRule="auto"/>
        <w:rPr>
          <w:sz w:val="20"/>
          <w:szCs w:val="20"/>
          <w:color w:val="auto"/>
        </w:rPr>
      </w:pPr>
      <w:r>
        <w:rPr>
          <w:rFonts w:ascii="Times New Roman" w:cs="Times New Roman" w:eastAsia="Times New Roman" w:hAnsi="Times New Roman"/>
          <w:sz w:val="18"/>
          <w:szCs w:val="18"/>
          <w:color w:val="auto"/>
        </w:rPr>
        <w:t>(i)  More than three months after the date when the Optionee ceases to be an Employee for any reason other than death or permanent and total disability (as defined in Section 22(e)(3) of the Code);</w:t>
      </w:r>
    </w:p>
    <w:p>
      <w:pPr>
        <w:spacing w:after="0" w:line="57" w:lineRule="exact"/>
        <w:rPr>
          <w:sz w:val="20"/>
          <w:szCs w:val="20"/>
          <w:color w:val="auto"/>
        </w:rPr>
      </w:pPr>
    </w:p>
    <w:p>
      <w:pPr>
        <w:ind w:left="420" w:right="500" w:firstLine="419"/>
        <w:spacing w:after="0" w:line="277" w:lineRule="auto"/>
        <w:rPr>
          <w:sz w:val="20"/>
          <w:szCs w:val="20"/>
          <w:color w:val="auto"/>
        </w:rPr>
      </w:pPr>
      <w:r>
        <w:rPr>
          <w:rFonts w:ascii="Times New Roman" w:cs="Times New Roman" w:eastAsia="Times New Roman" w:hAnsi="Times New Roman"/>
          <w:sz w:val="18"/>
          <w:szCs w:val="18"/>
          <w:color w:val="auto"/>
        </w:rPr>
        <w:t>(ii)  More than 12 months after the date when the Optionee ceases to be an Employee by reason of permanent and total disability (as defined in Section 22(e)(3) of the Code); or</w:t>
      </w:r>
    </w:p>
    <w:p>
      <w:pPr>
        <w:spacing w:after="0" w:line="57" w:lineRule="exact"/>
        <w:rPr>
          <w:sz w:val="20"/>
          <w:szCs w:val="20"/>
          <w:color w:val="auto"/>
        </w:rPr>
      </w:pPr>
    </w:p>
    <w:p>
      <w:pPr>
        <w:ind w:left="420" w:right="820" w:firstLine="419"/>
        <w:spacing w:after="0" w:line="277" w:lineRule="auto"/>
        <w:rPr>
          <w:sz w:val="20"/>
          <w:szCs w:val="20"/>
          <w:color w:val="auto"/>
        </w:rPr>
      </w:pPr>
      <w:r>
        <w:rPr>
          <w:rFonts w:ascii="Times New Roman" w:cs="Times New Roman" w:eastAsia="Times New Roman" w:hAnsi="Times New Roman"/>
          <w:sz w:val="18"/>
          <w:szCs w:val="18"/>
          <w:color w:val="auto"/>
        </w:rPr>
        <w:t>(iii)  More than three months after the date when the Optionee has been on a leave of absence for 90 days, unless the Optionee’s reemployment rights following such leave were guaranteed by statute or by contract.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7.   RIGHT OF FIRST REFUSAL.</w:t>
      </w:r>
    </w:p>
    <w:p>
      <w:pPr>
        <w:spacing w:after="0" w:line="114" w:lineRule="exact"/>
        <w:rPr>
          <w:sz w:val="20"/>
          <w:szCs w:val="20"/>
          <w:color w:val="auto"/>
        </w:rPr>
      </w:pPr>
    </w:p>
    <w:p>
      <w:pPr>
        <w:ind w:firstLine="981"/>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In the event that the Optionee proposes to sell, pledge or otherwise transfer to a third party any Shares acquired under this Agreement, or any interest in such Shares, the Company shall have the Right of First Refusal with respect to all (and not less than all) of such Shares. If the Optionee desires to transfer Shares acquired under this Agreement, the Optionee shall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the Optionee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60"/>
          </w:cols>
          <w:pgMar w:left="500" w:top="264" w:right="539" w:bottom="1440" w:gutter="0" w:footer="0" w:header="0"/>
        </w:sectPr>
      </w:pPr>
    </w:p>
    <w:bookmarkStart w:id="397" w:name="page398"/>
    <w:bookmarkEnd w:id="397"/>
    <w:p>
      <w:pPr>
        <w:ind w:right="60" w:firstLine="981"/>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(b)  </w:t>
      </w:r>
      <w:r>
        <w:rPr>
          <w:rFonts w:ascii="Times New Roman" w:cs="Times New Roman" w:eastAsia="Times New Roman" w:hAnsi="Times New Roman"/>
          <w:sz w:val="18"/>
          <w:szCs w:val="18"/>
          <w:b w:val="1"/>
          <w:bCs w:val="1"/>
          <w:color w:val="auto"/>
        </w:rPr>
        <w:t>Transfer of Shares</w:t>
      </w:r>
      <w:r>
        <w:rPr>
          <w:rFonts w:ascii="Times New Roman" w:cs="Times New Roman" w:eastAsia="Times New Roman" w:hAnsi="Times New Roman"/>
          <w:sz w:val="18"/>
          <w:szCs w:val="18"/>
          <w:color w:val="auto"/>
        </w:rPr>
        <w:t>. If the Company fails to exercise its Right of First Refusal within 30 days after the date when it received the Transfer Notice, the Optionee may, not later than 90 days following receipt of the Transfer Notice by the Company, conclude a transfer of the Shares subject to the Transfer Notice on the terms and conditions described in the Transfer Notice, provided that any such sale is made in compliance with applicable federal, State and foreign securities laws and not in violation of any other contractual restrictions to which the Optionee is bound. Any proposed transfer on terms and conditions different from those described in the Transfer Notice, as well as any subsequent proposed transfer by the Optionee, shall again be subject to the Right of First Refusal and shall require compliance with the procedure described in Subsection (a)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spacing w:after="0" w:line="184" w:lineRule="exact"/>
        <w:rPr>
          <w:sz w:val="20"/>
          <w:szCs w:val="20"/>
          <w:color w:val="auto"/>
        </w:rPr>
      </w:pPr>
    </w:p>
    <w:p>
      <w:pPr>
        <w:ind w:right="100" w:firstLine="981"/>
        <w:spacing w:after="0" w:line="25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Additional or Exchanged Securities and Property</w:t>
      </w:r>
      <w:r>
        <w:rPr>
          <w:rFonts w:ascii="Times New Roman" w:cs="Times New Roman" w:eastAsia="Times New Roman" w:hAnsi="Times New Roman"/>
          <w:sz w:val="18"/>
          <w:szCs w:val="18"/>
          <w:color w:val="auto"/>
        </w:rPr>
        <w:t>. In the event of a merger or consolidation of the Company with or into another entity,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7 shall immediately be subject to the Right of First Refusal. Appropriate adjustments to reflect the exchange or distribution of such securities or property shall be made to the number and/or class of the Shares subject to this Section 7.</w:t>
      </w:r>
    </w:p>
    <w:p>
      <w:pPr>
        <w:spacing w:after="0" w:line="182" w:lineRule="exact"/>
        <w:rPr>
          <w:sz w:val="20"/>
          <w:szCs w:val="20"/>
          <w:color w:val="auto"/>
        </w:rPr>
      </w:pPr>
    </w:p>
    <w:p>
      <w:pPr>
        <w:ind w:right="80" w:firstLine="981"/>
        <w:spacing w:after="0" w:line="265"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Termination of Right of First Refusal</w:t>
      </w:r>
      <w:r>
        <w:rPr>
          <w:rFonts w:ascii="Times New Roman" w:cs="Times New Roman" w:eastAsia="Times New Roman" w:hAnsi="Times New Roman"/>
          <w:sz w:val="18"/>
          <w:szCs w:val="18"/>
          <w:color w:val="auto"/>
        </w:rPr>
        <w:t>. Any other provision of this Section 7 notwithstanding, in the event that the Stock is readily tradable on an established securities market when the Optionee desires to transfer Shares, the Company shall have no Right of First Refusal, and the Optionee shall have no obligation to comply with the procedures prescribed by Subsections (a) and (b) above.</w:t>
      </w:r>
    </w:p>
    <w:p>
      <w:pPr>
        <w:spacing w:after="0" w:line="169" w:lineRule="exact"/>
        <w:rPr>
          <w:sz w:val="20"/>
          <w:szCs w:val="20"/>
          <w:color w:val="auto"/>
        </w:rPr>
      </w:pPr>
    </w:p>
    <w:p>
      <w:pPr>
        <w:ind w:firstLine="981"/>
        <w:spacing w:after="0" w:line="254"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Permitted Transfers</w:t>
      </w:r>
      <w:r>
        <w:rPr>
          <w:rFonts w:ascii="Times New Roman" w:cs="Times New Roman" w:eastAsia="Times New Roman" w:hAnsi="Times New Roman"/>
          <w:sz w:val="18"/>
          <w:szCs w:val="18"/>
          <w:color w:val="auto"/>
        </w:rPr>
        <w:t>. This Section 7 shall not apply to (i) a transfer by beneficiary designation, will or intestate succession or (ii) a transfer to one or more members of 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Shares acquired under this Agreement, either under this Subsection (e) or after the Company has failed to exercise the Right of First Refusal, then this Agreement shall apply to the Transferee to the same extent as to the Optionee.</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40"/>
          </w:cols>
          <w:pgMar w:left="500" w:top="264" w:right="559" w:bottom="1440" w:gutter="0" w:footer="0" w:header="0"/>
        </w:sectPr>
      </w:pPr>
    </w:p>
    <w:bookmarkStart w:id="398" w:name="page399"/>
    <w:bookmarkEnd w:id="398"/>
    <w:p>
      <w:pPr>
        <w:ind w:right="40" w:firstLine="98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(f)  </w:t>
      </w:r>
      <w:r>
        <w:rPr>
          <w:rFonts w:ascii="Times New Roman" w:cs="Times New Roman" w:eastAsia="Times New Roman" w:hAnsi="Times New Roman"/>
          <w:sz w:val="18"/>
          <w:szCs w:val="18"/>
          <w:b w:val="1"/>
          <w:bCs w:val="1"/>
          <w:color w:val="auto"/>
        </w:rPr>
        <w:t>Termination of Rights as Stockholder</w:t>
      </w:r>
      <w:r>
        <w:rPr>
          <w:rFonts w:ascii="Times New Roman" w:cs="Times New Roman" w:eastAsia="Times New Roman" w:hAnsi="Times New Roman"/>
          <w:sz w:val="18"/>
          <w:szCs w:val="18"/>
          <w:color w:val="auto"/>
        </w:rPr>
        <w:t>. If the Company makes available, at the time and place and in the amount and form provided in this Agreement, the consideration for the Shares to be purchased in accordance with this Section 7,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178" w:lineRule="exact"/>
        <w:rPr>
          <w:sz w:val="20"/>
          <w:szCs w:val="20"/>
          <w:color w:val="auto"/>
        </w:rPr>
      </w:pPr>
    </w:p>
    <w:p>
      <w:pPr>
        <w:jc w:val="both"/>
        <w:ind w:firstLine="981"/>
        <w:spacing w:after="0" w:line="265"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Assignment of Right of First Refusal</w:t>
      </w:r>
      <w:r>
        <w:rPr>
          <w:rFonts w:ascii="Times New Roman" w:cs="Times New Roman" w:eastAsia="Times New Roman" w:hAnsi="Times New Roman"/>
          <w:sz w:val="18"/>
          <w:szCs w:val="18"/>
          <w:color w:val="auto"/>
        </w:rPr>
        <w:t>. The Board of Directors may freely assign the Company’s Right of First Refusal, in whole or in part. Any person who accepts an assignment of the Right of First Refusal from the Company shall assume all of the Company’s rights and obligations under this Section 7.</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8.   LEGALITY OF INITIAL ISSUANCE.</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 Shares shall be issued upon the exercise of this option unless and until the Company has determined that:</w:t>
      </w:r>
    </w:p>
    <w:p>
      <w:pPr>
        <w:spacing w:after="0" w:line="220" w:lineRule="exact"/>
        <w:rPr>
          <w:sz w:val="20"/>
          <w:szCs w:val="20"/>
          <w:color w:val="auto"/>
        </w:rPr>
      </w:pPr>
    </w:p>
    <w:p>
      <w:pPr>
        <w:ind w:right="220" w:firstLine="981"/>
        <w:spacing w:after="0" w:line="277" w:lineRule="auto"/>
        <w:rPr>
          <w:sz w:val="20"/>
          <w:szCs w:val="20"/>
          <w:color w:val="auto"/>
        </w:rPr>
      </w:pPr>
      <w:r>
        <w:rPr>
          <w:rFonts w:ascii="Times New Roman" w:cs="Times New Roman" w:eastAsia="Times New Roman" w:hAnsi="Times New Roman"/>
          <w:sz w:val="18"/>
          <w:szCs w:val="18"/>
          <w:color w:val="auto"/>
        </w:rPr>
        <w:t>(a)  It and the Optionee have taken any actions required to register the Shares under the Securities Act or to perfect an exemption from the registration requirements thereof;</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Any applicable listing requirement of any stock exchange or other securities market on which Stock is listed has been satisfied; and</w:t>
      </w:r>
    </w:p>
    <w:p>
      <w:pPr>
        <w:spacing w:after="0" w:line="220" w:lineRule="exact"/>
        <w:rPr>
          <w:sz w:val="20"/>
          <w:szCs w:val="20"/>
          <w:color w:val="auto"/>
        </w:rPr>
      </w:pPr>
    </w:p>
    <w:p>
      <w:pPr>
        <w:ind w:left="980"/>
        <w:spacing w:after="0"/>
        <w:tabs>
          <w:tab w:leader="none" w:pos="1380" w:val="left"/>
        </w:tabs>
        <w:rPr>
          <w:sz w:val="20"/>
          <w:szCs w:val="20"/>
          <w:color w:val="auto"/>
        </w:rPr>
      </w:pPr>
      <w:r>
        <w:rPr>
          <w:rFonts w:ascii="Times New Roman" w:cs="Times New Roman" w:eastAsia="Times New Roman" w:hAnsi="Times New Roman"/>
          <w:sz w:val="18"/>
          <w:szCs w:val="18"/>
          <w:color w:val="auto"/>
        </w:rPr>
        <w:t xml:space="preserve">(c) </w:t>
      </w:r>
      <w:r>
        <w:rPr>
          <w:sz w:val="20"/>
          <w:szCs w:val="20"/>
          <w:color w:val="auto"/>
        </w:rPr>
        <w:tab/>
      </w:r>
      <w:r>
        <w:rPr>
          <w:rFonts w:ascii="Times New Roman" w:cs="Times New Roman" w:eastAsia="Times New Roman" w:hAnsi="Times New Roman"/>
          <w:sz w:val="17"/>
          <w:szCs w:val="17"/>
          <w:color w:val="auto"/>
        </w:rPr>
        <w:t>Any other applicable provision of federal, State or foreign law has been satisfied.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9.   NO REGISTRATION RIGHTS.</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The Company may, but shall not be obligated to, register or qualify the sale of Shares under the Securities Act or any other applicable law.</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not be obligated to take any affirmative action in order to cause the sale of Shares under this Agreement to comply with any law.</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10.   RESTRICTIONS ON TRANSFER OF SHARES.</w:t>
      </w:r>
    </w:p>
    <w:p>
      <w:pPr>
        <w:spacing w:after="0" w:line="114" w:lineRule="exact"/>
        <w:rPr>
          <w:sz w:val="20"/>
          <w:szCs w:val="20"/>
          <w:color w:val="auto"/>
        </w:rPr>
      </w:pPr>
    </w:p>
    <w:p>
      <w:pPr>
        <w:ind w:right="20" w:firstLine="981"/>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Securities Law Restrictions</w:t>
      </w:r>
      <w:r>
        <w:rPr>
          <w:rFonts w:ascii="Times New Roman" w:cs="Times New Roman" w:eastAsia="Times New Roman" w:hAnsi="Times New Roman"/>
          <w:sz w:val="18"/>
          <w:szCs w:val="18"/>
          <w:color w:val="auto"/>
        </w:rPr>
        <w:t>. Regardless of whether the offering and sale of Shares under the Plan have been registered under the Securities Act or have been registered or qualified under the securities laws of any State, the Company at its discretion may impose restrictions upon the sale, pledge or other transfer of such Shares (including the placement of appropriate legends on stock certificates or the imposition of stop-transfer instructions) if, in the judgment of the Company, such restrictions are necessary or desirable in order to achieve compliance with the Securities Act, the securities laws of any State or any other law.</w:t>
      </w:r>
    </w:p>
    <w:p>
      <w:pPr>
        <w:spacing w:after="0" w:line="178" w:lineRule="exact"/>
        <w:rPr>
          <w:sz w:val="20"/>
          <w:szCs w:val="20"/>
          <w:color w:val="auto"/>
        </w:rPr>
      </w:pPr>
    </w:p>
    <w:p>
      <w:pPr>
        <w:ind w:right="440" w:firstLine="981"/>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Market Stand-Off</w:t>
      </w:r>
      <w:r>
        <w:rPr>
          <w:rFonts w:ascii="Times New Roman" w:cs="Times New Roman" w:eastAsia="Times New Roman" w:hAnsi="Times New Roman"/>
          <w:sz w:val="18"/>
          <w:szCs w:val="18"/>
          <w:color w:val="auto"/>
        </w:rPr>
        <w:t>. In connection with any underwritten public offering by the Company of its equity securities pursuant to an effective registration statement filed under</w:t>
      </w:r>
    </w:p>
    <w:p>
      <w:pPr>
        <w:spacing w:after="0" w:line="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60"/>
          </w:cols>
          <w:pgMar w:left="500" w:top="263" w:right="539" w:bottom="1440" w:gutter="0" w:footer="0" w:header="0"/>
        </w:sectPr>
      </w:pPr>
    </w:p>
    <w:bookmarkStart w:id="399" w:name="page400"/>
    <w:bookmarkEnd w:id="399"/>
    <w:p>
      <w:pPr>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0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the Securities Act, including the Company’s initial public offering, the Optionee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w:t>
      </w:r>
      <w:r>
        <w:rPr>
          <w:rFonts w:ascii="Times New Roman" w:cs="Times New Roman" w:eastAsia="Times New Roman" w:hAnsi="Times New Roman"/>
          <w:sz w:val="18"/>
          <w:szCs w:val="18"/>
          <w:b w:val="1"/>
          <w:bCs w:val="1"/>
          <w:i w:val="1"/>
          <w:iCs w:val="1"/>
          <w:color w:val="auto"/>
        </w:rPr>
        <w:t>Market Stand-Off</w:t>
      </w:r>
      <w:r>
        <w:rPr>
          <w:rFonts w:ascii="Times New Roman" w:cs="Times New Roman" w:eastAsia="Times New Roman" w:hAnsi="Times New Roman"/>
          <w:sz w:val="18"/>
          <w:szCs w:val="18"/>
          <w:color w:val="auto"/>
        </w:rPr>
        <w:t>”)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Subsection (b). This Subsection (b) shall not apply to Shares registered in the public offering under the Securities Act.</w:t>
      </w:r>
    </w:p>
    <w:p>
      <w:pPr>
        <w:spacing w:after="0" w:line="193" w:lineRule="exact"/>
        <w:rPr>
          <w:sz w:val="20"/>
          <w:szCs w:val="20"/>
          <w:color w:val="auto"/>
        </w:rPr>
      </w:pPr>
    </w:p>
    <w:p>
      <w:pPr>
        <w:ind w:right="160" w:firstLine="981"/>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Investment Intent at Grant</w:t>
      </w:r>
      <w:r>
        <w:rPr>
          <w:rFonts w:ascii="Times New Roman" w:cs="Times New Roman" w:eastAsia="Times New Roman" w:hAnsi="Times New Roman"/>
          <w:sz w:val="18"/>
          <w:szCs w:val="18"/>
          <w:color w:val="auto"/>
        </w:rPr>
        <w:t>. The Optionee represents and agrees that the Shares to be acquired upon exercising this option will be acquired for investment, and not with a view to the sale or distribution thereof.</w:t>
      </w:r>
    </w:p>
    <w:p>
      <w:pPr>
        <w:spacing w:after="0" w:line="155" w:lineRule="exact"/>
        <w:rPr>
          <w:sz w:val="20"/>
          <w:szCs w:val="20"/>
          <w:color w:val="auto"/>
        </w:rPr>
      </w:pPr>
    </w:p>
    <w:p>
      <w:pPr>
        <w:jc w:val="both"/>
        <w:ind w:right="100" w:firstLine="981"/>
        <w:spacing w:after="0" w:line="259"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Investment Intent at Exercise</w:t>
      </w:r>
      <w:r>
        <w:rPr>
          <w:rFonts w:ascii="Times New Roman" w:cs="Times New Roman" w:eastAsia="Times New Roman" w:hAnsi="Times New Roman"/>
          <w:sz w:val="18"/>
          <w:szCs w:val="18"/>
          <w:color w:val="auto"/>
        </w:rPr>
        <w:t>. In the event that the sale of Shares under the Plan is not registered under the Securities Act but an exemption is available that requires an investment representation or other representation, the Optionee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Legends</w:t>
      </w:r>
      <w:r>
        <w:rPr>
          <w:rFonts w:ascii="Times New Roman" w:cs="Times New Roman" w:eastAsia="Times New Roman" w:hAnsi="Times New Roman"/>
          <w:sz w:val="18"/>
          <w:szCs w:val="18"/>
          <w:color w:val="auto"/>
        </w:rPr>
        <w:t>. All certificates evidencing Shares purchased under this Agreement shall bear the following legend:</w:t>
      </w:r>
    </w:p>
    <w:p>
      <w:pPr>
        <w:spacing w:after="0" w:line="118" w:lineRule="exact"/>
        <w:rPr>
          <w:sz w:val="20"/>
          <w:szCs w:val="20"/>
          <w:color w:val="auto"/>
        </w:rPr>
      </w:pPr>
    </w:p>
    <w:p>
      <w:pPr>
        <w:ind w:left="980" w:right="260"/>
        <w:spacing w:after="0" w:line="277" w:lineRule="auto"/>
        <w:rPr>
          <w:sz w:val="20"/>
          <w:szCs w:val="20"/>
          <w:color w:val="auto"/>
        </w:rPr>
      </w:pPr>
      <w:r>
        <w:rPr>
          <w:rFonts w:ascii="Times New Roman" w:cs="Times New Roman" w:eastAsia="Times New Roman" w:hAnsi="Times New Roman"/>
          <w:sz w:val="17"/>
          <w:szCs w:val="17"/>
          <w:color w:val="auto"/>
        </w:rPr>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60"/>
          </w:cols>
          <w:pgMar w:left="500" w:top="267" w:right="539" w:bottom="1440" w:gutter="0" w:footer="0" w:header="0"/>
        </w:sectPr>
      </w:pPr>
    </w:p>
    <w:bookmarkStart w:id="400" w:name="page401"/>
    <w:bookmarkEnd w:id="400"/>
    <w:p>
      <w:pPr>
        <w:ind w:left="980" w:right="60"/>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TRANSFER OF THE SHARES. THE SECRETARY OF THE COMPANY WILL UPON WRITTEN REQUEST FURNISH A COPY OF SUCH AGREEMENT TO THE HOLDER HEREOF WITHOUT CHARGE.”</w:t>
      </w:r>
    </w:p>
    <w:p>
      <w:pPr>
        <w:spacing w:after="0" w:line="163" w:lineRule="exact"/>
        <w:rPr>
          <w:sz w:val="20"/>
          <w:szCs w:val="20"/>
          <w:color w:val="auto"/>
        </w:rPr>
      </w:pPr>
    </w:p>
    <w:p>
      <w:pPr>
        <w:ind w:right="620"/>
        <w:spacing w:after="0" w:line="277" w:lineRule="auto"/>
        <w:rPr>
          <w:sz w:val="20"/>
          <w:szCs w:val="20"/>
          <w:color w:val="auto"/>
        </w:rPr>
      </w:pPr>
      <w:r>
        <w:rPr>
          <w:rFonts w:ascii="Times New Roman" w:cs="Times New Roman" w:eastAsia="Times New Roman" w:hAnsi="Times New Roman"/>
          <w:sz w:val="18"/>
          <w:szCs w:val="18"/>
          <w:color w:val="auto"/>
        </w:rPr>
        <w:t>All certificates evidencing Shares purchased under this Agreement in an unregistered transaction shall bear the following legend (and such other restrictive legends as are required or deemed advisable under the provisions of any applicable law):</w:t>
      </w:r>
    </w:p>
    <w:p>
      <w:pPr>
        <w:spacing w:after="0" w:line="57" w:lineRule="exact"/>
        <w:rPr>
          <w:sz w:val="20"/>
          <w:szCs w:val="20"/>
          <w:color w:val="auto"/>
        </w:rPr>
      </w:pPr>
    </w:p>
    <w:p>
      <w:pPr>
        <w:ind w:left="980" w:right="20"/>
        <w:spacing w:after="0" w:line="257" w:lineRule="auto"/>
        <w:rPr>
          <w:sz w:val="20"/>
          <w:szCs w:val="20"/>
          <w:color w:val="auto"/>
        </w:rPr>
      </w:pPr>
      <w:r>
        <w:rPr>
          <w:rFonts w:ascii="Times New Roman" w:cs="Times New Roman" w:eastAsia="Times New Roman" w:hAnsi="Times New Roman"/>
          <w:sz w:val="18"/>
          <w:szCs w:val="18"/>
          <w:color w:val="auto"/>
        </w:rPr>
        <w:t>“THE SHARES REPRESENTED HEREBY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178" w:lineRule="exact"/>
        <w:rPr>
          <w:sz w:val="20"/>
          <w:szCs w:val="20"/>
          <w:color w:val="auto"/>
        </w:rPr>
      </w:pPr>
    </w:p>
    <w:p>
      <w:pPr>
        <w:jc w:val="both"/>
        <w:ind w:right="100" w:firstLine="981"/>
        <w:spacing w:after="0" w:line="265"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Removal of Legends</w:t>
      </w:r>
      <w:r>
        <w:rPr>
          <w:rFonts w:ascii="Times New Roman" w:cs="Times New Roman" w:eastAsia="Times New Roman" w:hAnsi="Times New Roman"/>
          <w:sz w:val="18"/>
          <w:szCs w:val="18"/>
          <w:color w:val="auto"/>
        </w:rPr>
        <w:t>. If, in the opinion of the Company and its counsel, any legend placed on a stock certificate representing Shares sold under this Agreement is no longer required, the holder of such certificate shall be entitled to exchange such certificate for a certificate representing the same number of Shares but without such legend.</w:t>
      </w:r>
    </w:p>
    <w:p>
      <w:pPr>
        <w:spacing w:after="0" w:line="169" w:lineRule="exact"/>
        <w:rPr>
          <w:sz w:val="20"/>
          <w:szCs w:val="20"/>
          <w:color w:val="auto"/>
        </w:rPr>
      </w:pPr>
    </w:p>
    <w:p>
      <w:pPr>
        <w:ind w:firstLine="981"/>
        <w:spacing w:after="0" w:line="282"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Any determination by the Company and its counsel in connection with any of the matters set forth in this Section 10 shall be conclusive and binding on the Optionee and all other persons.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11.    ADJUSTMENT OF SHARES.</w:t>
      </w:r>
    </w:p>
    <w:p>
      <w:pPr>
        <w:spacing w:after="0" w:line="118" w:lineRule="exact"/>
        <w:rPr>
          <w:sz w:val="20"/>
          <w:szCs w:val="20"/>
          <w:color w:val="auto"/>
        </w:rPr>
      </w:pPr>
    </w:p>
    <w:p>
      <w:pPr>
        <w:ind w:right="40" w:firstLine="981"/>
        <w:spacing w:after="0" w:line="257" w:lineRule="auto"/>
        <w:rPr>
          <w:sz w:val="20"/>
          <w:szCs w:val="20"/>
          <w:color w:val="auto"/>
        </w:rPr>
      </w:pPr>
      <w:r>
        <w:rPr>
          <w:rFonts w:ascii="Times New Roman" w:cs="Times New Roman" w:eastAsia="Times New Roman" w:hAnsi="Times New Roman"/>
          <w:sz w:val="18"/>
          <w:szCs w:val="18"/>
          <w:color w:val="auto"/>
        </w:rPr>
        <w:t>In the event of any transaction described in Section 8(a) of the Plan, the terms of this option (including, without limitation, the number and kind of Shares subject to this option and the Exercise Price) shall be adjusted as set forth in Section 8(a) of the Plan. In the event that the Company is a party to a merger or consolidation or in the event of a sale of all or substantially all of the Company’s stock or assets, this option shall be subject to the treatment provided by the Board of Directors in its sole discretion, as provided in Section 8(b) of the Plan.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12.    MISCELLANEOUS PROVISIONS.</w:t>
      </w:r>
    </w:p>
    <w:p>
      <w:pPr>
        <w:spacing w:after="0" w:line="114" w:lineRule="exact"/>
        <w:rPr>
          <w:sz w:val="20"/>
          <w:szCs w:val="20"/>
          <w:color w:val="auto"/>
        </w:rPr>
      </w:pPr>
    </w:p>
    <w:p>
      <w:pPr>
        <w:ind w:right="160" w:firstLine="981"/>
        <w:spacing w:after="0" w:line="26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Rights as a Stockholder</w:t>
      </w:r>
      <w:r>
        <w:rPr>
          <w:rFonts w:ascii="Times New Roman" w:cs="Times New Roman" w:eastAsia="Times New Roman" w:hAnsi="Times New Roman"/>
          <w:sz w:val="18"/>
          <w:szCs w:val="18"/>
          <w:color w:val="auto"/>
        </w:rPr>
        <w:t>. Neither the Optionee nor the Optionee’s representative shall have any rights as a stockholder with respect to any Shares subject to this option until the Optionee or the Optionee’s representative becomes entitled to receive such Shares by filing a notice of exercise and paying the Purchase Price pursuant to Sections 4 and 5.</w:t>
      </w:r>
    </w:p>
    <w:p>
      <w:pPr>
        <w:spacing w:after="0" w:line="169" w:lineRule="exact"/>
        <w:rPr>
          <w:sz w:val="20"/>
          <w:szCs w:val="20"/>
          <w:color w:val="auto"/>
        </w:rPr>
      </w:pPr>
    </w:p>
    <w:p>
      <w:pPr>
        <w:ind w:right="260" w:firstLine="981"/>
        <w:spacing w:after="0" w:line="259"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No Retention Rights</w:t>
      </w:r>
      <w:r>
        <w:rPr>
          <w:rFonts w:ascii="Times New Roman" w:cs="Times New Roman" w:eastAsia="Times New Roman" w:hAnsi="Times New Roman"/>
          <w:sz w:val="18"/>
          <w:szCs w:val="18"/>
          <w:color w:val="auto"/>
        </w:rPr>
        <w:t>. Nothing in this option or in the Plan shall confer upon the Optionee any right to continue in Service for any period of specific duration or interfere with or otherwise restrict in any way the rights of the Company (or any Parent or Subsidiary employing or retaining the Optionee) or of the Optionee, which rights are hereby expressly reserved by each, to terminate his or her Service at any time and for any reason, with or without cause.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500" w:top="268" w:right="499" w:bottom="1440" w:gutter="0" w:footer="0" w:header="0"/>
        </w:sectPr>
      </w:pPr>
    </w:p>
    <w:bookmarkStart w:id="401" w:name="page402"/>
    <w:bookmarkEnd w:id="401"/>
    <w:p>
      <w:pPr>
        <w:ind w:right="160" w:firstLine="981"/>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Any notice required by the terms of this Agreement shall be given in writing. It shall be deemed effective upon (i) personal delivery, (ii) deposit with the United States Postal Service, by registered or certified mail, with postage and fees prepaid or (iii) deposit with Federal Express Corporation, with shipping charges prepaid. Notice shall be addressed to the Company at its principal executive office and to the Optionee at the address that he or she most recently provided to the Company in accordance with this Subsection (c).</w:t>
      </w:r>
    </w:p>
    <w:p>
      <w:pPr>
        <w:spacing w:after="0" w:line="175" w:lineRule="exact"/>
        <w:rPr>
          <w:sz w:val="20"/>
          <w:szCs w:val="20"/>
          <w:color w:val="auto"/>
        </w:rPr>
      </w:pPr>
    </w:p>
    <w:p>
      <w:pPr>
        <w:ind w:right="300" w:firstLine="981"/>
        <w:spacing w:after="0" w:line="259"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Modifications and Waivers</w:t>
      </w:r>
      <w:r>
        <w:rPr>
          <w:rFonts w:ascii="Times New Roman" w:cs="Times New Roman" w:eastAsia="Times New Roman" w:hAnsi="Times New Roman"/>
          <w:sz w:val="18"/>
          <w:szCs w:val="18"/>
          <w:color w:val="auto"/>
        </w:rPr>
        <w:t>. No provision of this Agreement shall be modified, waived or discharged unless the modification, waiver or discharge is agreed to in writing and signed by the Optionee and by an authorized officer of the Company (other than the Optionee).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75" w:lineRule="exact"/>
        <w:rPr>
          <w:sz w:val="20"/>
          <w:szCs w:val="20"/>
          <w:color w:val="auto"/>
        </w:rPr>
      </w:pPr>
    </w:p>
    <w:p>
      <w:pPr>
        <w:ind w:right="40" w:firstLine="981"/>
        <w:spacing w:after="0" w:line="265"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The Notice of Stock Option Grant, this Agreement and the Plan constitute the entire contract between the parties hereto with regard to the subject matter hereof. They supersede any other agreements, representations or understandings (whether oral or written and whether express or implied) that relate to the subject matter hereof.</w:t>
      </w:r>
    </w:p>
    <w:p>
      <w:pPr>
        <w:spacing w:after="0" w:line="169" w:lineRule="exact"/>
        <w:rPr>
          <w:sz w:val="20"/>
          <w:szCs w:val="20"/>
          <w:color w:val="auto"/>
        </w:rPr>
      </w:pPr>
    </w:p>
    <w:p>
      <w:pPr>
        <w:ind w:right="140" w:firstLine="981"/>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Choice of Law</w:t>
      </w:r>
      <w:r>
        <w:rPr>
          <w:rFonts w:ascii="Times New Roman" w:cs="Times New Roman" w:eastAsia="Times New Roman" w:hAnsi="Times New Roman"/>
          <w:sz w:val="18"/>
          <w:szCs w:val="18"/>
          <w:color w:val="auto"/>
        </w:rPr>
        <w:t>. This Agreement shall be governed by, and construed in accordance with, the laws of the State of Delaware, as such laws are applied to contracts entered into and performed in such State.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13.   ACKNOWLEDGEMENTS OF THE OPTIONEE.</w:t>
      </w:r>
    </w:p>
    <w:p>
      <w:pPr>
        <w:spacing w:after="0" w:line="114" w:lineRule="exact"/>
        <w:rPr>
          <w:sz w:val="20"/>
          <w:szCs w:val="20"/>
          <w:color w:val="auto"/>
        </w:rPr>
      </w:pPr>
    </w:p>
    <w:p>
      <w:pPr>
        <w:ind w:firstLine="981"/>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Tax Consequences</w:t>
      </w:r>
      <w:r>
        <w:rPr>
          <w:rFonts w:ascii="Times New Roman" w:cs="Times New Roman" w:eastAsia="Times New Roman" w:hAnsi="Times New Roman"/>
          <w:sz w:val="18"/>
          <w:szCs w:val="18"/>
          <w:color w:val="auto"/>
        </w:rPr>
        <w:t>. The Optionee agrees that the Company does not have a duty to design or administer the Plan or its other compensation programs in a manner that minimizes the Optionee’s tax liabilities. The Optionee shall not make any claim against the Company or its Board of Directors, officers or employees related to tax liabilities arising from this option or the Optionee’s other compensation. In particular, the Optionee acknowledges that this option is exempt from Section 409A of the Code only if the Exercise Price is at least equal to the Fair Market Value per Share on the Date of Grant. Since Shares are not traded on an established securities market, the determination of their Fair Market Value is made by the Board of Directors or by an independent valuation firm retained by the Company. The Optionee acknowledges that there is no guarantee in either case that the Internal Revenue Service will agree with the valuation, and the Optionee shall not make any claim against the Company or its Board of Directors, officers or employees in the event that the Internal Revenue Service asserts that the valuation was too low.</w:t>
      </w:r>
    </w:p>
    <w:p>
      <w:pPr>
        <w:spacing w:after="0" w:line="185" w:lineRule="exact"/>
        <w:rPr>
          <w:sz w:val="20"/>
          <w:szCs w:val="20"/>
          <w:color w:val="auto"/>
        </w:rPr>
      </w:pPr>
    </w:p>
    <w:p>
      <w:pPr>
        <w:ind w:right="80" w:firstLine="981"/>
        <w:spacing w:after="0" w:line="265"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Electronic Delivery of Documents</w:t>
      </w:r>
      <w:r>
        <w:rPr>
          <w:rFonts w:ascii="Times New Roman" w:cs="Times New Roman" w:eastAsia="Times New Roman" w:hAnsi="Times New Roman"/>
          <w:sz w:val="18"/>
          <w:szCs w:val="18"/>
          <w:color w:val="auto"/>
        </w:rPr>
        <w:t>. The Optionee agrees to accept by email all documents relating to the Company, the Plan or this option and all other documents that the Company is required to deliver to its security holders (including, without limitation, disclosures that may be required by the Securities and Exchange Commission). The Optionee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60"/>
          </w:cols>
          <w:pgMar w:left="500" w:top="264" w:right="539" w:bottom="1440" w:gutter="0" w:footer="0" w:header="0"/>
        </w:sectPr>
      </w:pPr>
    </w:p>
    <w:bookmarkStart w:id="402" w:name="page403"/>
    <w:bookmarkEnd w:id="402"/>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also agrees that the Company may deliver these documents by posting them on a website maintained by the Company or by a third party under contract with the Company. If the Company posts these documents on a website, it shall notify the Optionee by email of their availability. The Optionee acknowledges that he or she may incur costs in connection with electronic delivery, including the cost of accessing the internet and printing fees, and that an interruption of internet access may interfere with his or her ability to access the documents. This consent shall remain in effect until this option expires or until the Optionee gives the Company written notice that it should deliver paper documents.</w:t>
      </w:r>
    </w:p>
    <w:p>
      <w:pPr>
        <w:spacing w:after="0" w:line="179" w:lineRule="exact"/>
        <w:rPr>
          <w:sz w:val="20"/>
          <w:szCs w:val="20"/>
          <w:color w:val="auto"/>
        </w:rPr>
      </w:pPr>
    </w:p>
    <w:p>
      <w:pPr>
        <w:ind w:firstLine="981"/>
        <w:spacing w:after="0" w:line="25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No Notice of Expiration Date</w:t>
      </w:r>
      <w:r>
        <w:rPr>
          <w:rFonts w:ascii="Times New Roman" w:cs="Times New Roman" w:eastAsia="Times New Roman" w:hAnsi="Times New Roman"/>
          <w:sz w:val="18"/>
          <w:szCs w:val="18"/>
          <w:color w:val="auto"/>
        </w:rPr>
        <w:t>. The Optionee agrees that the Company and its officers, employees, attorneys and agents do not have any obligation to notify him or her prior to the expiration of this option pursuant to Section 6, regardless of whether this option will expire at the end of its full term or on an earlier date related to the termination of the Optionee’s Service. The Optionee further agrees that he or she has the sole responsibility for monitoring the expiration of this option and for exercising this option, if at all, before it expires. This Subsection (c) shall supersede any contrary representation that may have been made, orally or in writing, by the Company or by an officer, employee, attorney or agent of the Company.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14.   DEFINITIONS.</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mean this Stock Option Agreement.</w:t>
      </w:r>
    </w:p>
    <w:p>
      <w:pPr>
        <w:spacing w:after="0" w:line="220" w:lineRule="exact"/>
        <w:rPr>
          <w:sz w:val="20"/>
          <w:szCs w:val="20"/>
          <w:color w:val="auto"/>
        </w:rPr>
      </w:pPr>
    </w:p>
    <w:p>
      <w:pPr>
        <w:ind w:right="240" w:firstLine="981"/>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shall mean the Board of Directors of the Company, as constituted from time to time or, if a Committee has been appointed, such Committee.</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shall mean the Internal Revenue Code of 1986, as amended.</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shall mean a committee of the Board of Directors, as described in Section 2 of the Plan.</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mean Omada Health, Inc., a Delaware corporation.</w:t>
      </w:r>
    </w:p>
    <w:p>
      <w:pPr>
        <w:spacing w:after="0" w:line="220" w:lineRule="exact"/>
        <w:rPr>
          <w:sz w:val="20"/>
          <w:szCs w:val="20"/>
          <w:color w:val="auto"/>
        </w:rPr>
      </w:pPr>
    </w:p>
    <w:p>
      <w:pPr>
        <w:ind w:right="340" w:firstLine="981"/>
        <w:spacing w:after="0" w:line="28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xml:space="preserve">” shall mean a person who performs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services for the Company, a Parent or a Subsidiary as a consultant or advisor, excluding Employees and Outside Directors.</w:t>
      </w:r>
    </w:p>
    <w:p>
      <w:pPr>
        <w:spacing w:after="0" w:line="155" w:lineRule="exact"/>
        <w:rPr>
          <w:sz w:val="20"/>
          <w:szCs w:val="20"/>
          <w:color w:val="auto"/>
        </w:rPr>
      </w:pPr>
    </w:p>
    <w:p>
      <w:pPr>
        <w:ind w:right="180" w:firstLine="981"/>
        <w:spacing w:after="0" w:line="28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shall mean the date of grant specified in the Notice of Stock Option Grant, which date shall be the later of (i) the date on which the Board of Directors resolved to grant this option or (ii) the first day of the Optionee’s Service.</w:t>
      </w:r>
    </w:p>
    <w:p>
      <w:pPr>
        <w:spacing w:after="0" w:line="155" w:lineRule="exact"/>
        <w:rPr>
          <w:sz w:val="20"/>
          <w:szCs w:val="20"/>
          <w:color w:val="auto"/>
        </w:rPr>
      </w:pPr>
    </w:p>
    <w:p>
      <w:pPr>
        <w:ind w:right="660" w:firstLine="981"/>
        <w:spacing w:after="0" w:line="28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shall mean that the Optionee is unable to engage in any substantial gainful activity by reason of any medically determinable physical or mental impairment.</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shall mean any individual who is a common-law employee of the Company, a Parent or a Subsidiary.</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00"/>
          </w:cols>
          <w:pgMar w:left="500" w:top="268" w:right="599" w:bottom="1440" w:gutter="0" w:footer="0" w:header="0"/>
        </w:sectPr>
      </w:pPr>
    </w:p>
    <w:bookmarkStart w:id="403" w:name="page404"/>
    <w:bookmarkEnd w:id="403"/>
    <w:p>
      <w:pPr>
        <w:ind w:right="460" w:firstLine="98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(j)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shall mean the amount for which one Share may be purchased upon exercise of this option, as specified in the Notice of Stock Option Grant.</w:t>
      </w:r>
    </w:p>
    <w:p>
      <w:pPr>
        <w:spacing w:after="0" w:line="155" w:lineRule="exact"/>
        <w:rPr>
          <w:sz w:val="20"/>
          <w:szCs w:val="20"/>
          <w:color w:val="auto"/>
        </w:rPr>
      </w:pPr>
    </w:p>
    <w:p>
      <w:pPr>
        <w:ind w:right="500" w:firstLine="981"/>
        <w:spacing w:after="0" w:line="282"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shall mean the fair market value of a Share, as determined by the Board of Directors in good faith. Such determination shall be conclusive and binding on all persons.</w:t>
      </w:r>
    </w:p>
    <w:p>
      <w:pPr>
        <w:spacing w:after="0" w:line="155" w:lineRule="exact"/>
        <w:rPr>
          <w:sz w:val="20"/>
          <w:szCs w:val="20"/>
          <w:color w:val="auto"/>
        </w:rPr>
      </w:pPr>
    </w:p>
    <w:p>
      <w:pPr>
        <w:ind w:right="320" w:firstLine="981"/>
        <w:spacing w:after="0" w:line="282"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b w:val="1"/>
          <w:bCs w:val="1"/>
          <w:color w:val="auto"/>
        </w:rPr>
        <w:t>Immediate Family</w:t>
      </w:r>
      <w:r>
        <w:rPr>
          <w:rFonts w:ascii="Times New Roman" w:cs="Times New Roman" w:eastAsia="Times New Roman" w:hAnsi="Times New Roman"/>
          <w:sz w:val="18"/>
          <w:szCs w:val="18"/>
          <w:color w:val="auto"/>
        </w:rPr>
        <w:t>” shall mean any child, stepchild, grandchild, parent, stepparent, grandparent, spouse, sibling, mother-in-law, father-in-law, son-in-law, daughter-in- law, brother-in-law or sister-in-law and shall include adoptive relationships.</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ISO</w:t>
      </w:r>
      <w:r>
        <w:rPr>
          <w:rFonts w:ascii="Times New Roman" w:cs="Times New Roman" w:eastAsia="Times New Roman" w:hAnsi="Times New Roman"/>
          <w:sz w:val="18"/>
          <w:szCs w:val="18"/>
          <w:color w:val="auto"/>
        </w:rPr>
        <w:t>” shall mean an employee incentive stock option described in Section 422(b) of the Code.</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color w:val="auto"/>
        </w:rPr>
        <w:t>Notice of Stock Option Grant</w:t>
      </w:r>
      <w:r>
        <w:rPr>
          <w:rFonts w:ascii="Times New Roman" w:cs="Times New Roman" w:eastAsia="Times New Roman" w:hAnsi="Times New Roman"/>
          <w:sz w:val="18"/>
          <w:szCs w:val="18"/>
          <w:color w:val="auto"/>
        </w:rPr>
        <w:t>” shall mean the document so entitled to which this Agreement is attached.</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color w:val="auto"/>
        </w:rPr>
        <w:t>NSO</w:t>
      </w:r>
      <w:r>
        <w:rPr>
          <w:rFonts w:ascii="Times New Roman" w:cs="Times New Roman" w:eastAsia="Times New Roman" w:hAnsi="Times New Roman"/>
          <w:sz w:val="18"/>
          <w:szCs w:val="18"/>
          <w:color w:val="auto"/>
        </w:rPr>
        <w:t>” shall mean a stock option not described in Section 422(b) or 423(b) of the Code.</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b w:val="1"/>
          <w:bCs w:val="1"/>
          <w:color w:val="auto"/>
        </w:rPr>
        <w:t>Optionee</w:t>
      </w:r>
      <w:r>
        <w:rPr>
          <w:rFonts w:ascii="Times New Roman" w:cs="Times New Roman" w:eastAsia="Times New Roman" w:hAnsi="Times New Roman"/>
          <w:sz w:val="18"/>
          <w:szCs w:val="18"/>
          <w:color w:val="auto"/>
        </w:rPr>
        <w:t>” shall mean the person named in the Notice of Stock Option Grant.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b w:val="1"/>
          <w:bCs w:val="1"/>
          <w:color w:val="auto"/>
        </w:rPr>
        <w:t>Outside Director</w:t>
      </w:r>
      <w:r>
        <w:rPr>
          <w:rFonts w:ascii="Times New Roman" w:cs="Times New Roman" w:eastAsia="Times New Roman" w:hAnsi="Times New Roman"/>
          <w:sz w:val="18"/>
          <w:szCs w:val="18"/>
          <w:color w:val="auto"/>
        </w:rPr>
        <w:t>” shall mean a member of the Board of Directors who is not an Employee.</w:t>
      </w:r>
    </w:p>
    <w:p>
      <w:pPr>
        <w:spacing w:after="0" w:line="220" w:lineRule="exact"/>
        <w:rPr>
          <w:sz w:val="20"/>
          <w:szCs w:val="20"/>
          <w:color w:val="auto"/>
        </w:rPr>
      </w:pPr>
    </w:p>
    <w:p>
      <w:pPr>
        <w:ind w:firstLine="981"/>
        <w:spacing w:after="0" w:line="265"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shall mean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w:t>
      </w:r>
    </w:p>
    <w:p>
      <w:pPr>
        <w:spacing w:after="0" w:line="1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shall mean the Omada Health, Inc. 2011 Stock Plan, as in effect on the Date of Grant.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shall mean the Exercise Price multiplied by the number of Shares with respect to which this option is being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shall mean the Company’s right of first refusal described in Section 7.</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b w:val="1"/>
          <w:bCs w:val="1"/>
          <w:color w:val="auto"/>
        </w:rPr>
        <w:t>Service</w:t>
      </w:r>
      <w:r>
        <w:rPr>
          <w:rFonts w:ascii="Times New Roman" w:cs="Times New Roman" w:eastAsia="Times New Roman" w:hAnsi="Times New Roman"/>
          <w:sz w:val="18"/>
          <w:szCs w:val="18"/>
          <w:color w:val="auto"/>
        </w:rPr>
        <w:t>” shall mean service as an Employee, Outside Director or Consultant.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80"/>
          </w:cols>
          <w:pgMar w:left="500" w:top="264" w:right="519" w:bottom="1440" w:gutter="0" w:footer="0" w:header="0"/>
        </w:sectPr>
      </w:pPr>
    </w:p>
    <w:bookmarkStart w:id="404" w:name="page405"/>
    <w:bookmarkEnd w:id="40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(x)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shall mean one share of Stock, as adjusted in accordance with Section 8 of the Plan (if applicable).</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shall mean the Common Stock of the Company.</w:t>
      </w:r>
    </w:p>
    <w:p>
      <w:pPr>
        <w:spacing w:after="0" w:line="220" w:lineRule="exact"/>
        <w:rPr>
          <w:sz w:val="20"/>
          <w:szCs w:val="20"/>
          <w:color w:val="auto"/>
        </w:rPr>
      </w:pPr>
    </w:p>
    <w:p>
      <w:pPr>
        <w:ind w:firstLine="981"/>
        <w:spacing w:after="0" w:line="265"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shall mean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w:t>
      </w:r>
    </w:p>
    <w:p>
      <w:pPr>
        <w:spacing w:after="0" w:line="1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shall mean any person to whom the Optionee has directly or indirectly transferred any Share acquired under this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b w:val="1"/>
          <w:bCs w:val="1"/>
          <w:color w:val="auto"/>
        </w:rPr>
        <w:t>Transfer Notice</w:t>
      </w:r>
      <w:r>
        <w:rPr>
          <w:rFonts w:ascii="Times New Roman" w:cs="Times New Roman" w:eastAsia="Times New Roman" w:hAnsi="Times New Roman"/>
          <w:sz w:val="18"/>
          <w:szCs w:val="18"/>
          <w:color w:val="auto"/>
        </w:rPr>
        <w:t>” shall mean the notice of a proposed transfer of Shares described in Section 7.</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80"/>
          </w:cols>
          <w:pgMar w:left="500" w:top="264" w:right="819" w:bottom="1440" w:gutter="0" w:footer="0" w:header="0"/>
        </w:sectPr>
      </w:pPr>
    </w:p>
    <w:bookmarkStart w:id="405" w:name="page406"/>
    <w:bookmarkEnd w:id="40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OMADA HEALTH, INC. 2011 STOCK PLAN</w:t>
      </w: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NOTICE OF STOCK OPTION GRANT (EARLY EXERCISE)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Optionee has been granted the following option to purchase shares of the Common Stock of Omada Health, Inc.:</w:t>
      </w:r>
    </w:p>
    <w:p>
      <w:pPr>
        <w:sectPr>
          <w:pgSz w:w="11900" w:h="16838" w:orient="portrait"/>
          <w:cols w:equalWidth="0" w:num="1">
            <w:col w:w="10800"/>
          </w:cols>
          <w:pgMar w:left="500" w:top="264" w:right="599" w:bottom="1440" w:gutter="0" w:footer="0" w:header="0"/>
        </w:sectPr>
      </w:pPr>
    </w:p>
    <w:p>
      <w:pPr>
        <w:spacing w:after="0" w:line="2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Name of Optionee:</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760" w:space="720"/>
            <w:col w:w="7320"/>
          </w:cols>
          <w:pgMar w:left="500" w:top="264" w:right="5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Total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760" w:space="720"/>
            <w:col w:w="7320"/>
          </w:cols>
          <w:pgMar w:left="500" w:top="264" w:right="5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760" w:space="720"/>
            <w:col w:w="7320"/>
          </w:cols>
          <w:pgMar w:left="500" w:top="264" w:right="5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760" w:space="720"/>
            <w:col w:w="7320"/>
          </w:cols>
          <w:pgMar w:left="500" w:top="264" w:right="5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760" w:space="720"/>
            <w:col w:w="7320"/>
          </w:cols>
          <w:pgMar w:left="500" w:top="264" w:right="5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Date Exercisable:</w:t>
      </w:r>
    </w:p>
    <w:p>
      <w:pPr>
        <w:spacing w:after="0" w:line="20" w:lineRule="exact"/>
        <w:rPr>
          <w:sz w:val="20"/>
          <w:szCs w:val="20"/>
          <w:color w:val="auto"/>
        </w:rPr>
      </w:pPr>
      <w:r>
        <w:rPr>
          <w:sz w:val="20"/>
          <w:szCs w:val="20"/>
          <w:color w:val="auto"/>
        </w:rPr>
        <w:br w:type="column"/>
      </w:r>
    </w:p>
    <w:p>
      <w:pPr>
        <w:ind w:right="34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See Carta. </w:t>
      </w:r>
      <w:r>
        <w:rPr>
          <w:rFonts w:ascii="Times New Roman" w:cs="Times New Roman" w:eastAsia="Times New Roman" w:hAnsi="Times New Roman"/>
          <w:sz w:val="18"/>
          <w:szCs w:val="18"/>
          <w:color w:val="auto"/>
        </w:rPr>
        <w:t>This Option is immediately exercisable for all of the Shares, subject to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 Agreement Vesting Commencement</w:t>
      </w:r>
    </w:p>
    <w:p>
      <w:pPr>
        <w:spacing w:after="0" w:line="53" w:lineRule="exact"/>
        <w:rPr>
          <w:sz w:val="20"/>
          <w:szCs w:val="20"/>
          <w:color w:val="auto"/>
        </w:rPr>
      </w:pPr>
    </w:p>
    <w:p>
      <w:pPr>
        <w:sectPr>
          <w:pgSz w:w="11900" w:h="16838" w:orient="portrait"/>
          <w:cols w:equalWidth="0" w:num="2">
            <w:col w:w="2760" w:space="720"/>
            <w:col w:w="7320"/>
          </w:cols>
          <w:pgMar w:left="500" w:top="264" w:right="5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760" w:space="720"/>
            <w:col w:w="7320"/>
          </w:cols>
          <w:pgMar w:left="500" w:top="264" w:right="5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Vesting Schedule:</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See Carta. </w:t>
      </w:r>
      <w:r>
        <w:rPr>
          <w:rFonts w:ascii="Times New Roman" w:cs="Times New Roman" w:eastAsia="Times New Roman" w:hAnsi="Times New Roman"/>
          <w:sz w:val="18"/>
          <w:szCs w:val="18"/>
          <w:color w:val="auto"/>
        </w:rPr>
        <w:t>The date ten (10) years after the Date of Grant set forth above. This option expires earlier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Optionee’s Service terminates earlier, as provided in Section 6 of the Stock Option Agreement.</w:t>
      </w:r>
    </w:p>
    <w:p>
      <w:pPr>
        <w:spacing w:after="0" w:line="162" w:lineRule="exact"/>
        <w:rPr>
          <w:sz w:val="20"/>
          <w:szCs w:val="20"/>
          <w:color w:val="auto"/>
        </w:rPr>
      </w:pPr>
    </w:p>
    <w:p>
      <w:pPr>
        <w:sectPr>
          <w:pgSz w:w="11900" w:h="16838" w:orient="portrait"/>
          <w:cols w:equalWidth="0" w:num="2">
            <w:col w:w="2760" w:space="720"/>
            <w:col w:w="7320"/>
          </w:cols>
          <w:pgMar w:left="500" w:top="264" w:right="599" w:bottom="1440" w:gutter="0" w:footer="0" w:header="0"/>
          <w:type w:val="continuous"/>
        </w:sect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 xml:space="preserve">By Optionee’s acceptance of this Option, the Optionee and the Company agree that this option is granted under, and governed by the terms and conditions of, the 2011 Stock Plan and the Stock Option Agreement. Both of these documents are attached to, and made a part of, this Notice of Stock Option Grant. </w:t>
      </w:r>
      <w:r>
        <w:rPr>
          <w:rFonts w:ascii="Times New Roman" w:cs="Times New Roman" w:eastAsia="Times New Roman" w:hAnsi="Times New Roman"/>
          <w:sz w:val="18"/>
          <w:szCs w:val="18"/>
          <w:b w:val="1"/>
          <w:bCs w:val="1"/>
          <w:color w:val="auto"/>
        </w:rPr>
        <w:t>Section 14 of the Stock Option Agreement includes important acknowledgements of the Optionee</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b w:val="1"/>
          <w:bCs w:val="1"/>
          <w:color w:val="auto"/>
        </w:rPr>
        <w:t>Execution and Delivery</w:t>
      </w:r>
      <w:r>
        <w:rPr>
          <w:rFonts w:ascii="Times New Roman" w:cs="Times New Roman" w:eastAsia="Times New Roman" w:hAnsi="Times New Roman"/>
          <w:sz w:val="18"/>
          <w:szCs w:val="18"/>
          <w:color w:val="auto"/>
        </w:rPr>
        <w:t>: This Grant Notice may be executed and delivered electronically whether via the Company’s intranet or the Internet site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party or via email or any other means of electronic delivery specified by the Company. By Optionee’s acceptance hereof (whether written, electronic or otherwise), Optionee agrees, to the fullest extent permitted by law, that in lieu of receiving documents in paper format, Optionee accepts the electronic delivery of any documents that the Company (or any third party the Company may designate), may deliver in connection with this grant (including the Plan, this Grant Notice, the Stock Option Agreement, the information described in Rules 701(e)(2), (3), (4) and (5) under the Securities Act (the “</w:t>
      </w:r>
      <w:r>
        <w:rPr>
          <w:rFonts w:ascii="Times New Roman" w:cs="Times New Roman" w:eastAsia="Times New Roman" w:hAnsi="Times New Roman"/>
          <w:sz w:val="18"/>
          <w:szCs w:val="18"/>
          <w:b w:val="1"/>
          <w:bCs w:val="1"/>
          <w:i w:val="1"/>
          <w:iCs w:val="1"/>
          <w:color w:val="auto"/>
        </w:rPr>
        <w:t>701 Disclosures</w:t>
      </w:r>
      <w:r>
        <w:rPr>
          <w:rFonts w:ascii="Times New Roman" w:cs="Times New Roman" w:eastAsia="Times New Roman" w:hAnsi="Times New Roman"/>
          <w:sz w:val="18"/>
          <w:szCs w:val="18"/>
          <w:color w:val="auto"/>
        </w:rPr>
        <w:t>”), account statements, or other communications or information) whether via the Company’s intranet or the Internet site of such third party or via email or such other means of electronic delivery specified by the Company.</w:t>
      </w:r>
    </w:p>
    <w:p>
      <w:pPr>
        <w:sectPr>
          <w:pgSz w:w="11900" w:h="16838" w:orient="portrait"/>
          <w:cols w:equalWidth="0" w:num="1">
            <w:col w:w="10800"/>
          </w:cols>
          <w:pgMar w:left="500" w:top="264" w:right="599" w:bottom="1440" w:gutter="0" w:footer="0" w:header="0"/>
          <w:type w:val="continuous"/>
        </w:sectPr>
      </w:pPr>
    </w:p>
    <w:bookmarkStart w:id="406" w:name="page407"/>
    <w:bookmarkEnd w:id="406"/>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OPTION GRANTED PURSUANT TO THIS AGREEMENT AND THE SHARES ISSUABLE UPON THE EXERCISE THEREOF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OMADA HEALTH, INC. 2011 STOCK PLAN:</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GRANT OF OPTION.</w:t>
      </w:r>
    </w:p>
    <w:p>
      <w:pPr>
        <w:spacing w:after="0" w:line="114" w:lineRule="exact"/>
        <w:rPr>
          <w:sz w:val="20"/>
          <w:szCs w:val="20"/>
          <w:color w:val="auto"/>
        </w:rPr>
      </w:pPr>
    </w:p>
    <w:p>
      <w:pPr>
        <w:ind w:right="220" w:firstLine="981"/>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On the terms and conditions set forth in the Notice of Stock Option Grant and this Agreement, the Company grants to the Optionee on the Date of Grant the option to purchase at the Exercise Price the number of Shares set forth in the Notice of Stock Option Grant. The Exercise Price is agreed to be at least 100% of the Fair Market Value per Share on the Date of Grant (110% of Fair Market Value if this option is designated as an ISO in the Notice of Stock Option Grant and Section 3(b) of the Plan applies). This option is intended to be an ISO or an NSO, as provided in the Notice of Stock Option Grant.</w:t>
      </w:r>
    </w:p>
    <w:p>
      <w:pPr>
        <w:spacing w:after="0" w:line="178" w:lineRule="exact"/>
        <w:rPr>
          <w:sz w:val="20"/>
          <w:szCs w:val="20"/>
          <w:color w:val="auto"/>
        </w:rPr>
      </w:pPr>
    </w:p>
    <w:p>
      <w:pPr>
        <w:ind w:right="240" w:firstLine="981"/>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$100,000 Limitation</w:t>
      </w:r>
      <w:r>
        <w:rPr>
          <w:rFonts w:ascii="Times New Roman" w:cs="Times New Roman" w:eastAsia="Times New Roman" w:hAnsi="Times New Roman"/>
          <w:sz w:val="18"/>
          <w:szCs w:val="18"/>
          <w:color w:val="auto"/>
        </w:rPr>
        <w:t>. Even if this option is designated as an ISO in the Notice of Stock Option Grant, it shall be deemed to be an NSO to the extent (and only to the extent) required by the $100,000 annual limitation under Section 422(d) of the Code.</w:t>
      </w:r>
    </w:p>
    <w:p>
      <w:pPr>
        <w:spacing w:after="0" w:line="155" w:lineRule="exact"/>
        <w:rPr>
          <w:sz w:val="20"/>
          <w:szCs w:val="20"/>
          <w:color w:val="auto"/>
        </w:rPr>
      </w:pPr>
    </w:p>
    <w:p>
      <w:pPr>
        <w:ind w:right="280" w:firstLine="981"/>
        <w:spacing w:after="0" w:line="26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Stock Plan and Defined Terms</w:t>
      </w:r>
      <w:r>
        <w:rPr>
          <w:rFonts w:ascii="Times New Roman" w:cs="Times New Roman" w:eastAsia="Times New Roman" w:hAnsi="Times New Roman"/>
          <w:sz w:val="18"/>
          <w:szCs w:val="18"/>
          <w:color w:val="auto"/>
        </w:rPr>
        <w:t>. This option is granted pursuant to the Plan, a copy of which the Optionee acknowledges having received. The provisions of the Plan are incorporated into this Agreement by this reference. Capitalized terms are defined in Section 15 of this Agreement.</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RIGHT TO EXERCISE.</w:t>
      </w:r>
    </w:p>
    <w:p>
      <w:pPr>
        <w:spacing w:after="0" w:line="114" w:lineRule="exact"/>
        <w:rPr>
          <w:sz w:val="20"/>
          <w:szCs w:val="20"/>
          <w:color w:val="auto"/>
        </w:rPr>
      </w:pPr>
    </w:p>
    <w:p>
      <w:pPr>
        <w:ind w:firstLine="981"/>
        <w:spacing w:after="0" w:line="26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Exercisability</w:t>
      </w:r>
      <w:r>
        <w:rPr>
          <w:rFonts w:ascii="Times New Roman" w:cs="Times New Roman" w:eastAsia="Times New Roman" w:hAnsi="Times New Roman"/>
          <w:sz w:val="18"/>
          <w:szCs w:val="18"/>
          <w:color w:val="auto"/>
        </w:rPr>
        <w:t>. Subject to Subsection (b) below and the other conditions set forth in this Agreement, all or part of this option may be exercised prior to its expiration at the time or times set forth in the Notice of Stock Option Grant. Shares purchased by exercising this option may be subject to the Right of Repurchase under Section 7.</w:t>
      </w:r>
    </w:p>
    <w:p>
      <w:pPr>
        <w:spacing w:after="0" w:line="62" w:lineRule="exact"/>
        <w:rPr>
          <w:sz w:val="20"/>
          <w:szCs w:val="20"/>
          <w:color w:val="auto"/>
        </w:rPr>
      </w:pPr>
    </w:p>
    <w:p>
      <w:pPr>
        <w:ind w:firstLine="981"/>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Any other provision of this Agreement notwithstanding, no portion of this option shall be exercisable at any time prior to the approval of the Plan by the Company’s stockholders.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NO TRANSFER OR ASSIGNMENT OF OPTION.</w:t>
      </w:r>
    </w:p>
    <w:p>
      <w:pPr>
        <w:spacing w:after="0" w:line="118" w:lineRule="exact"/>
        <w:rPr>
          <w:sz w:val="20"/>
          <w:szCs w:val="20"/>
          <w:color w:val="auto"/>
        </w:rPr>
      </w:pPr>
    </w:p>
    <w:p>
      <w:pPr>
        <w:ind w:right="20" w:firstLine="436"/>
        <w:spacing w:after="0" w:line="277" w:lineRule="auto"/>
        <w:rPr>
          <w:sz w:val="20"/>
          <w:szCs w:val="20"/>
          <w:color w:val="auto"/>
        </w:rPr>
      </w:pPr>
      <w:r>
        <w:rPr>
          <w:rFonts w:ascii="Times New Roman" w:cs="Times New Roman" w:eastAsia="Times New Roman" w:hAnsi="Times New Roman"/>
          <w:sz w:val="18"/>
          <w:szCs w:val="18"/>
          <w:color w:val="auto"/>
        </w:rPr>
        <w:t>Except as otherwise provided in this Agreement, this option and the rights and privileges conferred hereby shall not be sold, pledged or otherwise transferred (whether by operation of law or otherwise) and shall not be subject to sale under execution, attachment, levy or similar process.</w:t>
      </w:r>
    </w:p>
    <w:p>
      <w:pPr>
        <w:spacing w:after="0" w:line="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20"/>
          </w:cols>
          <w:pgMar w:left="500" w:top="264" w:right="579" w:bottom="1440" w:gutter="0" w:footer="0" w:header="0"/>
        </w:sectPr>
      </w:pPr>
    </w:p>
    <w:bookmarkStart w:id="407" w:name="page408"/>
    <w:bookmarkEnd w:id="407"/>
    <w:p>
      <w:pPr>
        <w:ind w:left="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4. EXERCISE PROCEDURES.</w:t>
      </w:r>
    </w:p>
    <w:p>
      <w:pPr>
        <w:spacing w:after="0" w:line="114" w:lineRule="exact"/>
        <w:rPr>
          <w:sz w:val="20"/>
          <w:szCs w:val="20"/>
          <w:color w:val="auto"/>
        </w:rPr>
      </w:pPr>
    </w:p>
    <w:p>
      <w:pPr>
        <w:ind w:left="6" w:right="60" w:firstLine="981"/>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Notice of Exercise</w:t>
      </w:r>
      <w:r>
        <w:rPr>
          <w:rFonts w:ascii="Times New Roman" w:cs="Times New Roman" w:eastAsia="Times New Roman" w:hAnsi="Times New Roman"/>
          <w:sz w:val="18"/>
          <w:szCs w:val="18"/>
          <w:color w:val="auto"/>
        </w:rPr>
        <w:t>. The Optionee or the Optionee’s representative may exercise this option by giving written notice to the Company pursuant to Section 13(c). The notice shall specify the election to exercise this option, the number of Shares for which it is being exercised and the form of payment. The person exercising this option shall sign the notice. In the event that this option is being exercised by the representative of the Optionee, the notice shall be accompanied by proof (satisfactory to the Company) of the representative’s right to exercise this option. The Optionee or the Optionee’s representative shall deliver to the Company, at the time of giving the notice, payment in a form permissible under Section 5 for the full amount of the Purchase Price. In the event of a partial exercise of this option, Shares shall be deemed to have been purchased in the order in which they vest in accordance with the Notice of Stock Option Grant.</w:t>
      </w:r>
    </w:p>
    <w:p>
      <w:pPr>
        <w:spacing w:after="0" w:line="182" w:lineRule="exact"/>
        <w:rPr>
          <w:sz w:val="20"/>
          <w:szCs w:val="20"/>
          <w:color w:val="auto"/>
        </w:rPr>
      </w:pPr>
    </w:p>
    <w:p>
      <w:pPr>
        <w:ind w:left="6" w:right="420" w:firstLine="981"/>
        <w:spacing w:after="0" w:line="276"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b w:val="1"/>
          <w:bCs w:val="1"/>
          <w:color w:val="auto"/>
        </w:rPr>
        <w:t>Issuance of Shares</w:t>
      </w:r>
      <w:r>
        <w:rPr>
          <w:rFonts w:ascii="Times New Roman" w:cs="Times New Roman" w:eastAsia="Times New Roman" w:hAnsi="Times New Roman"/>
          <w:sz w:val="17"/>
          <w:szCs w:val="17"/>
          <w:color w:val="auto"/>
        </w:rPr>
        <w:t>. After receiving a proper notice of exercise, the Company shall cause to be issued one or more certificates evidencing the Shares for which this option has been exercised. Such Shares shall be registered (i) in the name of the person exercising this option,</w:t>
      </w:r>
    </w:p>
    <w:p>
      <w:pPr>
        <w:spacing w:after="0" w:line="1" w:lineRule="exact"/>
        <w:rPr>
          <w:sz w:val="20"/>
          <w:szCs w:val="20"/>
          <w:color w:val="auto"/>
        </w:rPr>
      </w:pPr>
    </w:p>
    <w:p>
      <w:pPr>
        <w:ind w:left="6" w:right="460" w:hanging="6"/>
        <w:spacing w:after="0" w:line="250" w:lineRule="auto"/>
        <w:tabs>
          <w:tab w:leader="none" w:pos="26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names of such person and his or her spouse as community property or as joint tenants with the right of survivorship or (iii) with the Company’s consent, in the name of a revocable trust. In the case of Restricted Shares, the Company shall cause such certificates to be deposited in escrow under Section 7(c). In the case of other Shares, the Company shall cause such certificates to be delivered to or upon the order of the person exercising this option.</w:t>
      </w:r>
    </w:p>
    <w:p>
      <w:pPr>
        <w:spacing w:after="0" w:line="183" w:lineRule="exact"/>
        <w:rPr>
          <w:sz w:val="20"/>
          <w:szCs w:val="20"/>
          <w:color w:val="auto"/>
        </w:rPr>
      </w:pPr>
    </w:p>
    <w:p>
      <w:pPr>
        <w:ind w:left="6" w:right="20" w:firstLine="981"/>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Withholding Taxes</w:t>
      </w:r>
      <w:r>
        <w:rPr>
          <w:rFonts w:ascii="Times New Roman" w:cs="Times New Roman" w:eastAsia="Times New Roman" w:hAnsi="Times New Roman"/>
          <w:sz w:val="18"/>
          <w:szCs w:val="18"/>
          <w:color w:val="auto"/>
        </w:rPr>
        <w:t>. In the event that the Company determines that it is required to withhold any tax as a result of the exercise of this option, the Optionee, as a condition to the exercise of this option, shall make arrangements satisfactory to the Company to enable it to satisfy all withholding requirements. The Optionee shall also make arrangements satisfactory to the Company to enable it to satisfy any withholding requirements that may arise in connection with the vesting or disposition of Shares purchased by exercising this option.</w:t>
      </w:r>
    </w:p>
    <w:p>
      <w:pPr>
        <w:spacing w:after="0" w:line="28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SECTION 5. PAYMENT FOR STOCK.</w:t>
      </w:r>
    </w:p>
    <w:p>
      <w:pPr>
        <w:spacing w:after="0" w:line="114" w:lineRule="exact"/>
        <w:rPr>
          <w:sz w:val="20"/>
          <w:szCs w:val="20"/>
          <w:color w:val="auto"/>
        </w:rPr>
      </w:pPr>
    </w:p>
    <w:p>
      <w:pPr>
        <w:ind w:left="986"/>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All or part of the Purchase Price may be paid in cash or cash equivalents.</w:t>
      </w:r>
    </w:p>
    <w:p>
      <w:pPr>
        <w:spacing w:after="0" w:line="220" w:lineRule="exact"/>
        <w:rPr>
          <w:sz w:val="20"/>
          <w:szCs w:val="20"/>
          <w:color w:val="auto"/>
        </w:rPr>
      </w:pPr>
    </w:p>
    <w:p>
      <w:pPr>
        <w:jc w:val="both"/>
        <w:ind w:left="6" w:firstLine="981"/>
        <w:spacing w:after="0" w:line="265"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Surrender of Stock</w:t>
      </w:r>
      <w:r>
        <w:rPr>
          <w:rFonts w:ascii="Times New Roman" w:cs="Times New Roman" w:eastAsia="Times New Roman" w:hAnsi="Times New Roman"/>
          <w:sz w:val="18"/>
          <w:szCs w:val="18"/>
          <w:color w:val="auto"/>
        </w:rPr>
        <w:t>. At the discretion of the Board of Directors, all or any part of the Purchase Price may be paid by surrendering, or attesting to the ownership of, Shares that are already owned by the Optionee. Such Shares shall be surrendered to the Company in good form for transfer and shall be valued at their Fair Market Value as of the date when this option is exercised.</w:t>
      </w:r>
    </w:p>
    <w:p>
      <w:pPr>
        <w:spacing w:after="0" w:line="107"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6"/>
          </w:cols>
          <w:pgMar w:left="494" w:top="264" w:right="519" w:bottom="1440" w:gutter="0" w:footer="0" w:header="0"/>
        </w:sectPr>
      </w:pPr>
    </w:p>
    <w:bookmarkStart w:id="408" w:name="page409"/>
    <w:bookmarkEnd w:id="408"/>
    <w:p>
      <w:pPr>
        <w:ind w:firstLine="981"/>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  </w:t>
      </w:r>
      <w:r>
        <w:rPr>
          <w:rFonts w:ascii="Times New Roman" w:cs="Times New Roman" w:eastAsia="Times New Roman" w:hAnsi="Times New Roman"/>
          <w:sz w:val="18"/>
          <w:szCs w:val="18"/>
          <w:b w:val="1"/>
          <w:bCs w:val="1"/>
          <w:color w:val="auto"/>
        </w:rPr>
        <w:t>Exercise/Sale</w:t>
      </w:r>
      <w:r>
        <w:rPr>
          <w:rFonts w:ascii="Times New Roman" w:cs="Times New Roman" w:eastAsia="Times New Roman" w:hAnsi="Times New Roman"/>
          <w:sz w:val="18"/>
          <w:szCs w:val="18"/>
          <w:color w:val="auto"/>
        </w:rPr>
        <w:t>. All or part of the Purchase Price and any withholding taxes may be paid by the delivery (on a form prescribed by the Company) of an irrevocable direction to a securities broker approved by the Company to sell Shares and to deliver all or part of the sales proceeds to the Company. However, payment pursuant to this Subsection (c) shall be permitted only if (i) Stock then is publicly traded and (ii) such payment does not violate applicable law.</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TERM AND EXPIRATION.</w:t>
      </w:r>
    </w:p>
    <w:p>
      <w:pPr>
        <w:spacing w:after="0" w:line="114" w:lineRule="exact"/>
        <w:rPr>
          <w:sz w:val="20"/>
          <w:szCs w:val="20"/>
          <w:color w:val="auto"/>
        </w:rPr>
      </w:pPr>
    </w:p>
    <w:p>
      <w:pPr>
        <w:ind w:right="120" w:firstLine="981"/>
        <w:spacing w:after="0" w:line="26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Basic Term</w:t>
      </w:r>
      <w:r>
        <w:rPr>
          <w:rFonts w:ascii="Times New Roman" w:cs="Times New Roman" w:eastAsia="Times New Roman" w:hAnsi="Times New Roman"/>
          <w:sz w:val="18"/>
          <w:szCs w:val="18"/>
          <w:color w:val="auto"/>
        </w:rPr>
        <w:t>. This option shall in any event expire on the expiration date set forth in the Notice of Stock Option Grant, which date is 10 years after the Date of Grant (five years after the Date of Grant if this option is designated as an ISO in the Notice of Stock Option Grant and Section 3(b) of the Plan applies).</w:t>
      </w:r>
    </w:p>
    <w:p>
      <w:pPr>
        <w:spacing w:after="0" w:line="169" w:lineRule="exact"/>
        <w:rPr>
          <w:sz w:val="20"/>
          <w:szCs w:val="20"/>
          <w:color w:val="auto"/>
        </w:rPr>
      </w:pPr>
    </w:p>
    <w:p>
      <w:pPr>
        <w:ind w:right="240" w:firstLine="981"/>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Termination of Service (Except by Death)</w:t>
      </w:r>
      <w:r>
        <w:rPr>
          <w:rFonts w:ascii="Times New Roman" w:cs="Times New Roman" w:eastAsia="Times New Roman" w:hAnsi="Times New Roman"/>
          <w:sz w:val="18"/>
          <w:szCs w:val="18"/>
          <w:color w:val="auto"/>
        </w:rPr>
        <w:t>. If the Optionee’s Service terminates for any reason other than death, then this option shall expire on the earliest of the following occasions:</w:t>
      </w:r>
    </w:p>
    <w:p>
      <w:pPr>
        <w:spacing w:after="0" w:line="5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The expiration date determined pursuant to Subsection (a) above;</w:t>
      </w:r>
    </w:p>
    <w:p>
      <w:pPr>
        <w:spacing w:after="0" w:line="11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   The date three months after the termination of the Optionee’s Service for any reason other than Disability; or</w:t>
      </w:r>
    </w:p>
    <w:p>
      <w:pPr>
        <w:spacing w:after="0" w:line="11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(iii)   The date six months after the termination of the Optionee’s Service by reason of Disability.</w:t>
      </w:r>
    </w:p>
    <w:p>
      <w:pPr>
        <w:spacing w:after="0" w:line="22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Optionee may exercise all or part of this option at any time before its expiration under the preceding sentence, but only to the extent that this option is exercisable for vested Shares on or before the date when the Optionee’s Service terminates. When the Optionee’s Service terminates, this option shall expire immediately with respect to the number of Shares for which this option is not yet exercisable and with respect to any Restricted Shares.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was exercisable for vested Shares on or before the date when the Optionee’s Service terminated.</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Death of the Optionee</w:t>
      </w:r>
      <w:r>
        <w:rPr>
          <w:rFonts w:ascii="Times New Roman" w:cs="Times New Roman" w:eastAsia="Times New Roman" w:hAnsi="Times New Roman"/>
          <w:sz w:val="18"/>
          <w:szCs w:val="18"/>
          <w:color w:val="auto"/>
        </w:rPr>
        <w:t>. If the Optionee dies while in Service, then this option shall expire on the earlier of the following dates:</w:t>
      </w:r>
    </w:p>
    <w:p>
      <w:pPr>
        <w:sectPr>
          <w:pgSz w:w="11900" w:h="16838" w:orient="portrait"/>
          <w:cols w:equalWidth="0" w:num="1">
            <w:col w:w="10860"/>
          </w:cols>
          <w:pgMar w:left="500" w:top="264" w:right="539" w:bottom="1440" w:gutter="0" w:footer="0" w:header="0"/>
        </w:sectPr>
      </w:pPr>
    </w:p>
    <w:p>
      <w:pPr>
        <w:spacing w:after="0" w:line="1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0"/>
          <w:szCs w:val="10"/>
          <w:color w:val="auto"/>
        </w:rPr>
        <w:t>(i)  </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expiration date determined pursuant to Subsection (a) above; or</w:t>
      </w:r>
    </w:p>
    <w:p>
      <w:pPr>
        <w:spacing w:after="0" w:line="125" w:lineRule="exact"/>
        <w:rPr>
          <w:sz w:val="20"/>
          <w:szCs w:val="20"/>
          <w:color w:val="auto"/>
        </w:rPr>
      </w:pPr>
    </w:p>
    <w:p>
      <w:pPr>
        <w:sectPr>
          <w:pgSz w:w="11900" w:h="16838" w:orient="portrait"/>
          <w:cols w:equalWidth="0" w:num="2">
            <w:col w:w="1620" w:space="140"/>
            <w:col w:w="9100"/>
          </w:cols>
          <w:pgMar w:left="500" w:top="264" w:right="53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2"/>
          <w:szCs w:val="12"/>
          <w:color w:val="auto"/>
        </w:rPr>
        <w:t>(ii)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date 12 months after the Optionee’s death.</w:t>
      </w:r>
    </w:p>
    <w:p>
      <w:pPr>
        <w:spacing w:after="0" w:line="165" w:lineRule="exact"/>
        <w:rPr>
          <w:sz w:val="20"/>
          <w:szCs w:val="20"/>
          <w:color w:val="auto"/>
        </w:rPr>
      </w:pPr>
    </w:p>
    <w:p>
      <w:pPr>
        <w:sectPr>
          <w:pgSz w:w="11900" w:h="16838" w:orient="portrait"/>
          <w:cols w:equalWidth="0" w:num="2">
            <w:col w:w="1680" w:space="120"/>
            <w:col w:w="9060"/>
          </w:cols>
          <w:pgMar w:left="500" w:top="264" w:right="5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860"/>
          </w:cols>
          <w:pgMar w:left="500" w:top="264" w:right="539" w:bottom="1440" w:gutter="0" w:footer="0" w:header="0"/>
          <w:type w:val="continuous"/>
        </w:sectPr>
      </w:pPr>
    </w:p>
    <w:bookmarkStart w:id="409" w:name="page410"/>
    <w:bookmarkEnd w:id="409"/>
    <w:p>
      <w:pPr>
        <w:ind w:right="12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is exercisable for vested Shares on or before the date of the Optionee’s death. When the Optionee dies, this option shall expire immediately with respect to the number of Shares for which this option is not yet exercisable and with respect to any Restricted Shares.</w:t>
      </w:r>
    </w:p>
    <w:p>
      <w:pPr>
        <w:spacing w:after="0" w:line="178" w:lineRule="exact"/>
        <w:rPr>
          <w:sz w:val="20"/>
          <w:szCs w:val="20"/>
          <w:color w:val="auto"/>
        </w:rPr>
      </w:pPr>
    </w:p>
    <w:p>
      <w:pPr>
        <w:ind w:right="60" w:firstLine="981"/>
        <w:spacing w:after="0" w:line="253"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Part-Time Employment and Leaves of Absence</w:t>
      </w:r>
      <w:r>
        <w:rPr>
          <w:rFonts w:ascii="Times New Roman" w:cs="Times New Roman" w:eastAsia="Times New Roman" w:hAnsi="Times New Roman"/>
          <w:sz w:val="18"/>
          <w:szCs w:val="18"/>
          <w:color w:val="auto"/>
        </w:rPr>
        <w:t xml:space="preserve">. If the Optionee commences working on a part-time basis, then the Company may adjust the vesting schedule set forth in the Notice of Stock Option Grant. If the Optionee goes on a leave of absence, then the Company may adjust the vesting schedule set forth in the Notice of Stock Option Grant in accordance with the Company’s leave of absence policy or the terms of such leave. Except as provided in the preceding sentence, Service shall be deemed to continue for any purpose under this Agreement while the Optionee is on a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leave of absence, if (i) such leave was approved by the Company in writing and (ii) continued crediting of Service for such purpose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expressly required by the terms of such leave or by applicable law (as determined by the Company). Service shall be deemed to terminate when such leave ends, unless the Optionee immediately returns to active work.</w:t>
      </w:r>
    </w:p>
    <w:p>
      <w:pPr>
        <w:spacing w:after="0" w:line="182" w:lineRule="exact"/>
        <w:rPr>
          <w:sz w:val="20"/>
          <w:szCs w:val="20"/>
          <w:color w:val="auto"/>
        </w:rPr>
      </w:pPr>
    </w:p>
    <w:p>
      <w:pPr>
        <w:ind w:right="340" w:firstLine="981"/>
        <w:spacing w:after="0" w:line="28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Notice Concerning ISO Treatment</w:t>
      </w:r>
      <w:r>
        <w:rPr>
          <w:rFonts w:ascii="Times New Roman" w:cs="Times New Roman" w:eastAsia="Times New Roman" w:hAnsi="Times New Roman"/>
          <w:sz w:val="18"/>
          <w:szCs w:val="18"/>
          <w:color w:val="auto"/>
        </w:rPr>
        <w:t>. Even if this option is designated as an ISO in the Notice of Stock Option Grant, it ceases to qualify for favorable tax treatment as an ISO to the extent that it is exercised:</w:t>
      </w:r>
    </w:p>
    <w:p>
      <w:pPr>
        <w:spacing w:after="0" w:line="52" w:lineRule="exact"/>
        <w:rPr>
          <w:sz w:val="20"/>
          <w:szCs w:val="20"/>
          <w:color w:val="auto"/>
        </w:rPr>
      </w:pPr>
    </w:p>
    <w:p>
      <w:pPr>
        <w:ind w:left="420" w:right="780" w:firstLine="942"/>
        <w:spacing w:after="0" w:line="277" w:lineRule="auto"/>
        <w:rPr>
          <w:sz w:val="20"/>
          <w:szCs w:val="20"/>
          <w:color w:val="auto"/>
        </w:rPr>
      </w:pPr>
      <w:r>
        <w:rPr>
          <w:rFonts w:ascii="Times New Roman" w:cs="Times New Roman" w:eastAsia="Times New Roman" w:hAnsi="Times New Roman"/>
          <w:sz w:val="18"/>
          <w:szCs w:val="18"/>
          <w:color w:val="auto"/>
        </w:rPr>
        <w:t>(i)  More than three months after the date when the Optionee ceases to be an Employee for any reason other than death or permanent and total disability (as defined in Section 22(e)(3) of the Code);</w:t>
      </w:r>
    </w:p>
    <w:p>
      <w:pPr>
        <w:spacing w:after="0" w:line="57" w:lineRule="exact"/>
        <w:rPr>
          <w:sz w:val="20"/>
          <w:szCs w:val="20"/>
          <w:color w:val="auto"/>
        </w:rPr>
      </w:pPr>
    </w:p>
    <w:p>
      <w:pPr>
        <w:ind w:left="420" w:firstLine="942"/>
        <w:spacing w:after="0" w:line="277" w:lineRule="auto"/>
        <w:rPr>
          <w:sz w:val="20"/>
          <w:szCs w:val="20"/>
          <w:color w:val="auto"/>
        </w:rPr>
      </w:pPr>
      <w:r>
        <w:rPr>
          <w:rFonts w:ascii="Times New Roman" w:cs="Times New Roman" w:eastAsia="Times New Roman" w:hAnsi="Times New Roman"/>
          <w:sz w:val="18"/>
          <w:szCs w:val="18"/>
          <w:color w:val="auto"/>
        </w:rPr>
        <w:t>(ii)  More than 12 months after the date when the Optionee ceases to be an Employee by reason of permanent and total disability (as defined in Section 22(e)(3) of the Code); or</w:t>
      </w:r>
    </w:p>
    <w:p>
      <w:pPr>
        <w:spacing w:after="0" w:line="57" w:lineRule="exact"/>
        <w:rPr>
          <w:sz w:val="20"/>
          <w:szCs w:val="20"/>
          <w:color w:val="auto"/>
        </w:rPr>
      </w:pPr>
    </w:p>
    <w:p>
      <w:pPr>
        <w:ind w:left="420" w:right="300" w:firstLine="942"/>
        <w:spacing w:after="0" w:line="277" w:lineRule="auto"/>
        <w:rPr>
          <w:sz w:val="20"/>
          <w:szCs w:val="20"/>
          <w:color w:val="auto"/>
        </w:rPr>
      </w:pPr>
      <w:r>
        <w:rPr>
          <w:rFonts w:ascii="Times New Roman" w:cs="Times New Roman" w:eastAsia="Times New Roman" w:hAnsi="Times New Roman"/>
          <w:sz w:val="18"/>
          <w:szCs w:val="18"/>
          <w:color w:val="auto"/>
        </w:rPr>
        <w:t>(iii)  More than three months after the date when the Optionee has been on a leave of absence for 90 days, unless the Optionee’s reemployment rights following such leave were guaranteed by statute or by contract.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RIGHT OF REPURCHASE.</w:t>
      </w:r>
    </w:p>
    <w:p>
      <w:pPr>
        <w:spacing w:after="0" w:line="114" w:lineRule="exact"/>
        <w:rPr>
          <w:sz w:val="20"/>
          <w:szCs w:val="20"/>
          <w:color w:val="auto"/>
        </w:rPr>
      </w:pPr>
    </w:p>
    <w:p>
      <w:pPr>
        <w:ind w:right="60" w:firstLine="981"/>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Scope of Repurchase Right</w:t>
      </w:r>
      <w:r>
        <w:rPr>
          <w:rFonts w:ascii="Times New Roman" w:cs="Times New Roman" w:eastAsia="Times New Roman" w:hAnsi="Times New Roman"/>
          <w:sz w:val="18"/>
          <w:szCs w:val="18"/>
          <w:color w:val="auto"/>
        </w:rPr>
        <w:t>. Until they vest in accordance with the Notice of Stock Option Grant and Subsection (b) below, the Shares acquired under this Agreement shall be Restricted Shares and shall be subject to the Company’s Right of Repurchase. The Company, however, may decline to exercise its Right of Repurchase or may exercise its Right of Repurchase only with respect to a portion of the Restricted Shares. The Company may exercise its Right of Repurchase only during the Repurchase Period following the termination of the Optionee’s Service, but the Right of Repurchase may be exercised automatically under Subsection (d) below. If the Right of Repurchase is exercised, the Company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0"/>
          </w:cols>
          <w:pgMar w:left="500" w:top="268" w:right="519" w:bottom="1440" w:gutter="0" w:footer="0" w:header="0"/>
        </w:sectPr>
      </w:pPr>
    </w:p>
    <w:bookmarkStart w:id="410" w:name="page411"/>
    <w:bookmarkEnd w:id="410"/>
    <w:p>
      <w:pPr>
        <w:ind w:right="80"/>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shall pay the Optionee an amount equal to the lower of (i) the Exercise Price of each Restricted Share being repurchased or (ii) the Fair Market Value of such Restricted Share at the time the Right of Repurchase is exercised.</w:t>
      </w:r>
    </w:p>
    <w:p>
      <w:pPr>
        <w:spacing w:after="0" w:line="159" w:lineRule="exact"/>
        <w:rPr>
          <w:sz w:val="20"/>
          <w:szCs w:val="20"/>
          <w:color w:val="auto"/>
        </w:rPr>
      </w:pPr>
    </w:p>
    <w:p>
      <w:pPr>
        <w:ind w:right="520" w:firstLine="981"/>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Lapse of Repurchase Right</w:t>
      </w:r>
      <w:r>
        <w:rPr>
          <w:rFonts w:ascii="Times New Roman" w:cs="Times New Roman" w:eastAsia="Times New Roman" w:hAnsi="Times New Roman"/>
          <w:sz w:val="18"/>
          <w:szCs w:val="18"/>
          <w:color w:val="auto"/>
        </w:rPr>
        <w:t>. The Right of Repurchase shall lapse with respect to the Restricted Shares in accordance with the vesting schedule set forth in the Notice of Stock Option Grant.</w:t>
      </w:r>
    </w:p>
    <w:p>
      <w:pPr>
        <w:spacing w:after="0" w:line="155" w:lineRule="exact"/>
        <w:rPr>
          <w:sz w:val="20"/>
          <w:szCs w:val="20"/>
          <w:color w:val="auto"/>
        </w:rPr>
      </w:pPr>
    </w:p>
    <w:p>
      <w:pPr>
        <w:ind w:firstLine="981"/>
        <w:spacing w:after="0" w:line="269"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b w:val="1"/>
          <w:bCs w:val="1"/>
          <w:color w:val="auto"/>
        </w:rPr>
        <w:t>Escrow</w:t>
      </w:r>
      <w:r>
        <w:rPr>
          <w:rFonts w:ascii="Times New Roman" w:cs="Times New Roman" w:eastAsia="Times New Roman" w:hAnsi="Times New Roman"/>
          <w:sz w:val="17"/>
          <w:szCs w:val="17"/>
          <w:color w:val="auto"/>
        </w:rPr>
        <w:t>. Upon issuance, the certificate(s) for Restricted Shares shall be deposited in escrow with the Company to be held in accordance with the provisions of this Agreement. Any additional or exchanged securities or other property described in Subsection (f) below shall immediately be delivered to the Company to be held in escrow. All ordinary cash dividends on Restricted Shares (or on other securities held in escrow) shall be paid directly to the Optionee and shall not be held in escrow. Restricted Shares, together with any other assets held in escrow under this Agreement, shall be (i) surrendered to the Company for repurchase upon exercise of the Right of Repurchase or the Right of First Refusal or (ii) released to the Optionee upon his or her request to the extent that the Shares have ceased to be Restricted Shares (but not more frequently than once every six months). In any event, all Shares that have ceased to be Restricted Shares, together with any other vested assets held in escrow under this Agreement, shall be released within 90 days after the earlier of (i) the termination of the Optionee’s Service or (ii) the lapse of the Right of First Refusal.</w:t>
      </w:r>
    </w:p>
    <w:p>
      <w:pPr>
        <w:spacing w:after="0" w:line="171" w:lineRule="exact"/>
        <w:rPr>
          <w:sz w:val="20"/>
          <w:szCs w:val="20"/>
          <w:color w:val="auto"/>
        </w:rPr>
      </w:pPr>
    </w:p>
    <w:p>
      <w:pPr>
        <w:ind w:right="120" w:firstLine="981"/>
        <w:spacing w:after="0" w:line="254"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Exercise of Repurchase Right</w:t>
      </w:r>
      <w:r>
        <w:rPr>
          <w:rFonts w:ascii="Times New Roman" w:cs="Times New Roman" w:eastAsia="Times New Roman" w:hAnsi="Times New Roman"/>
          <w:sz w:val="18"/>
          <w:szCs w:val="18"/>
          <w:color w:val="auto"/>
        </w:rPr>
        <w:t>. The Company shall be deemed to have exercised its Right of Repurchase automatically for all Restricted Shares as of the commencement of the Repurchase Period, unless the Company during the Repurchase Period notifies the holder of the Restricted Shares pursuant to Section 13(c) that it will not exercise its Right of Repurchase for some or all of the Restricted Shares. The Company shall pay to the holder of the Restricted Shares the purchase price determined under Subsection (a) above for the Restricted Shares being repurchased. Payment shall be made in cash or cash equivalents and/or by canceling indebtedness to the Company incurred by the Optionee in the purchase of the Restricted Shares. The certificate(s) representing the Restricted Shares being repurchased shall be delivered to the Company.</w:t>
      </w:r>
    </w:p>
    <w:p>
      <w:pPr>
        <w:spacing w:after="0" w:line="182" w:lineRule="exact"/>
        <w:rPr>
          <w:sz w:val="20"/>
          <w:szCs w:val="20"/>
          <w:color w:val="auto"/>
        </w:rPr>
      </w:pPr>
    </w:p>
    <w:p>
      <w:pPr>
        <w:ind w:right="140" w:firstLine="981"/>
        <w:spacing w:after="0" w:line="25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Termination of Rights as Stockholder</w:t>
      </w:r>
      <w:r>
        <w:rPr>
          <w:rFonts w:ascii="Times New Roman" w:cs="Times New Roman" w:eastAsia="Times New Roman" w:hAnsi="Times New Roman"/>
          <w:sz w:val="18"/>
          <w:szCs w:val="18"/>
          <w:color w:val="auto"/>
        </w:rPr>
        <w:t>. If the Right of Repurchase is exercised in accordance with this Section 7 and the Company makes available the consideration for the Restricted Shares being repurchased, then the person from whom the Restricted Shares are repurchased shall no longer have any rights as a holder of the Restricted Shares (other than the right to receive payment of such consideration). Such Restricted Shares shall be deemed to have been repurchased pursuant to this Section 7, whether or not the certificate(s) for such Restricted Shares have been delivered to the Company or the consideration for such Restricted Shares has been accepted.</w:t>
      </w:r>
    </w:p>
    <w:p>
      <w:pPr>
        <w:spacing w:after="0" w:line="178" w:lineRule="exact"/>
        <w:rPr>
          <w:sz w:val="20"/>
          <w:szCs w:val="20"/>
          <w:color w:val="auto"/>
        </w:rPr>
      </w:pPr>
    </w:p>
    <w:p>
      <w:pPr>
        <w:ind w:right="180" w:firstLine="981"/>
        <w:spacing w:after="0" w:line="265"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Additional or Exchanged Securities and Property</w:t>
      </w:r>
      <w:r>
        <w:rPr>
          <w:rFonts w:ascii="Times New Roman" w:cs="Times New Roman" w:eastAsia="Times New Roman" w:hAnsi="Times New Roman"/>
          <w:sz w:val="18"/>
          <w:szCs w:val="18"/>
          <w:color w:val="auto"/>
        </w:rPr>
        <w:t>. In the event of a merger or consolidation of the Company with or into another entity, any other corporate reorganization, a stock split, the declaration of a stock dividend, the declaration of an extraordinary dividend payable in a form other than stock, a spin-off, an adjustment in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500" w:top="268" w:right="499" w:bottom="1440" w:gutter="0" w:footer="0" w:header="0"/>
        </w:sectPr>
      </w:pPr>
    </w:p>
    <w:bookmarkStart w:id="411" w:name="page412"/>
    <w:bookmarkEnd w:id="411"/>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conversion ratio, a recapitalization or a similar transaction affecting the Company’s outstanding securities, any securities or other property (including cash or cash equivalents) that are by reason of such transaction exchanged for, or distributed with respect to, any Restricted Shares shall immediately be subject to the Right of Repurchase. Appropriate adjustments to reflect the exchange or distribution of such securities or property shall be made to the number and/or class of the Restricted Shares. Appropriate adjustments shall also be made to the price per share to be paid upon the exercise of the Right of Repurchase, provided that the aggregate purchase price payable for the Restricted Shares shall remain the same. In the event of a merger or consolidation of the Company with or into another entity or any other corporate reorganization, the Right of Repurchase may be exercised by the Company’s successor.</w:t>
      </w:r>
    </w:p>
    <w:p>
      <w:pPr>
        <w:spacing w:after="0" w:line="185" w:lineRule="exact"/>
        <w:rPr>
          <w:sz w:val="20"/>
          <w:szCs w:val="20"/>
          <w:color w:val="auto"/>
        </w:rPr>
      </w:pPr>
    </w:p>
    <w:p>
      <w:pPr>
        <w:ind w:right="80" w:firstLine="981"/>
        <w:spacing w:after="0" w:line="254"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Transfer of Restricted Shares</w:t>
      </w:r>
      <w:r>
        <w:rPr>
          <w:rFonts w:ascii="Times New Roman" w:cs="Times New Roman" w:eastAsia="Times New Roman" w:hAnsi="Times New Roman"/>
          <w:sz w:val="18"/>
          <w:szCs w:val="18"/>
          <w:color w:val="auto"/>
        </w:rPr>
        <w:t>. The Optionee shall not transfer, assign, encumber or otherwise dispose of any Restricted Shares without the Company’s written consent, except as provided in the following sentence. The Optionee may transfer Restricted Shares to one or more members of 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Restricted Shares, then this Agreement shall apply to the Transferee to the same extent as to the Optionee.</w:t>
      </w:r>
    </w:p>
    <w:p>
      <w:pPr>
        <w:spacing w:after="0" w:line="182" w:lineRule="exact"/>
        <w:rPr>
          <w:sz w:val="20"/>
          <w:szCs w:val="20"/>
          <w:color w:val="auto"/>
        </w:rPr>
      </w:pPr>
    </w:p>
    <w:p>
      <w:pPr>
        <w:jc w:val="both"/>
        <w:ind w:right="260" w:firstLine="981"/>
        <w:spacing w:after="0" w:line="265"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b w:val="1"/>
          <w:bCs w:val="1"/>
          <w:color w:val="auto"/>
        </w:rPr>
        <w:t>Assignment of Repurchase Right</w:t>
      </w:r>
      <w:r>
        <w:rPr>
          <w:rFonts w:ascii="Times New Roman" w:cs="Times New Roman" w:eastAsia="Times New Roman" w:hAnsi="Times New Roman"/>
          <w:sz w:val="18"/>
          <w:szCs w:val="18"/>
          <w:color w:val="auto"/>
        </w:rPr>
        <w:t>. The Board of Directors may freely assign the Company’s Right of Repurchase, in whole or in part. Any person who accepts an assignment of the Right of Repurchase from the Company shall assume all of the Company’s rights and obligations under this Section 7.</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RIGHT OF FIRST REFUSAL.</w:t>
      </w:r>
    </w:p>
    <w:p>
      <w:pPr>
        <w:spacing w:after="0" w:line="114" w:lineRule="exact"/>
        <w:rPr>
          <w:sz w:val="20"/>
          <w:szCs w:val="20"/>
          <w:color w:val="auto"/>
        </w:rPr>
      </w:pPr>
    </w:p>
    <w:p>
      <w:pPr>
        <w:ind w:firstLine="981"/>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In the event that the Optionee proposes to sell, pledge or otherwise transfer to a third party any Shares acquired under this Agreement, or any interest in such Shares, the Company shall have the Right of First Refusal with respect to all (and not less than all) of such Shares. If the Optionee desires to transfer Shares acquired under this Agreement, the Optionee shall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the Optionee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181" w:lineRule="exact"/>
        <w:rPr>
          <w:sz w:val="20"/>
          <w:szCs w:val="20"/>
          <w:color w:val="auto"/>
        </w:rPr>
      </w:pPr>
    </w:p>
    <w:p>
      <w:pPr>
        <w:ind w:right="360" w:firstLine="981"/>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Transfer of Shares</w:t>
      </w:r>
      <w:r>
        <w:rPr>
          <w:rFonts w:ascii="Times New Roman" w:cs="Times New Roman" w:eastAsia="Times New Roman" w:hAnsi="Times New Roman"/>
          <w:sz w:val="18"/>
          <w:szCs w:val="18"/>
          <w:color w:val="auto"/>
        </w:rPr>
        <w:t>. If the Company fails to exercise its Right of First Refusal within 30 days after the date when it received the Transfer Notice, the Optionee may, not</w:t>
      </w:r>
    </w:p>
    <w:p>
      <w:pPr>
        <w:spacing w:after="0" w:line="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60"/>
          </w:cols>
          <w:pgMar w:left="500" w:top="268" w:right="539" w:bottom="1440" w:gutter="0" w:footer="0" w:header="0"/>
        </w:sectPr>
      </w:pPr>
    </w:p>
    <w:bookmarkStart w:id="412" w:name="page413"/>
    <w:bookmarkEnd w:id="412"/>
    <w:p>
      <w:pPr>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later than 90 days following receipt of the Transfer Notice by the Company, conclude a transfer of the Shares subject to the Transfer Notice on the terms and conditions described in the Transfer Notice, provided that any such sale is made in compliance with applicable federal, State and foreign securities laws and not in violation of any other contractual restrictions to which the Optionee is bound. Any proposed transfer on terms and conditions different from those described in the Transfer Notice, as well as any subsequent proposed transfer by the Optionee, shall again be subject to the Right of First Refusal and shall require compliance with the procedure described in Subsection (a)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spacing w:after="0" w:line="169" w:lineRule="exact"/>
        <w:rPr>
          <w:sz w:val="20"/>
          <w:szCs w:val="20"/>
          <w:color w:val="auto"/>
        </w:rPr>
      </w:pPr>
    </w:p>
    <w:p>
      <w:pPr>
        <w:ind w:right="120" w:firstLine="981"/>
        <w:spacing w:after="0" w:line="25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Additional or Exchanged Securities and Property</w:t>
      </w:r>
      <w:r>
        <w:rPr>
          <w:rFonts w:ascii="Times New Roman" w:cs="Times New Roman" w:eastAsia="Times New Roman" w:hAnsi="Times New Roman"/>
          <w:sz w:val="18"/>
          <w:szCs w:val="18"/>
          <w:color w:val="auto"/>
        </w:rPr>
        <w:t>. In the event of a merger or consolidation of the Company with or into another entity,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8 shall immediately be subject to the Right of First Refusal. Appropriate adjustments to reflect the exchange or distribution of such securities or property shall be made to the number and/or class of the Shares subject to this Section 8.</w:t>
      </w:r>
    </w:p>
    <w:p>
      <w:pPr>
        <w:spacing w:after="0" w:line="182" w:lineRule="exact"/>
        <w:rPr>
          <w:sz w:val="20"/>
          <w:szCs w:val="20"/>
          <w:color w:val="auto"/>
        </w:rPr>
      </w:pPr>
    </w:p>
    <w:p>
      <w:pPr>
        <w:ind w:right="100" w:firstLine="981"/>
        <w:spacing w:after="0" w:line="265"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Termination of Right of First Refusal</w:t>
      </w:r>
      <w:r>
        <w:rPr>
          <w:rFonts w:ascii="Times New Roman" w:cs="Times New Roman" w:eastAsia="Times New Roman" w:hAnsi="Times New Roman"/>
          <w:sz w:val="18"/>
          <w:szCs w:val="18"/>
          <w:color w:val="auto"/>
        </w:rPr>
        <w:t>. Any other provision of this Section 8 notwithstanding, in the event that the Stock is readily tradable on an established securities market when the Optionee desires to transfer Shares, the Company shall have no Right of First Refusal, and the Optionee shall have no obligation to comply with the procedures prescribed by Subsections (a) and (b) above.</w:t>
      </w:r>
    </w:p>
    <w:p>
      <w:pPr>
        <w:spacing w:after="0" w:line="169" w:lineRule="exact"/>
        <w:rPr>
          <w:sz w:val="20"/>
          <w:szCs w:val="20"/>
          <w:color w:val="auto"/>
        </w:rPr>
      </w:pPr>
    </w:p>
    <w:p>
      <w:pPr>
        <w:ind w:right="20" w:firstLine="981"/>
        <w:spacing w:after="0" w:line="254"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Permitted Transfers</w:t>
      </w:r>
      <w:r>
        <w:rPr>
          <w:rFonts w:ascii="Times New Roman" w:cs="Times New Roman" w:eastAsia="Times New Roman" w:hAnsi="Times New Roman"/>
          <w:sz w:val="18"/>
          <w:szCs w:val="18"/>
          <w:color w:val="auto"/>
        </w:rPr>
        <w:t>. This Section 8 shall not apply to (i) a transfer by beneficiary designation, will or intestate succession or (ii) a transfer to one or more members of 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Shares acquired under this Agreement, either under this Subsection (e) or after the Company has failed to exercise the Right of First Refusal, then this Agreement shall apply to the Transferee to the same extent as to the Optionee.</w:t>
      </w:r>
    </w:p>
    <w:p>
      <w:pPr>
        <w:spacing w:after="0" w:line="182" w:lineRule="exact"/>
        <w:rPr>
          <w:sz w:val="20"/>
          <w:szCs w:val="20"/>
          <w:color w:val="auto"/>
        </w:rPr>
      </w:pPr>
    </w:p>
    <w:p>
      <w:pPr>
        <w:ind w:right="40" w:firstLine="981"/>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Termination of Rights as Stockholder</w:t>
      </w:r>
      <w:r>
        <w:rPr>
          <w:rFonts w:ascii="Times New Roman" w:cs="Times New Roman" w:eastAsia="Times New Roman" w:hAnsi="Times New Roman"/>
          <w:sz w:val="18"/>
          <w:szCs w:val="18"/>
          <w:color w:val="auto"/>
        </w:rPr>
        <w:t>. If the Company makes available, at the time and place and in the amount and form provided in this Agreement, the consideration for the Shares to be purchased in accordance with this Section 8, then after such time the person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60"/>
          </w:cols>
          <w:pgMar w:left="500" w:top="268" w:right="539" w:bottom="1440" w:gutter="0" w:footer="0" w:header="0"/>
        </w:sectPr>
      </w:pPr>
    </w:p>
    <w:bookmarkStart w:id="413" w:name="page414"/>
    <w:bookmarkEnd w:id="413"/>
    <w:p>
      <w:pPr>
        <w:ind w:right="1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2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173" w:lineRule="exact"/>
        <w:rPr>
          <w:sz w:val="20"/>
          <w:szCs w:val="20"/>
          <w:color w:val="auto"/>
        </w:rPr>
      </w:pPr>
    </w:p>
    <w:p>
      <w:pPr>
        <w:jc w:val="both"/>
        <w:ind w:firstLine="981"/>
        <w:spacing w:after="0" w:line="265"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Assignment of Right of First Refusal</w:t>
      </w:r>
      <w:r>
        <w:rPr>
          <w:rFonts w:ascii="Times New Roman" w:cs="Times New Roman" w:eastAsia="Times New Roman" w:hAnsi="Times New Roman"/>
          <w:sz w:val="18"/>
          <w:szCs w:val="18"/>
          <w:color w:val="auto"/>
        </w:rPr>
        <w:t>. The Board of Directors may freely assign the Company’s Right of First Refusal, in whole or in part. Any person who accepts an assignment of the Right of First Refusal from the Company shall assume all of the Company’s rights and obligations under this Section 8.</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LEGALITY OF INITIAL ISSUANCE.</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 Shares shall be issued upon the exercise of this option unless and until the Company has determined that:</w:t>
      </w:r>
    </w:p>
    <w:p>
      <w:pPr>
        <w:spacing w:after="0" w:line="220" w:lineRule="exact"/>
        <w:rPr>
          <w:sz w:val="20"/>
          <w:szCs w:val="20"/>
          <w:color w:val="auto"/>
        </w:rPr>
      </w:pPr>
    </w:p>
    <w:p>
      <w:pPr>
        <w:ind w:right="220" w:firstLine="981"/>
        <w:spacing w:after="0" w:line="277" w:lineRule="auto"/>
        <w:rPr>
          <w:sz w:val="20"/>
          <w:szCs w:val="20"/>
          <w:color w:val="auto"/>
        </w:rPr>
      </w:pPr>
      <w:r>
        <w:rPr>
          <w:rFonts w:ascii="Times New Roman" w:cs="Times New Roman" w:eastAsia="Times New Roman" w:hAnsi="Times New Roman"/>
          <w:sz w:val="18"/>
          <w:szCs w:val="18"/>
          <w:color w:val="auto"/>
        </w:rPr>
        <w:t>(a)  It and the Optionee have taken any actions required to register the Shares under the Securities Act or to perfect an exemption from the registration requirements thereof;</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Any applicable listing requirement of any stock exchange or other securities market on which Stock is listed has been satisfied; and</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Any other applicable provision of federal, State or foreign law has been satisfied.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NO REGISTRATION RIGHTS.</w:t>
      </w:r>
    </w:p>
    <w:p>
      <w:pPr>
        <w:spacing w:after="0" w:line="118" w:lineRule="exact"/>
        <w:rPr>
          <w:sz w:val="20"/>
          <w:szCs w:val="20"/>
          <w:color w:val="auto"/>
        </w:rPr>
      </w:pPr>
    </w:p>
    <w:p>
      <w:pPr>
        <w:ind w:right="260" w:firstLine="436"/>
        <w:spacing w:after="0" w:line="308" w:lineRule="auto"/>
        <w:rPr>
          <w:sz w:val="20"/>
          <w:szCs w:val="20"/>
          <w:color w:val="auto"/>
        </w:rPr>
      </w:pPr>
      <w:r>
        <w:rPr>
          <w:rFonts w:ascii="Times New Roman" w:cs="Times New Roman" w:eastAsia="Times New Roman" w:hAnsi="Times New Roman"/>
          <w:sz w:val="17"/>
          <w:szCs w:val="17"/>
          <w:color w:val="auto"/>
        </w:rPr>
        <w:t>The Company may, but shall not be obligated to, register or qualify the sale of Shares under the Securities Act or any other applicable law. The Company shall not be obligated to take any affirmative action in order to cause the sale of Shares under this Agreement to comply with any law.</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RESTRICTIONS ON TRANSFER OF SHARES.</w:t>
      </w:r>
    </w:p>
    <w:p>
      <w:pPr>
        <w:spacing w:after="0" w:line="114" w:lineRule="exact"/>
        <w:rPr>
          <w:sz w:val="20"/>
          <w:szCs w:val="20"/>
          <w:color w:val="auto"/>
        </w:rPr>
      </w:pPr>
    </w:p>
    <w:p>
      <w:pPr>
        <w:ind w:right="20" w:firstLine="981"/>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Securities Law Restrictions</w:t>
      </w:r>
      <w:r>
        <w:rPr>
          <w:rFonts w:ascii="Times New Roman" w:cs="Times New Roman" w:eastAsia="Times New Roman" w:hAnsi="Times New Roman"/>
          <w:sz w:val="18"/>
          <w:szCs w:val="18"/>
          <w:color w:val="auto"/>
        </w:rPr>
        <w:t>. Regardless of whether the offering and sale of Shares under the Plan have been registered under the Securities Act or have been registered or qualified under the securities laws of any State, the Company at its discretion may impose restrictions upon the sale, pledge or other transfer of such Shares (including the placement of appropriate legends on stock certificates or the imposition of stop-transfer instructions) if, in the judgment of the Company, such restrictions are necessary or desirable in order to achieve compliance with the Securities Act, the securities laws of any State or any other law.</w:t>
      </w:r>
    </w:p>
    <w:p>
      <w:pPr>
        <w:spacing w:after="0" w:line="178" w:lineRule="exact"/>
        <w:rPr>
          <w:sz w:val="20"/>
          <w:szCs w:val="20"/>
          <w:color w:val="auto"/>
        </w:rPr>
      </w:pPr>
    </w:p>
    <w:p>
      <w:pPr>
        <w:ind w:right="20" w:firstLine="981"/>
        <w:spacing w:after="0" w:line="259"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Market Stand-Off</w:t>
      </w:r>
      <w:r>
        <w:rPr>
          <w:rFonts w:ascii="Times New Roman" w:cs="Times New Roman" w:eastAsia="Times New Roman" w:hAnsi="Times New Roman"/>
          <w:sz w:val="18"/>
          <w:szCs w:val="18"/>
          <w:color w:val="auto"/>
        </w:rPr>
        <w:t>. In connection with any underwritten public offering by the Company of its equity securities pursuant to an effective registration statement filed under the Securities Act, including the Company’s initial public offering, the Optionee or a Transferee shall not directly or indirectly sell, make any short sale of, loan, hypothecate, pledge, offer, grant or sell any option or other contract for the purchase of, purchase any option or other contract for</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60"/>
          </w:cols>
          <w:pgMar w:left="500" w:top="267" w:right="539" w:bottom="1440" w:gutter="0" w:footer="0" w:header="0"/>
        </w:sectPr>
      </w:pPr>
    </w:p>
    <w:bookmarkStart w:id="414" w:name="page415"/>
    <w:bookmarkEnd w:id="414"/>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2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the sale of, or otherwise dispose of or transfer, or agree to engage in any of the foregoing transactions with respect to, any Shares acquired under this Agreement without the prior written consent of the Company or its managing underwriter. Such restriction (the “</w:t>
      </w:r>
      <w:r>
        <w:rPr>
          <w:rFonts w:ascii="Times New Roman" w:cs="Times New Roman" w:eastAsia="Times New Roman" w:hAnsi="Times New Roman"/>
          <w:sz w:val="18"/>
          <w:szCs w:val="18"/>
          <w:b w:val="1"/>
          <w:bCs w:val="1"/>
          <w:i w:val="1"/>
          <w:iCs w:val="1"/>
          <w:color w:val="auto"/>
        </w:rPr>
        <w:t>Market Stand-Off</w:t>
      </w:r>
      <w:r>
        <w:rPr>
          <w:rFonts w:ascii="Times New Roman" w:cs="Times New Roman" w:eastAsia="Times New Roman" w:hAnsi="Times New Roman"/>
          <w:sz w:val="18"/>
          <w:szCs w:val="18"/>
          <w:color w:val="auto"/>
        </w:rPr>
        <w:t>”)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Subsection (b). This Subsection (b) shall not apply to Shares registered in the public offering under the Securities Act.</w:t>
      </w:r>
    </w:p>
    <w:p>
      <w:pPr>
        <w:spacing w:after="0" w:line="183" w:lineRule="exact"/>
        <w:rPr>
          <w:sz w:val="20"/>
          <w:szCs w:val="20"/>
          <w:color w:val="auto"/>
        </w:rPr>
      </w:pPr>
    </w:p>
    <w:p>
      <w:pPr>
        <w:ind w:right="180" w:firstLine="981"/>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Investment Intent at Grant</w:t>
      </w:r>
      <w:r>
        <w:rPr>
          <w:rFonts w:ascii="Times New Roman" w:cs="Times New Roman" w:eastAsia="Times New Roman" w:hAnsi="Times New Roman"/>
          <w:sz w:val="18"/>
          <w:szCs w:val="18"/>
          <w:color w:val="auto"/>
        </w:rPr>
        <w:t>. The Optionee represents and agrees that the Shares to be acquired upon exercising this option will be acquired for investment, and not with a view to the sale or distribution thereof.</w:t>
      </w:r>
    </w:p>
    <w:p>
      <w:pPr>
        <w:spacing w:after="0" w:line="155" w:lineRule="exact"/>
        <w:rPr>
          <w:sz w:val="20"/>
          <w:szCs w:val="20"/>
          <w:color w:val="auto"/>
        </w:rPr>
      </w:pPr>
    </w:p>
    <w:p>
      <w:pPr>
        <w:jc w:val="both"/>
        <w:ind w:right="120" w:firstLine="981"/>
        <w:spacing w:after="0" w:line="259"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Investment Intent at Exercise</w:t>
      </w:r>
      <w:r>
        <w:rPr>
          <w:rFonts w:ascii="Times New Roman" w:cs="Times New Roman" w:eastAsia="Times New Roman" w:hAnsi="Times New Roman"/>
          <w:sz w:val="18"/>
          <w:szCs w:val="18"/>
          <w:color w:val="auto"/>
        </w:rPr>
        <w:t>. In the event that the sale of Shares under the Plan is not registered under the Securities Act but an exemption is available that requires an investment representation or other representation, the Optionee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Legends</w:t>
      </w:r>
      <w:r>
        <w:rPr>
          <w:rFonts w:ascii="Times New Roman" w:cs="Times New Roman" w:eastAsia="Times New Roman" w:hAnsi="Times New Roman"/>
          <w:sz w:val="18"/>
          <w:szCs w:val="18"/>
          <w:color w:val="auto"/>
        </w:rPr>
        <w:t>. All certificates evidencing Shares purchased under this Agreement shall bear the following legend:</w:t>
      </w:r>
    </w:p>
    <w:p>
      <w:pPr>
        <w:spacing w:after="0" w:line="118" w:lineRule="exact"/>
        <w:rPr>
          <w:sz w:val="20"/>
          <w:szCs w:val="20"/>
          <w:color w:val="auto"/>
        </w:rPr>
      </w:pPr>
    </w:p>
    <w:p>
      <w:pPr>
        <w:ind w:left="980" w:right="280"/>
        <w:spacing w:after="0" w:line="252" w:lineRule="auto"/>
        <w:rPr>
          <w:sz w:val="20"/>
          <w:szCs w:val="20"/>
          <w:color w:val="auto"/>
        </w:rPr>
      </w:pPr>
      <w:r>
        <w:rPr>
          <w:rFonts w:ascii="Times New Roman" w:cs="Times New Roman" w:eastAsia="Times New Roman" w:hAnsi="Times New Roman"/>
          <w:sz w:val="18"/>
          <w:szCs w:val="18"/>
          <w:color w:val="auto"/>
        </w:rPr>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 TRANSFER OF THE SHARES AND CERTAIN REPURCHASE RIGHTS UPON TERMINATION OF SERVICE WITH THE COMPANY. THE SECRETARY OF THE COMPANY WILL UPON WRITTEN REQUEST FURNISH A COPY OF SUCH AGREEMENT TO THE HOLDER HEREOF WITHOUT CHARGE.”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500" w:top="267" w:right="519" w:bottom="1440" w:gutter="0" w:footer="0" w:header="0"/>
        </w:sectPr>
      </w:pPr>
    </w:p>
    <w:bookmarkStart w:id="415" w:name="page416"/>
    <w:bookmarkEnd w:id="415"/>
    <w:p>
      <w:pPr>
        <w:ind w:right="600"/>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All certificates evidencing Shares purchased under this Agreement in an unregistered transaction shall bear the following legend (and such other restrictive legends as are required or deemed advisable under the provisions of any applicable law):</w:t>
      </w:r>
    </w:p>
    <w:p>
      <w:pPr>
        <w:spacing w:after="0" w:line="57" w:lineRule="exact"/>
        <w:rPr>
          <w:sz w:val="20"/>
          <w:szCs w:val="20"/>
          <w:color w:val="auto"/>
        </w:rPr>
      </w:pPr>
    </w:p>
    <w:p>
      <w:pPr>
        <w:ind w:left="980"/>
        <w:spacing w:after="0" w:line="257" w:lineRule="auto"/>
        <w:rPr>
          <w:sz w:val="20"/>
          <w:szCs w:val="20"/>
          <w:color w:val="auto"/>
        </w:rPr>
      </w:pPr>
      <w:r>
        <w:rPr>
          <w:rFonts w:ascii="Times New Roman" w:cs="Times New Roman" w:eastAsia="Times New Roman" w:hAnsi="Times New Roman"/>
          <w:sz w:val="18"/>
          <w:szCs w:val="18"/>
          <w:color w:val="auto"/>
        </w:rPr>
        <w:t>“THE SHARES REPRESENTED HEREBY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178" w:lineRule="exact"/>
        <w:rPr>
          <w:sz w:val="20"/>
          <w:szCs w:val="20"/>
          <w:color w:val="auto"/>
        </w:rPr>
      </w:pPr>
    </w:p>
    <w:p>
      <w:pPr>
        <w:jc w:val="both"/>
        <w:ind w:right="80" w:firstLine="981"/>
        <w:spacing w:after="0" w:line="265"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Removal of Legends</w:t>
      </w:r>
      <w:r>
        <w:rPr>
          <w:rFonts w:ascii="Times New Roman" w:cs="Times New Roman" w:eastAsia="Times New Roman" w:hAnsi="Times New Roman"/>
          <w:sz w:val="18"/>
          <w:szCs w:val="18"/>
          <w:color w:val="auto"/>
        </w:rPr>
        <w:t>. If, in the opinion of the Company and its counsel, any legend placed on a stock certificate representing Shares sold under this Agreement is no longer required, the holder of such certificate shall be entitled to exchange such certificate for a certificate representing the same number of Shares but without such legend.</w:t>
      </w:r>
    </w:p>
    <w:p>
      <w:pPr>
        <w:spacing w:after="0" w:line="169" w:lineRule="exact"/>
        <w:rPr>
          <w:sz w:val="20"/>
          <w:szCs w:val="20"/>
          <w:color w:val="auto"/>
        </w:rPr>
      </w:pPr>
    </w:p>
    <w:p>
      <w:pPr>
        <w:ind w:firstLine="981"/>
        <w:spacing w:after="0" w:line="282"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Any determination by the Company and its counsel in connection with any of the matters set forth in this Section 11 shall be conclusive and binding on the Optionee and all other persons.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ADJUSTMENT OF SHARES.</w:t>
      </w:r>
    </w:p>
    <w:p>
      <w:pPr>
        <w:spacing w:after="0" w:line="118" w:lineRule="exact"/>
        <w:rPr>
          <w:sz w:val="20"/>
          <w:szCs w:val="20"/>
          <w:color w:val="auto"/>
        </w:rPr>
      </w:pPr>
    </w:p>
    <w:p>
      <w:pPr>
        <w:jc w:val="both"/>
        <w:ind w:right="20" w:firstLine="436"/>
        <w:spacing w:after="0" w:line="257" w:lineRule="auto"/>
        <w:rPr>
          <w:sz w:val="20"/>
          <w:szCs w:val="20"/>
          <w:color w:val="auto"/>
        </w:rPr>
      </w:pPr>
      <w:r>
        <w:rPr>
          <w:rFonts w:ascii="Times New Roman" w:cs="Times New Roman" w:eastAsia="Times New Roman" w:hAnsi="Times New Roman"/>
          <w:sz w:val="18"/>
          <w:szCs w:val="18"/>
          <w:color w:val="auto"/>
        </w:rPr>
        <w:t>In the event of any transaction described in Section 8(a) of the Plan, the terms of this option (including, without limitation, the number and kind of Shares subject to this option and the Exercise Price) shall be adjusted as set forth in Section 8(a) of the Plan. In the event that the Company is a party to a merger or consolidation or in the event of a sale of all or substantially all of the Company’s stock or assets, this option shall be subject to the treatment provided by the Board of Directors in its sole discretion, as provided in Section 8(b) of the Plan.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 MISCELLANEOUS PROVISIONS.</w:t>
      </w:r>
    </w:p>
    <w:p>
      <w:pPr>
        <w:spacing w:after="0" w:line="114" w:lineRule="exact"/>
        <w:rPr>
          <w:sz w:val="20"/>
          <w:szCs w:val="20"/>
          <w:color w:val="auto"/>
        </w:rPr>
      </w:pPr>
    </w:p>
    <w:p>
      <w:pPr>
        <w:ind w:right="140" w:firstLine="981"/>
        <w:spacing w:after="0" w:line="26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Rights as a Stockholder</w:t>
      </w:r>
      <w:r>
        <w:rPr>
          <w:rFonts w:ascii="Times New Roman" w:cs="Times New Roman" w:eastAsia="Times New Roman" w:hAnsi="Times New Roman"/>
          <w:sz w:val="18"/>
          <w:szCs w:val="18"/>
          <w:color w:val="auto"/>
        </w:rPr>
        <w:t>. Neither the Optionee nor the Optionee’s representative shall have any rights as a stockholder with respect to any Shares subject to this option until the Optionee or the Optionee’s representative becomes entitled to receive such Shares by filing a notice of exercise and paying the Purchase Price pursuant to Sections 4 and 5.</w:t>
      </w:r>
    </w:p>
    <w:p>
      <w:pPr>
        <w:spacing w:after="0" w:line="169" w:lineRule="exact"/>
        <w:rPr>
          <w:sz w:val="20"/>
          <w:szCs w:val="20"/>
          <w:color w:val="auto"/>
        </w:rPr>
      </w:pPr>
    </w:p>
    <w:p>
      <w:pPr>
        <w:ind w:right="240" w:firstLine="981"/>
        <w:spacing w:after="0" w:line="259"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No Retention Rights</w:t>
      </w:r>
      <w:r>
        <w:rPr>
          <w:rFonts w:ascii="Times New Roman" w:cs="Times New Roman" w:eastAsia="Times New Roman" w:hAnsi="Times New Roman"/>
          <w:sz w:val="18"/>
          <w:szCs w:val="18"/>
          <w:color w:val="auto"/>
        </w:rPr>
        <w:t>. Nothing in this option or in the Plan shall confer upon the Optionee any right to continue in Service for any period of specific duration or interfere with or otherwise restrict in any way the rights of the Company (or any Parent or Subsidiary employing or retaining the Optionee) or of the Optionee, which rights are hereby expressly reserved by each, to terminate his or her Service at any time and for any reason, with or without cause.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80"/>
          </w:cols>
          <w:pgMar w:left="500" w:top="268" w:right="519" w:bottom="1440" w:gutter="0" w:footer="0" w:header="0"/>
        </w:sectPr>
      </w:pPr>
    </w:p>
    <w:bookmarkStart w:id="416" w:name="page417"/>
    <w:bookmarkEnd w:id="416"/>
    <w:p>
      <w:pPr>
        <w:ind w:right="160" w:firstLine="981"/>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Any notice required by the terms of this Agreement shall be given in writing. It shall be deemed effective upon (i) personal delivery, (ii) deposit with the United States Postal Service, by registered or certified mail, with postage and fees prepaid or (iii) deposit with Federal Express Corporation, with shipping charges prepaid. Notice shall be addressed to the Company at its principal executive office and to the Optionee at the address that he or she most recently provided to the Company in accordance with this Subsection (c).</w:t>
      </w:r>
    </w:p>
    <w:p>
      <w:pPr>
        <w:spacing w:after="0" w:line="175" w:lineRule="exact"/>
        <w:rPr>
          <w:sz w:val="20"/>
          <w:szCs w:val="20"/>
          <w:color w:val="auto"/>
        </w:rPr>
      </w:pPr>
    </w:p>
    <w:p>
      <w:pPr>
        <w:ind w:right="300" w:firstLine="981"/>
        <w:spacing w:after="0" w:line="259"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Modifications and Waivers</w:t>
      </w:r>
      <w:r>
        <w:rPr>
          <w:rFonts w:ascii="Times New Roman" w:cs="Times New Roman" w:eastAsia="Times New Roman" w:hAnsi="Times New Roman"/>
          <w:sz w:val="18"/>
          <w:szCs w:val="18"/>
          <w:color w:val="auto"/>
        </w:rPr>
        <w:t>. No provision of this Agreement shall be modified, waived or discharged unless the modification, waiver or discharge is agreed to in writing and signed by the Optionee and by an authorized officer of the Company (other than the Optionee).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75" w:lineRule="exact"/>
        <w:rPr>
          <w:sz w:val="20"/>
          <w:szCs w:val="20"/>
          <w:color w:val="auto"/>
        </w:rPr>
      </w:pPr>
    </w:p>
    <w:p>
      <w:pPr>
        <w:ind w:right="40" w:firstLine="981"/>
        <w:spacing w:after="0" w:line="265"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The Notice of Stock Option Grant, this Agreement and the Plan constitute the entire contract between the parties hereto with regard to the subject matter hereof. They supersede any other agreements, representations or understandings (whether oral or written and whether express or implied) that relate to the subject matter hereof.</w:t>
      </w:r>
    </w:p>
    <w:p>
      <w:pPr>
        <w:spacing w:after="0" w:line="169" w:lineRule="exact"/>
        <w:rPr>
          <w:sz w:val="20"/>
          <w:szCs w:val="20"/>
          <w:color w:val="auto"/>
        </w:rPr>
      </w:pPr>
    </w:p>
    <w:p>
      <w:pPr>
        <w:ind w:right="140" w:firstLine="981"/>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Choice of Law</w:t>
      </w:r>
      <w:r>
        <w:rPr>
          <w:rFonts w:ascii="Times New Roman" w:cs="Times New Roman" w:eastAsia="Times New Roman" w:hAnsi="Times New Roman"/>
          <w:sz w:val="18"/>
          <w:szCs w:val="18"/>
          <w:color w:val="auto"/>
        </w:rPr>
        <w:t>. This Agreement shall be governed by, and construed in accordance with, the laws of the State of Delaware, as such laws are applied to contracts entered into and performed in such State.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 ACKNOWLEDGEMENTS OF THE OPTIONEE.</w:t>
      </w:r>
    </w:p>
    <w:p>
      <w:pPr>
        <w:spacing w:after="0" w:line="114" w:lineRule="exact"/>
        <w:rPr>
          <w:sz w:val="20"/>
          <w:szCs w:val="20"/>
          <w:color w:val="auto"/>
        </w:rPr>
      </w:pPr>
    </w:p>
    <w:p>
      <w:pPr>
        <w:ind w:firstLine="981"/>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Tax Consequences</w:t>
      </w:r>
      <w:r>
        <w:rPr>
          <w:rFonts w:ascii="Times New Roman" w:cs="Times New Roman" w:eastAsia="Times New Roman" w:hAnsi="Times New Roman"/>
          <w:sz w:val="18"/>
          <w:szCs w:val="18"/>
          <w:color w:val="auto"/>
        </w:rPr>
        <w:t>. The Optionee agrees that the Company does not have a duty to design or administer the Plan or its other compensation programs in a manner that minimizes the Optionee’s tax liabilities. The Optionee shall not make any claim against the Company or its Board of Directors, officers or employees related to tax liabilities arising from this option or the Optionee’s other compensation. In particular, the Optionee acknowledges that this option is exempt from Section 409A of the Code only if the Exercise Price is at least equal to the Fair Market Value per Share on the Date of Grant. Since Shares are not traded on an established securities market, the determination of their Fair Market Value is made by the Board of Directors or by an independent valuation firm retained by the Company. The Optionee acknowledges that there is no guarantee in either case that the Internal Revenue Service will agree with the valuation, and the Optionee shall not make any claim against the Company or its Board of Directors, officers or employees in the event that the Internal Revenue Service asserts that the valuation was too low.</w:t>
      </w:r>
    </w:p>
    <w:p>
      <w:pPr>
        <w:spacing w:after="0" w:line="185" w:lineRule="exact"/>
        <w:rPr>
          <w:sz w:val="20"/>
          <w:szCs w:val="20"/>
          <w:color w:val="auto"/>
        </w:rPr>
      </w:pPr>
    </w:p>
    <w:p>
      <w:pPr>
        <w:ind w:right="80" w:firstLine="981"/>
        <w:spacing w:after="0" w:line="25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Electronic Delivery of Documents</w:t>
      </w:r>
      <w:r>
        <w:rPr>
          <w:rFonts w:ascii="Times New Roman" w:cs="Times New Roman" w:eastAsia="Times New Roman" w:hAnsi="Times New Roman"/>
          <w:sz w:val="18"/>
          <w:szCs w:val="18"/>
          <w:color w:val="auto"/>
        </w:rPr>
        <w:t>. The Optionee agrees to accept by email all documents relating to the Company, the Plan or this option and all other documents that the Company is required to deliver to its security holders (including, without limitation, disclosures that may be required by the Securities and Exchange Commission). The Optionee also agrees that the Company may deliver these documents by posting them on a website maintained by the Company or by a third party under contract with the Company. If the Company posts these documents on a website, it shall notify the Optionee by email of their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60"/>
          </w:cols>
          <w:pgMar w:left="500" w:top="264" w:right="539" w:bottom="1440" w:gutter="0" w:footer="0" w:header="0"/>
        </w:sectPr>
      </w:pPr>
    </w:p>
    <w:bookmarkStart w:id="417" w:name="page418"/>
    <w:bookmarkEnd w:id="417"/>
    <w:p>
      <w:pPr>
        <w:ind w:right="28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2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availability. The Optionee acknowledges that he or she may incur costs in connection with electronic delivery, including the cost of accessing the internet and printing fees, and that an interruption of internet access may interfere with his or her ability to access the documents. This consent shall remain in effect until this option expires or until the Optionee gives the Company written notice that it should deliver paper documents.</w:t>
      </w:r>
    </w:p>
    <w:p>
      <w:pPr>
        <w:spacing w:after="0" w:line="173" w:lineRule="exact"/>
        <w:rPr>
          <w:sz w:val="20"/>
          <w:szCs w:val="20"/>
          <w:color w:val="auto"/>
        </w:rPr>
      </w:pPr>
    </w:p>
    <w:p>
      <w:pPr>
        <w:ind w:firstLine="981"/>
        <w:spacing w:after="0" w:line="25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No Notice of Expiration Date</w:t>
      </w:r>
      <w:r>
        <w:rPr>
          <w:rFonts w:ascii="Times New Roman" w:cs="Times New Roman" w:eastAsia="Times New Roman" w:hAnsi="Times New Roman"/>
          <w:sz w:val="18"/>
          <w:szCs w:val="18"/>
          <w:color w:val="auto"/>
        </w:rPr>
        <w:t>. The Optionee agrees that the Company and its officers, employees, attorneys and agents do not have any obligation to notify him or her prior to the expiration of this option pursuant to Section 6, regardless of whether this option will expire at the end of its full term or on an earlier date related to the termination of the Optionee’s Service. The Optionee further agrees that he or she has the sole responsibility for monitoring the expiration of this option and for exercising this option, if at all, before it expires. This Subsection (c) shall supersede any contrary representation that may have been made, orally or in writing, by the Company or by an officer, employee, attorney or agent of the Company.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15. DEFINITIONS.</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mean this Stock Option Agreement.</w:t>
      </w:r>
    </w:p>
    <w:p>
      <w:pPr>
        <w:spacing w:after="0" w:line="220" w:lineRule="exact"/>
        <w:rPr>
          <w:sz w:val="20"/>
          <w:szCs w:val="20"/>
          <w:color w:val="auto"/>
        </w:rPr>
      </w:pPr>
    </w:p>
    <w:p>
      <w:pPr>
        <w:ind w:right="240" w:firstLine="981"/>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shall mean the Board of Directors of the Company, as constituted from time to time or, if a Committee has been appointed, such Committee.</w:t>
      </w:r>
    </w:p>
    <w:p>
      <w:pPr>
        <w:spacing w:after="0" w:line="155" w:lineRule="exact"/>
        <w:rPr>
          <w:sz w:val="20"/>
          <w:szCs w:val="20"/>
          <w:color w:val="auto"/>
        </w:rPr>
      </w:pPr>
    </w:p>
    <w:p>
      <w:pPr>
        <w:ind w:left="980"/>
        <w:spacing w:after="0"/>
        <w:tabs>
          <w:tab w:leader="none" w:pos="1380" w:val="left"/>
        </w:tabs>
        <w:rPr>
          <w:sz w:val="20"/>
          <w:szCs w:val="20"/>
          <w:color w:val="auto"/>
        </w:rPr>
      </w:pPr>
      <w:r>
        <w:rPr>
          <w:rFonts w:ascii="Times New Roman" w:cs="Times New Roman" w:eastAsia="Times New Roman" w:hAnsi="Times New Roman"/>
          <w:sz w:val="18"/>
          <w:szCs w:val="18"/>
          <w:color w:val="auto"/>
        </w:rPr>
        <w:t xml:space="preserve">(c) </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shall mean the Internal Revenue Code of 1986, as amended.</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shall mean a committee of the Board of Directors, as described in Section 2 of the Plan.</w:t>
      </w:r>
    </w:p>
    <w:p>
      <w:pPr>
        <w:spacing w:after="0" w:line="220" w:lineRule="exact"/>
        <w:rPr>
          <w:sz w:val="20"/>
          <w:szCs w:val="20"/>
          <w:color w:val="auto"/>
        </w:rPr>
      </w:pPr>
    </w:p>
    <w:p>
      <w:pPr>
        <w:ind w:left="980"/>
        <w:spacing w:after="0"/>
        <w:tabs>
          <w:tab w:leader="none" w:pos="1380" w:val="left"/>
        </w:tabs>
        <w:rPr>
          <w:sz w:val="20"/>
          <w:szCs w:val="20"/>
          <w:color w:val="auto"/>
        </w:rPr>
      </w:pPr>
      <w:r>
        <w:rPr>
          <w:rFonts w:ascii="Times New Roman" w:cs="Times New Roman" w:eastAsia="Times New Roman" w:hAnsi="Times New Roman"/>
          <w:sz w:val="18"/>
          <w:szCs w:val="18"/>
          <w:color w:val="auto"/>
        </w:rPr>
        <w:t xml:space="preserve">(e) </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shall mean Omada Health, Inc., a Delaware corporation.</w:t>
      </w:r>
    </w:p>
    <w:p>
      <w:pPr>
        <w:spacing w:after="0" w:line="220" w:lineRule="exact"/>
        <w:rPr>
          <w:sz w:val="20"/>
          <w:szCs w:val="20"/>
          <w:color w:val="auto"/>
        </w:rPr>
      </w:pPr>
    </w:p>
    <w:p>
      <w:pPr>
        <w:ind w:right="340" w:firstLine="981"/>
        <w:spacing w:after="0" w:line="28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xml:space="preserve">” shall mean a person who performs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services for the Company, a Parent or a Subsidiary as a consultant or advisor, excluding Employees and Outside Directors.</w:t>
      </w:r>
    </w:p>
    <w:p>
      <w:pPr>
        <w:spacing w:after="0" w:line="155" w:lineRule="exact"/>
        <w:rPr>
          <w:sz w:val="20"/>
          <w:szCs w:val="20"/>
          <w:color w:val="auto"/>
        </w:rPr>
      </w:pPr>
    </w:p>
    <w:p>
      <w:pPr>
        <w:ind w:right="180" w:firstLine="981"/>
        <w:spacing w:after="0" w:line="28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shall mean the date of grant specified in the Notice of Stock Option Grant, which date shall be the later of (i) the date on which the Board of Directors resolved to grant this option or (ii) the first day of the Optionee’s Service.</w:t>
      </w:r>
    </w:p>
    <w:p>
      <w:pPr>
        <w:spacing w:after="0" w:line="155" w:lineRule="exact"/>
        <w:rPr>
          <w:sz w:val="20"/>
          <w:szCs w:val="20"/>
          <w:color w:val="auto"/>
        </w:rPr>
      </w:pPr>
    </w:p>
    <w:p>
      <w:pPr>
        <w:ind w:right="660" w:firstLine="981"/>
        <w:spacing w:after="0" w:line="28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shall mean that the Optionee is unable to engage in any substantial gainful activity by reason of any medically determinable physical or mental impairment.</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shall mean any individual who is a common-law employee of the Company, a Parent or a Subsidiary.</w:t>
      </w:r>
    </w:p>
    <w:p>
      <w:pPr>
        <w:spacing w:after="0" w:line="220" w:lineRule="exact"/>
        <w:rPr>
          <w:sz w:val="20"/>
          <w:szCs w:val="20"/>
          <w:color w:val="auto"/>
        </w:rPr>
      </w:pPr>
    </w:p>
    <w:p>
      <w:pPr>
        <w:ind w:right="380" w:firstLine="981"/>
        <w:spacing w:after="0" w:line="282"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shall mean the amount for which one Share may be purchased upon exercise of this option, as specified in the Notice of Stock Option Grant.</w:t>
      </w:r>
    </w:p>
    <w:p>
      <w:pPr>
        <w:spacing w:after="0" w:line="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00"/>
          </w:cols>
          <w:pgMar w:left="500" w:top="267" w:right="599" w:bottom="1440" w:gutter="0" w:footer="0" w:header="0"/>
        </w:sectPr>
      </w:pPr>
    </w:p>
    <w:bookmarkStart w:id="418" w:name="page419"/>
    <w:bookmarkEnd w:id="418"/>
    <w:p>
      <w:pPr>
        <w:ind w:right="500" w:firstLine="98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2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(k)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shall mean the fair market value of a Share, as determined by the Board of Directors in good faith. Such determination shall be conclusive and binding on all persons.</w:t>
      </w:r>
    </w:p>
    <w:p>
      <w:pPr>
        <w:spacing w:after="0" w:line="155" w:lineRule="exact"/>
        <w:rPr>
          <w:sz w:val="20"/>
          <w:szCs w:val="20"/>
          <w:color w:val="auto"/>
        </w:rPr>
      </w:pPr>
    </w:p>
    <w:p>
      <w:pPr>
        <w:ind w:right="320" w:firstLine="981"/>
        <w:spacing w:after="0" w:line="282"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b w:val="1"/>
          <w:bCs w:val="1"/>
          <w:color w:val="auto"/>
        </w:rPr>
        <w:t>Immediate Family</w:t>
      </w:r>
      <w:r>
        <w:rPr>
          <w:rFonts w:ascii="Times New Roman" w:cs="Times New Roman" w:eastAsia="Times New Roman" w:hAnsi="Times New Roman"/>
          <w:sz w:val="18"/>
          <w:szCs w:val="18"/>
          <w:color w:val="auto"/>
        </w:rPr>
        <w:t>” shall mean any child, stepchild, grandchild, parent, stepparent, grandparent, spouse, sibling, mother-in-law, father-in-law, son-in-law, daughter-in- law, brother-in-law or sister-in-law and shall include adoptive relationships.</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ISO</w:t>
      </w:r>
      <w:r>
        <w:rPr>
          <w:rFonts w:ascii="Times New Roman" w:cs="Times New Roman" w:eastAsia="Times New Roman" w:hAnsi="Times New Roman"/>
          <w:sz w:val="18"/>
          <w:szCs w:val="18"/>
          <w:color w:val="auto"/>
        </w:rPr>
        <w:t>” shall mean an employee incentive stock option described in Section 422(b) of the Code.</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color w:val="auto"/>
        </w:rPr>
        <w:t>Notice of Stock Option Grant</w:t>
      </w:r>
      <w:r>
        <w:rPr>
          <w:rFonts w:ascii="Times New Roman" w:cs="Times New Roman" w:eastAsia="Times New Roman" w:hAnsi="Times New Roman"/>
          <w:sz w:val="18"/>
          <w:szCs w:val="18"/>
          <w:color w:val="auto"/>
        </w:rPr>
        <w:t>” shall mean the document so entitled to which this Agreement is attached.</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color w:val="auto"/>
        </w:rPr>
        <w:t>NSO</w:t>
      </w:r>
      <w:r>
        <w:rPr>
          <w:rFonts w:ascii="Times New Roman" w:cs="Times New Roman" w:eastAsia="Times New Roman" w:hAnsi="Times New Roman"/>
          <w:sz w:val="18"/>
          <w:szCs w:val="18"/>
          <w:color w:val="auto"/>
        </w:rPr>
        <w:t>” shall mean a stock option not described in Section 422(b) or 423(b) of the Code.</w:t>
      </w:r>
    </w:p>
    <w:p>
      <w:pPr>
        <w:spacing w:after="0" w:line="220" w:lineRule="exact"/>
        <w:rPr>
          <w:sz w:val="20"/>
          <w:szCs w:val="20"/>
          <w:color w:val="auto"/>
        </w:rPr>
      </w:pPr>
    </w:p>
    <w:p>
      <w:pPr>
        <w:ind w:left="980"/>
        <w:spacing w:after="0"/>
        <w:tabs>
          <w:tab w:leader="none" w:pos="1380" w:val="left"/>
        </w:tabs>
        <w:rPr>
          <w:sz w:val="20"/>
          <w:szCs w:val="20"/>
          <w:color w:val="auto"/>
        </w:rPr>
      </w:pPr>
      <w:r>
        <w:rPr>
          <w:rFonts w:ascii="Times New Roman" w:cs="Times New Roman" w:eastAsia="Times New Roman" w:hAnsi="Times New Roman"/>
          <w:sz w:val="18"/>
          <w:szCs w:val="18"/>
          <w:color w:val="auto"/>
        </w:rPr>
        <w:t xml:space="preserve">(p) </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Optionee</w:t>
      </w:r>
      <w:r>
        <w:rPr>
          <w:rFonts w:ascii="Times New Roman" w:cs="Times New Roman" w:eastAsia="Times New Roman" w:hAnsi="Times New Roman"/>
          <w:sz w:val="17"/>
          <w:szCs w:val="17"/>
          <w:color w:val="auto"/>
        </w:rPr>
        <w:t>” shall mean the person named in the Notice of Stock Option Grant.</w:t>
      </w:r>
    </w:p>
    <w:p>
      <w:pPr>
        <w:spacing w:after="0" w:line="220" w:lineRule="exact"/>
        <w:rPr>
          <w:sz w:val="20"/>
          <w:szCs w:val="20"/>
          <w:color w:val="auto"/>
        </w:rPr>
      </w:pPr>
    </w:p>
    <w:p>
      <w:pPr>
        <w:ind w:left="980"/>
        <w:spacing w:after="0"/>
        <w:tabs>
          <w:tab w:leader="none" w:pos="1380" w:val="left"/>
        </w:tabs>
        <w:rPr>
          <w:sz w:val="20"/>
          <w:szCs w:val="20"/>
          <w:color w:val="auto"/>
        </w:rPr>
      </w:pPr>
      <w:r>
        <w:rPr>
          <w:rFonts w:ascii="Times New Roman" w:cs="Times New Roman" w:eastAsia="Times New Roman" w:hAnsi="Times New Roman"/>
          <w:sz w:val="18"/>
          <w:szCs w:val="18"/>
          <w:color w:val="auto"/>
        </w:rPr>
        <w:t xml:space="preserve">(q) </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Outside Director</w:t>
      </w:r>
      <w:r>
        <w:rPr>
          <w:rFonts w:ascii="Times New Roman" w:cs="Times New Roman" w:eastAsia="Times New Roman" w:hAnsi="Times New Roman"/>
          <w:sz w:val="17"/>
          <w:szCs w:val="17"/>
          <w:color w:val="auto"/>
        </w:rPr>
        <w:t>” shall mean a member of the Board of Directors who is not an Employee.</w:t>
      </w:r>
    </w:p>
    <w:p>
      <w:pPr>
        <w:spacing w:after="0" w:line="220" w:lineRule="exact"/>
        <w:rPr>
          <w:sz w:val="20"/>
          <w:szCs w:val="20"/>
          <w:color w:val="auto"/>
        </w:rPr>
      </w:pPr>
    </w:p>
    <w:p>
      <w:pPr>
        <w:ind w:firstLine="981"/>
        <w:spacing w:after="0" w:line="265"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shall mean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w:t>
      </w:r>
    </w:p>
    <w:p>
      <w:pPr>
        <w:spacing w:after="0" w:line="1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shall mean the Omada Health, Inc. 2011 Stock Plan, as in effect on the Date of Grant.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shall mean the Exercise Price multiplied by the number of Shares with respect to which this option is being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w:t>
      </w:r>
    </w:p>
    <w:p>
      <w:pPr>
        <w:spacing w:after="0" w:line="198" w:lineRule="exact"/>
        <w:rPr>
          <w:sz w:val="20"/>
          <w:szCs w:val="20"/>
          <w:color w:val="auto"/>
        </w:rPr>
      </w:pPr>
    </w:p>
    <w:p>
      <w:pPr>
        <w:ind w:right="140" w:firstLine="981"/>
        <w:spacing w:after="0" w:line="282"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b w:val="1"/>
          <w:bCs w:val="1"/>
          <w:color w:val="auto"/>
        </w:rPr>
        <w:t>Repurchase Period</w:t>
      </w:r>
      <w:r>
        <w:rPr>
          <w:rFonts w:ascii="Times New Roman" w:cs="Times New Roman" w:eastAsia="Times New Roman" w:hAnsi="Times New Roman"/>
          <w:sz w:val="18"/>
          <w:szCs w:val="18"/>
          <w:color w:val="auto"/>
        </w:rPr>
        <w:t>” shall mean a period of 90 consecutive days commencing on the date when the Optionee’s Service terminates for any reason, including (without limitation) death or disability.</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b w:val="1"/>
          <w:bCs w:val="1"/>
          <w:color w:val="auto"/>
        </w:rPr>
        <w:t xml:space="preserve">   Restricted Share</w:t>
      </w:r>
      <w:r>
        <w:rPr>
          <w:rFonts w:ascii="Times New Roman" w:cs="Times New Roman" w:eastAsia="Times New Roman" w:hAnsi="Times New Roman"/>
          <w:sz w:val="18"/>
          <w:szCs w:val="18"/>
          <w:color w:val="auto"/>
        </w:rPr>
        <w:t>” shall mean a Share that is subject to the Right of Repurchase.</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shall mean the Company’s right of first refusal described in Section 8.</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b w:val="1"/>
          <w:bCs w:val="1"/>
          <w:color w:val="auto"/>
        </w:rPr>
        <w:t>Right of Repurchase</w:t>
      </w:r>
      <w:r>
        <w:rPr>
          <w:rFonts w:ascii="Times New Roman" w:cs="Times New Roman" w:eastAsia="Times New Roman" w:hAnsi="Times New Roman"/>
          <w:sz w:val="18"/>
          <w:szCs w:val="18"/>
          <w:color w:val="auto"/>
        </w:rPr>
        <w:t>” shall mean the Company’s right of repurchase described in Section 7.</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80"/>
          </w:cols>
          <w:pgMar w:left="500" w:top="263" w:right="519" w:bottom="1440" w:gutter="0" w:footer="0" w:header="0"/>
        </w:sectPr>
      </w:pPr>
    </w:p>
    <w:bookmarkStart w:id="419" w:name="page420"/>
    <w:bookmarkEnd w:id="41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(y)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b w:val="1"/>
          <w:bCs w:val="1"/>
          <w:color w:val="auto"/>
        </w:rPr>
        <w:t>Service</w:t>
      </w:r>
      <w:r>
        <w:rPr>
          <w:rFonts w:ascii="Times New Roman" w:cs="Times New Roman" w:eastAsia="Times New Roman" w:hAnsi="Times New Roman"/>
          <w:sz w:val="18"/>
          <w:szCs w:val="18"/>
          <w:color w:val="auto"/>
        </w:rPr>
        <w:t>” shall mean service as an Employee, Outside Director or Consultant.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shall mean one share of Stock, as adjusted in accordance with Section 8 of the Plan (if applicable).</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shall mean the Common Stock of the Company.</w:t>
      </w:r>
    </w:p>
    <w:p>
      <w:pPr>
        <w:spacing w:after="0" w:line="220" w:lineRule="exact"/>
        <w:rPr>
          <w:sz w:val="20"/>
          <w:szCs w:val="20"/>
          <w:color w:val="auto"/>
        </w:rPr>
      </w:pPr>
    </w:p>
    <w:p>
      <w:pPr>
        <w:ind w:firstLine="981"/>
        <w:spacing w:after="0" w:line="265" w:lineRule="auto"/>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shall mean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w:t>
      </w:r>
    </w:p>
    <w:p>
      <w:pPr>
        <w:spacing w:after="0" w:line="169" w:lineRule="exact"/>
        <w:rPr>
          <w:sz w:val="20"/>
          <w:szCs w:val="20"/>
          <w:color w:val="auto"/>
        </w:rPr>
      </w:pPr>
    </w:p>
    <w:p>
      <w:pPr>
        <w:ind w:left="980"/>
        <w:spacing w:after="0"/>
        <w:tabs>
          <w:tab w:leader="none" w:pos="1480" w:val="left"/>
        </w:tabs>
        <w:rPr>
          <w:sz w:val="20"/>
          <w:szCs w:val="20"/>
          <w:color w:val="auto"/>
        </w:rPr>
      </w:pPr>
      <w:r>
        <w:rPr>
          <w:rFonts w:ascii="Times New Roman" w:cs="Times New Roman" w:eastAsia="Times New Roman" w:hAnsi="Times New Roman"/>
          <w:sz w:val="18"/>
          <w:szCs w:val="18"/>
          <w:color w:val="auto"/>
        </w:rPr>
        <w:t xml:space="preserve">(dd) </w:t>
      </w:r>
      <w:r>
        <w:rPr>
          <w:sz w:val="20"/>
          <w:szCs w:val="20"/>
          <w:color w:val="auto"/>
        </w:rPr>
        <w:tab/>
      </w:r>
      <w:r>
        <w:rPr>
          <w:rFonts w:ascii="Times New Roman" w:cs="Times New Roman" w:eastAsia="Times New Roman" w:hAnsi="Times New Roman"/>
          <w:sz w:val="17"/>
          <w:szCs w:val="17"/>
          <w:b w:val="1"/>
          <w:bCs w:val="1"/>
          <w:color w:val="auto"/>
        </w:rPr>
        <w:t>Transferee</w:t>
      </w:r>
      <w:r>
        <w:rPr>
          <w:rFonts w:ascii="Times New Roman" w:cs="Times New Roman" w:eastAsia="Times New Roman" w:hAnsi="Times New Roman"/>
          <w:sz w:val="17"/>
          <w:szCs w:val="17"/>
          <w:color w:val="auto"/>
        </w:rPr>
        <w:t>” shall mean any person to whom the Optionee has directly or indirectly transferred any Share acquired under this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198" w:lineRule="exact"/>
        <w:rPr>
          <w:sz w:val="20"/>
          <w:szCs w:val="20"/>
          <w:color w:val="auto"/>
        </w:rPr>
      </w:pPr>
    </w:p>
    <w:p>
      <w:pPr>
        <w:ind w:left="980"/>
        <w:spacing w:after="0"/>
        <w:tabs>
          <w:tab w:leader="none" w:pos="1460" w:val="left"/>
        </w:tabs>
        <w:rPr>
          <w:sz w:val="20"/>
          <w:szCs w:val="20"/>
          <w:color w:val="auto"/>
        </w:rPr>
      </w:pPr>
      <w:r>
        <w:rPr>
          <w:rFonts w:ascii="Times New Roman" w:cs="Times New Roman" w:eastAsia="Times New Roman" w:hAnsi="Times New Roman"/>
          <w:sz w:val="18"/>
          <w:szCs w:val="18"/>
          <w:color w:val="auto"/>
        </w:rPr>
        <w:t xml:space="preserve">(ee) </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Transfer Notice</w:t>
      </w:r>
      <w:r>
        <w:rPr>
          <w:rFonts w:ascii="Times New Roman" w:cs="Times New Roman" w:eastAsia="Times New Roman" w:hAnsi="Times New Roman"/>
          <w:sz w:val="17"/>
          <w:szCs w:val="17"/>
          <w:color w:val="auto"/>
        </w:rPr>
        <w:t>” shall mean the notice of a proposed transfer of Shares described in Section 8.</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80"/>
          </w:cols>
          <w:pgMar w:left="500" w:top="264" w:right="819" w:bottom="1440" w:gutter="0" w:footer="0" w:header="0"/>
        </w:sectPr>
      </w:pPr>
    </w:p>
    <w:bookmarkStart w:id="420" w:name="page421"/>
    <w:bookmarkEnd w:id="42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2011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OTICE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Optionee has been granted the following option to purchase shares of the Common Stock of Omada Health, Inc.:</w:t>
      </w:r>
    </w:p>
    <w:p>
      <w:pPr>
        <w:sectPr>
          <w:pgSz w:w="11900" w:h="16838" w:orient="portrait"/>
          <w:cols w:equalWidth="0" w:num="1">
            <w:col w:w="10880"/>
          </w:cols>
          <w:pgMar w:left="500" w:top="264" w:right="519" w:bottom="1440" w:gutter="0" w:footer="0" w:header="0"/>
        </w:sectPr>
      </w:pPr>
    </w:p>
    <w:p>
      <w:pPr>
        <w:spacing w:after="0" w:line="2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Name of Optionee:</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860" w:space="720"/>
            <w:col w:w="7300"/>
          </w:cols>
          <w:pgMar w:left="500" w:top="264" w:right="51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Total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860" w:space="720"/>
            <w:col w:w="7300"/>
          </w:cols>
          <w:pgMar w:left="500" w:top="264" w:right="51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860" w:space="720"/>
            <w:col w:w="7300"/>
          </w:cols>
          <w:pgMar w:left="500" w:top="264" w:right="51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860" w:space="720"/>
            <w:col w:w="7300"/>
          </w:cols>
          <w:pgMar w:left="500" w:top="264" w:right="51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860" w:space="720"/>
            <w:col w:w="7300"/>
          </w:cols>
          <w:pgMar w:left="500" w:top="264" w:right="51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Date Exercisable: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860" w:space="720"/>
            <w:col w:w="7300"/>
          </w:cols>
          <w:pgMar w:left="500" w:top="264" w:right="51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860" w:space="720"/>
            <w:col w:w="7300"/>
          </w:cols>
          <w:pgMar w:left="500" w:top="264" w:right="51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860" w:space="720"/>
            <w:col w:w="7300"/>
          </w:cols>
          <w:pgMar w:left="500" w:top="264" w:right="51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Expiration Date:</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See Carta. </w:t>
      </w:r>
      <w:r>
        <w:rPr>
          <w:rFonts w:ascii="Times New Roman" w:cs="Times New Roman" w:eastAsia="Times New Roman" w:hAnsi="Times New Roman"/>
          <w:sz w:val="18"/>
          <w:szCs w:val="18"/>
          <w:color w:val="auto"/>
        </w:rPr>
        <w:t>The date ten (10) years after the Date of Grant set forth above. This option expires earlier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Optionee’s Service terminates earlier, as provided in Section 6 of the Stock Option Agreement.</w:t>
      </w:r>
    </w:p>
    <w:p>
      <w:pPr>
        <w:spacing w:after="0" w:line="162" w:lineRule="exact"/>
        <w:rPr>
          <w:sz w:val="20"/>
          <w:szCs w:val="20"/>
          <w:color w:val="auto"/>
        </w:rPr>
      </w:pPr>
    </w:p>
    <w:p>
      <w:pPr>
        <w:sectPr>
          <w:pgSz w:w="11900" w:h="16838" w:orient="portrait"/>
          <w:cols w:equalWidth="0" w:num="2">
            <w:col w:w="2860" w:space="720"/>
            <w:col w:w="7300"/>
          </w:cols>
          <w:pgMar w:left="500" w:top="264" w:right="519" w:bottom="1440" w:gutter="0" w:footer="0" w:header="0"/>
          <w:type w:val="continuous"/>
        </w:sect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 xml:space="preserve">By Optionee’s acceptance of this Option, the Optionee and the Company agree that this option is granted under, and governed by the terms and conditions of, the 2011 Stock Plan and the Stock Option Agreement. Both of these documents are attached to, and made a part of, this Notice of Stock Option Grant. </w:t>
      </w:r>
      <w:r>
        <w:rPr>
          <w:rFonts w:ascii="Times New Roman" w:cs="Times New Roman" w:eastAsia="Times New Roman" w:hAnsi="Times New Roman"/>
          <w:sz w:val="18"/>
          <w:szCs w:val="18"/>
          <w:b w:val="1"/>
          <w:bCs w:val="1"/>
          <w:color w:val="auto"/>
        </w:rPr>
        <w:t>Section 13 of the Stock Option Agreement includes important acknowledgements of the Optionee</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Execution and Delivery: </w:t>
      </w:r>
      <w:r>
        <w:rPr>
          <w:rFonts w:ascii="Times New Roman" w:cs="Times New Roman" w:eastAsia="Times New Roman" w:hAnsi="Times New Roman"/>
          <w:sz w:val="18"/>
          <w:szCs w:val="18"/>
          <w:color w:val="auto"/>
        </w:rPr>
        <w:t>This Grant Notice may be executed and delivered electronically whether via the Company’s intranet or the Internet site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party or via email or any other means of electronic delivery specified by the Company. By Optionee’s acceptance hereof (whether written, electronic or otherwise), Optionee agrees, to the fullest extent permitted by law, that in lieu of receiving documents in paper format, Optionee accepts the electronic delivery of any documents that the Company (or any third party the Company may designate), may deliver in connection with this grant (including the Plan, this Grant Notice, the Stock Option Agreement, the information described in Rules 701(e)(2), (3), (4) and (5) under the Securities Act (the “</w:t>
      </w:r>
      <w:r>
        <w:rPr>
          <w:rFonts w:ascii="Times New Roman" w:cs="Times New Roman" w:eastAsia="Times New Roman" w:hAnsi="Times New Roman"/>
          <w:sz w:val="18"/>
          <w:szCs w:val="18"/>
          <w:b w:val="1"/>
          <w:bCs w:val="1"/>
          <w:i w:val="1"/>
          <w:iCs w:val="1"/>
          <w:color w:val="auto"/>
        </w:rPr>
        <w:t>701 Disclosures</w:t>
      </w:r>
      <w:r>
        <w:rPr>
          <w:rFonts w:ascii="Times New Roman" w:cs="Times New Roman" w:eastAsia="Times New Roman" w:hAnsi="Times New Roman"/>
          <w:sz w:val="18"/>
          <w:szCs w:val="18"/>
          <w:color w:val="auto"/>
        </w:rPr>
        <w:t>”), account statements, or other communications or information) whether via the Company’s intranet or the Internet site of such third party or via email or such other means of electronic delivery specified by the Company.</w:t>
      </w:r>
    </w:p>
    <w:p>
      <w:pPr>
        <w:sectPr>
          <w:pgSz w:w="11900" w:h="16838" w:orient="portrait"/>
          <w:cols w:equalWidth="0" w:num="1">
            <w:col w:w="10880"/>
          </w:cols>
          <w:pgMar w:left="500" w:top="264" w:right="519" w:bottom="1440" w:gutter="0" w:footer="0" w:header="0"/>
          <w:type w:val="continuous"/>
        </w:sectPr>
      </w:pPr>
    </w:p>
    <w:bookmarkStart w:id="421" w:name="page422"/>
    <w:bookmarkEnd w:id="421"/>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OPTION GRANTED PURSUANT TO THIS AGREEMENT AND THE SHARES ISSUABLE UPON THE EXERCISE THEREOF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2011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GRANT OF OPTION.</w:t>
      </w:r>
    </w:p>
    <w:p>
      <w:pPr>
        <w:spacing w:after="0" w:line="114" w:lineRule="exact"/>
        <w:rPr>
          <w:sz w:val="20"/>
          <w:szCs w:val="20"/>
          <w:color w:val="auto"/>
        </w:rPr>
      </w:pPr>
    </w:p>
    <w:p>
      <w:pPr>
        <w:ind w:right="200" w:firstLine="981"/>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On the terms and conditions set forth in the Notice of Stock Option Grant and this Agreement, the Company grants to the Optionee on the Date of Grant the option to purchase at the Exercise Price the number of Shares set forth in the Notice of Stock Option Grant. The Exercise Price is agreed to be at least 100% of the Fair Market Value per Share on the Date of Grant (110% of Fair Market Value if this option is designated as an ISO in the Notice of Stock Option Grant and Section 3(b) of the Plan applies). This option is intended to be an ISO or an NSO, as provided in the Notice of Stock Option Grant.</w:t>
      </w:r>
    </w:p>
    <w:p>
      <w:pPr>
        <w:spacing w:after="0" w:line="178" w:lineRule="exact"/>
        <w:rPr>
          <w:sz w:val="20"/>
          <w:szCs w:val="20"/>
          <w:color w:val="auto"/>
        </w:rPr>
      </w:pPr>
    </w:p>
    <w:p>
      <w:pPr>
        <w:ind w:right="240" w:firstLine="981"/>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$100,000 Limitation</w:t>
      </w:r>
      <w:r>
        <w:rPr>
          <w:rFonts w:ascii="Times New Roman" w:cs="Times New Roman" w:eastAsia="Times New Roman" w:hAnsi="Times New Roman"/>
          <w:sz w:val="18"/>
          <w:szCs w:val="18"/>
          <w:color w:val="auto"/>
        </w:rPr>
        <w:t>. Even if this option is designated as an ISO in the Notice of Stock Option Grant, it shall be deemed to be an NSO to the extent (and only to the extent) required by the $100,000 annual limitation under Section 422(d) of the Code.</w:t>
      </w:r>
    </w:p>
    <w:p>
      <w:pPr>
        <w:spacing w:after="0" w:line="155" w:lineRule="exact"/>
        <w:rPr>
          <w:sz w:val="20"/>
          <w:szCs w:val="20"/>
          <w:color w:val="auto"/>
        </w:rPr>
      </w:pPr>
    </w:p>
    <w:p>
      <w:pPr>
        <w:ind w:right="280" w:firstLine="981"/>
        <w:spacing w:after="0" w:line="26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Stock Plan and Defined Terms</w:t>
      </w:r>
      <w:r>
        <w:rPr>
          <w:rFonts w:ascii="Times New Roman" w:cs="Times New Roman" w:eastAsia="Times New Roman" w:hAnsi="Times New Roman"/>
          <w:sz w:val="18"/>
          <w:szCs w:val="18"/>
          <w:color w:val="auto"/>
        </w:rPr>
        <w:t>. This option is granted pursuant to the Plan, a copy of which the Optionee acknowledges having received. The provisions of the Plan are incorporated into this Agreement by this reference. Capitalized terms are defined in Section 14 of this Agreement.</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RIGHT TO EXERCISE.</w:t>
      </w:r>
    </w:p>
    <w:p>
      <w:pPr>
        <w:spacing w:after="0" w:line="114" w:lineRule="exact"/>
        <w:rPr>
          <w:sz w:val="20"/>
          <w:szCs w:val="20"/>
          <w:color w:val="auto"/>
        </w:rPr>
      </w:pPr>
    </w:p>
    <w:p>
      <w:pPr>
        <w:ind w:firstLine="981"/>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Exercisability</w:t>
      </w:r>
      <w:r>
        <w:rPr>
          <w:rFonts w:ascii="Times New Roman" w:cs="Times New Roman" w:eastAsia="Times New Roman" w:hAnsi="Times New Roman"/>
          <w:sz w:val="18"/>
          <w:szCs w:val="18"/>
          <w:color w:val="auto"/>
        </w:rPr>
        <w:t>. Subject to Subsection (b) below and the other conditions set forth in this Agreement, all or part of this option may be exercised prior to its expiration at the time or times set forth in the Notice of Stock Option Grant.</w:t>
      </w:r>
    </w:p>
    <w:p>
      <w:pPr>
        <w:spacing w:after="0" w:line="155" w:lineRule="exact"/>
        <w:rPr>
          <w:sz w:val="20"/>
          <w:szCs w:val="20"/>
          <w:color w:val="auto"/>
        </w:rPr>
      </w:pPr>
    </w:p>
    <w:p>
      <w:pPr>
        <w:ind w:firstLine="981"/>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Any other provision of this Agreement notwithstanding, no portion of this option shall be exercisable at any time prior to the approval of the Plan by the Company’s stockholders.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NO TRANSFER OR ASSIGNMENT OF OPTION.</w:t>
      </w:r>
    </w:p>
    <w:p>
      <w:pPr>
        <w:spacing w:after="0" w:line="118" w:lineRule="exact"/>
        <w:rPr>
          <w:sz w:val="20"/>
          <w:szCs w:val="20"/>
          <w:color w:val="auto"/>
        </w:rPr>
      </w:pPr>
    </w:p>
    <w:p>
      <w:pPr>
        <w:jc w:val="both"/>
        <w:ind w:right="200" w:firstLine="981"/>
        <w:spacing w:after="0" w:line="308" w:lineRule="auto"/>
        <w:rPr>
          <w:sz w:val="20"/>
          <w:szCs w:val="20"/>
          <w:color w:val="auto"/>
        </w:rPr>
      </w:pPr>
      <w:r>
        <w:rPr>
          <w:rFonts w:ascii="Times New Roman" w:cs="Times New Roman" w:eastAsia="Times New Roman" w:hAnsi="Times New Roman"/>
          <w:sz w:val="17"/>
          <w:szCs w:val="17"/>
          <w:color w:val="auto"/>
        </w:rPr>
        <w:t>Except as otherwise provided in this Agreement, this option and the rights and privileges conferred hereby shall not be sold, pledged or otherwise transferred (whether by operation of law or otherwise) and shall not be subject to sale under execution, attachment, levy or similar process.</w:t>
      </w:r>
    </w:p>
    <w:p>
      <w:pPr>
        <w:sectPr>
          <w:pgSz w:w="11900" w:h="16838" w:orient="portrait"/>
          <w:cols w:equalWidth="0" w:num="1">
            <w:col w:w="10820"/>
          </w:cols>
          <w:pgMar w:left="500" w:top="264" w:right="579" w:bottom="1440" w:gutter="0" w:footer="0" w:header="0"/>
        </w:sectPr>
      </w:pPr>
    </w:p>
    <w:bookmarkStart w:id="422" w:name="page423"/>
    <w:bookmarkEnd w:id="422"/>
    <w:p>
      <w:pPr>
        <w:ind w:left="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4. EXERCISE PROCEDURES.</w:t>
      </w:r>
    </w:p>
    <w:p>
      <w:pPr>
        <w:spacing w:after="0" w:line="114" w:lineRule="exact"/>
        <w:rPr>
          <w:sz w:val="20"/>
          <w:szCs w:val="20"/>
          <w:color w:val="auto"/>
        </w:rPr>
      </w:pPr>
    </w:p>
    <w:p>
      <w:pPr>
        <w:ind w:left="6" w:right="40" w:firstLine="981"/>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Notice of Exercise</w:t>
      </w:r>
      <w:r>
        <w:rPr>
          <w:rFonts w:ascii="Times New Roman" w:cs="Times New Roman" w:eastAsia="Times New Roman" w:hAnsi="Times New Roman"/>
          <w:sz w:val="18"/>
          <w:szCs w:val="18"/>
          <w:color w:val="auto"/>
        </w:rPr>
        <w:t>. The Optionee or the Optionee’s representative may exercise this option by giving written notice to the Company pursuant to Section 12(c). The notice shall specify the election to exercise this option, the number of Shares for which it is being exercised and the form of payment. The person exercising this option shall sign the notice. In the event that this option is being exercised by the representative of the Optionee, the notice shall be accompanied by proof (satisfactory to the Company) of the representative’s right to exercise this option. The Optionee or the Optionee’s representative shall deliver to the Company, at the time of giving the notice, payment in a form permissible under Section 5 for the full amount of the Purchase Price. In the event of a partial exercise of this option, Shares shall be deemed to have been purchased in the order in which they vest in accordance with the Notice of Stock Option Grant.</w:t>
      </w:r>
    </w:p>
    <w:p>
      <w:pPr>
        <w:spacing w:after="0" w:line="182" w:lineRule="exact"/>
        <w:rPr>
          <w:sz w:val="20"/>
          <w:szCs w:val="20"/>
          <w:color w:val="auto"/>
        </w:rPr>
      </w:pPr>
    </w:p>
    <w:p>
      <w:pPr>
        <w:ind w:left="6" w:right="400" w:firstLine="981"/>
        <w:spacing w:after="0" w:line="276"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b w:val="1"/>
          <w:bCs w:val="1"/>
          <w:color w:val="auto"/>
        </w:rPr>
        <w:t>Issuance of Shares</w:t>
      </w:r>
      <w:r>
        <w:rPr>
          <w:rFonts w:ascii="Times New Roman" w:cs="Times New Roman" w:eastAsia="Times New Roman" w:hAnsi="Times New Roman"/>
          <w:sz w:val="17"/>
          <w:szCs w:val="17"/>
          <w:color w:val="auto"/>
        </w:rPr>
        <w:t>. After receiving a proper notice of exercise, the Company shall cause to be issued one or more certificates evidencing the Shares for which this option has been exercised. Such Shares shall be registered (i) in the name of the person exercising this option,</w:t>
      </w:r>
    </w:p>
    <w:p>
      <w:pPr>
        <w:spacing w:after="0" w:line="1" w:lineRule="exact"/>
        <w:rPr>
          <w:sz w:val="20"/>
          <w:szCs w:val="20"/>
          <w:color w:val="auto"/>
        </w:rPr>
      </w:pPr>
    </w:p>
    <w:p>
      <w:pPr>
        <w:ind w:left="6" w:right="480" w:hanging="6"/>
        <w:spacing w:after="0" w:line="251" w:lineRule="auto"/>
        <w:tabs>
          <w:tab w:leader="none" w:pos="268"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names of such person and his or her spouse as community property or as joint tenants with the right of survivorship or (iii) with the Company’s consent, in the name of a revocable trust. The Company shall cause such certificates to be delivered to or upon the order of the person exercising this option.</w:t>
      </w:r>
    </w:p>
    <w:p>
      <w:pPr>
        <w:spacing w:after="0" w:line="183" w:lineRule="exact"/>
        <w:rPr>
          <w:sz w:val="20"/>
          <w:szCs w:val="20"/>
          <w:color w:val="auto"/>
        </w:rPr>
      </w:pPr>
    </w:p>
    <w:p>
      <w:pPr>
        <w:ind w:left="6" w:firstLine="981"/>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Withholding Taxes</w:t>
      </w:r>
      <w:r>
        <w:rPr>
          <w:rFonts w:ascii="Times New Roman" w:cs="Times New Roman" w:eastAsia="Times New Roman" w:hAnsi="Times New Roman"/>
          <w:sz w:val="18"/>
          <w:szCs w:val="18"/>
          <w:color w:val="auto"/>
        </w:rPr>
        <w:t>. In the event that the Company determines that it is required to withhold any tax as a result of the exercise of this option, the Optionee, as a condition to the exercise of this option, shall make arrangements satisfactory to the Company to enable it to satisfy all withholding requirements. The Optionee shall also make arrangements satisfactory to the Company to enable it to satisfy any withholding requirements that may arise in connection with the vesting or disposition of Shares purchased by exercising this option.</w:t>
      </w:r>
    </w:p>
    <w:p>
      <w:pPr>
        <w:spacing w:after="0" w:line="28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SECTION 5. PAYMENT FOR STOCK.</w:t>
      </w:r>
    </w:p>
    <w:p>
      <w:pPr>
        <w:spacing w:after="0" w:line="114" w:lineRule="exact"/>
        <w:rPr>
          <w:sz w:val="20"/>
          <w:szCs w:val="20"/>
          <w:color w:val="auto"/>
        </w:rPr>
      </w:pPr>
    </w:p>
    <w:p>
      <w:pPr>
        <w:ind w:left="986"/>
        <w:spacing w:after="0"/>
        <w:tabs>
          <w:tab w:leader="none" w:pos="1386" w:val="left"/>
        </w:tabs>
        <w:rPr>
          <w:sz w:val="20"/>
          <w:szCs w:val="20"/>
          <w:color w:val="auto"/>
        </w:rPr>
      </w:pPr>
      <w:r>
        <w:rPr>
          <w:rFonts w:ascii="Times New Roman" w:cs="Times New Roman" w:eastAsia="Times New Roman" w:hAnsi="Times New Roman"/>
          <w:sz w:val="18"/>
          <w:szCs w:val="18"/>
          <w:color w:val="auto"/>
        </w:rPr>
        <w:t xml:space="preserve">(a) </w:t>
      </w:r>
      <w:r>
        <w:rPr>
          <w:sz w:val="20"/>
          <w:szCs w:val="20"/>
          <w:color w:val="auto"/>
        </w:rPr>
        <w:tab/>
      </w:r>
      <w:r>
        <w:rPr>
          <w:rFonts w:ascii="Times New Roman" w:cs="Times New Roman" w:eastAsia="Times New Roman" w:hAnsi="Times New Roman"/>
          <w:sz w:val="17"/>
          <w:szCs w:val="17"/>
          <w:b w:val="1"/>
          <w:bCs w:val="1"/>
          <w:color w:val="auto"/>
        </w:rPr>
        <w:t>Cash</w:t>
      </w:r>
      <w:r>
        <w:rPr>
          <w:rFonts w:ascii="Times New Roman" w:cs="Times New Roman" w:eastAsia="Times New Roman" w:hAnsi="Times New Roman"/>
          <w:sz w:val="17"/>
          <w:szCs w:val="17"/>
          <w:color w:val="auto"/>
        </w:rPr>
        <w:t>. All or part of the Purchase Price may be paid in cash or cash equivalents.</w:t>
      </w:r>
    </w:p>
    <w:p>
      <w:pPr>
        <w:spacing w:after="0" w:line="220" w:lineRule="exact"/>
        <w:rPr>
          <w:sz w:val="20"/>
          <w:szCs w:val="20"/>
          <w:color w:val="auto"/>
        </w:rPr>
      </w:pPr>
    </w:p>
    <w:p>
      <w:pPr>
        <w:ind w:left="6" w:right="140" w:firstLine="981"/>
        <w:spacing w:after="0" w:line="265"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Surrender of Stock</w:t>
      </w:r>
      <w:r>
        <w:rPr>
          <w:rFonts w:ascii="Times New Roman" w:cs="Times New Roman" w:eastAsia="Times New Roman" w:hAnsi="Times New Roman"/>
          <w:sz w:val="18"/>
          <w:szCs w:val="18"/>
          <w:color w:val="auto"/>
        </w:rPr>
        <w:t>. At the discretion of the Board of Directors, all or any part of the Purchase Price may be paid by surrendering, or attesting to the ownership of, Shares that are already owned by the Optionee. Such Shares shall be surrendered to the Company in good form for transfer and shall be valued at their Fair Market Value as of the date when this option is exercised.</w:t>
      </w:r>
    </w:p>
    <w:p>
      <w:pPr>
        <w:spacing w:after="0" w:line="169" w:lineRule="exact"/>
        <w:rPr>
          <w:sz w:val="20"/>
          <w:szCs w:val="20"/>
          <w:color w:val="auto"/>
        </w:rPr>
      </w:pPr>
    </w:p>
    <w:p>
      <w:pPr>
        <w:ind w:left="6" w:firstLine="981"/>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Exercise/Sale</w:t>
      </w:r>
      <w:r>
        <w:rPr>
          <w:rFonts w:ascii="Times New Roman" w:cs="Times New Roman" w:eastAsia="Times New Roman" w:hAnsi="Times New Roman"/>
          <w:sz w:val="18"/>
          <w:szCs w:val="18"/>
          <w:color w:val="auto"/>
        </w:rPr>
        <w:t>. All or part of the Purchase Price and any withholding taxes may be paid by the delivery (on a form prescribed by the Company) of an irrevocable direction to a securities broker approved by the Company to sell Shares and to deliver all or part of the sales proceeds to the Company. However, payment pursuant to this Subsection (c) shall be permitted only if (i) Stock then is publicly traded and (ii) such payment does not violate applicable law.</w:t>
      </w:r>
    </w:p>
    <w:p>
      <w:pPr>
        <w:spacing w:after="0" w:line="112"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66"/>
          </w:cols>
          <w:pgMar w:left="494" w:top="264" w:right="539" w:bottom="1440" w:gutter="0" w:footer="0" w:header="0"/>
        </w:sectPr>
      </w:pPr>
    </w:p>
    <w:bookmarkStart w:id="423" w:name="page424"/>
    <w:bookmarkEnd w:id="42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6. TERM AND EXPIRATION.</w:t>
      </w:r>
    </w:p>
    <w:p>
      <w:pPr>
        <w:spacing w:after="0" w:line="114" w:lineRule="exact"/>
        <w:rPr>
          <w:sz w:val="20"/>
          <w:szCs w:val="20"/>
          <w:color w:val="auto"/>
        </w:rPr>
      </w:pPr>
    </w:p>
    <w:p>
      <w:pPr>
        <w:ind w:right="160" w:firstLine="981"/>
        <w:spacing w:after="0" w:line="26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Basic Term</w:t>
      </w:r>
      <w:r>
        <w:rPr>
          <w:rFonts w:ascii="Times New Roman" w:cs="Times New Roman" w:eastAsia="Times New Roman" w:hAnsi="Times New Roman"/>
          <w:sz w:val="18"/>
          <w:szCs w:val="18"/>
          <w:color w:val="auto"/>
        </w:rPr>
        <w:t>. This option shall in any event expire on the expiration date set forth in the Notice of Stock Option Grant, which date is 10 years after the Date of Grant (five years after the Date of Grant if this option is designated as an ISO in the Notice of Stock Option Grant and Section 3(b) of the Plan applies).</w:t>
      </w:r>
    </w:p>
    <w:p>
      <w:pPr>
        <w:spacing w:after="0" w:line="169" w:lineRule="exact"/>
        <w:rPr>
          <w:sz w:val="20"/>
          <w:szCs w:val="20"/>
          <w:color w:val="auto"/>
        </w:rPr>
      </w:pPr>
    </w:p>
    <w:p>
      <w:pPr>
        <w:ind w:right="280" w:firstLine="981"/>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Termination of Service (Except by Death)</w:t>
      </w:r>
      <w:r>
        <w:rPr>
          <w:rFonts w:ascii="Times New Roman" w:cs="Times New Roman" w:eastAsia="Times New Roman" w:hAnsi="Times New Roman"/>
          <w:sz w:val="18"/>
          <w:szCs w:val="18"/>
          <w:color w:val="auto"/>
        </w:rPr>
        <w:t>. If the Optionee’s Service terminates for any reason other than death, then this option shall expire on the earliest of the following occasions: above;</w:t>
      </w:r>
    </w:p>
    <w:p>
      <w:pPr>
        <w:spacing w:after="0" w:line="5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The expiration date determined pursuant to Subsection (a) above;</w:t>
      </w:r>
    </w:p>
    <w:p>
      <w:pPr>
        <w:spacing w:after="0" w:line="11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   The date three months after the termination of the Optionee’s Service for any reason other than Disability; or</w:t>
      </w:r>
    </w:p>
    <w:p>
      <w:pPr>
        <w:spacing w:after="0" w:line="11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(iii)   The date six months after the termination of the Optionee’s Service by reason of Disability.</w:t>
      </w:r>
    </w:p>
    <w:p>
      <w:pPr>
        <w:spacing w:after="0" w:line="114" w:lineRule="exact"/>
        <w:rPr>
          <w:sz w:val="20"/>
          <w:szCs w:val="20"/>
          <w:color w:val="auto"/>
        </w:rPr>
      </w:pPr>
    </w:p>
    <w:p>
      <w:pPr>
        <w:ind w:left="420" w:right="540" w:firstLine="942"/>
        <w:spacing w:after="0" w:line="277" w:lineRule="auto"/>
        <w:rPr>
          <w:sz w:val="20"/>
          <w:szCs w:val="20"/>
          <w:color w:val="auto"/>
        </w:rPr>
      </w:pPr>
      <w:r>
        <w:rPr>
          <w:rFonts w:ascii="Times New Roman" w:cs="Times New Roman" w:eastAsia="Times New Roman" w:hAnsi="Times New Roman"/>
          <w:sz w:val="18"/>
          <w:szCs w:val="18"/>
          <w:color w:val="auto"/>
        </w:rPr>
        <w:t>(iv)  If the Optionee had completed three (3) years of employment or more, the date two (2) years after the termination of the Optionee’s Service for any reason other than Disability or for Cause.</w:t>
      </w:r>
    </w:p>
    <w:p>
      <w:pPr>
        <w:spacing w:after="0" w:line="57" w:lineRule="exact"/>
        <w:rPr>
          <w:sz w:val="20"/>
          <w:szCs w:val="20"/>
          <w:color w:val="auto"/>
        </w:rPr>
      </w:pPr>
    </w:p>
    <w:p>
      <w:pPr>
        <w:ind w:left="420" w:right="560" w:firstLine="942"/>
        <w:spacing w:after="0" w:line="277" w:lineRule="auto"/>
        <w:rPr>
          <w:sz w:val="20"/>
          <w:szCs w:val="20"/>
          <w:color w:val="auto"/>
        </w:rPr>
      </w:pPr>
      <w:r>
        <w:rPr>
          <w:rFonts w:ascii="Times New Roman" w:cs="Times New Roman" w:eastAsia="Times New Roman" w:hAnsi="Times New Roman"/>
          <w:sz w:val="18"/>
          <w:szCs w:val="18"/>
          <w:color w:val="auto"/>
        </w:rPr>
        <w:t>(v)  If the Optionee had completed four (4) years of employment or more, the date three (3) years after the termination of the Optionee’s Service for any reason other than Disability or for Cause.</w:t>
      </w:r>
    </w:p>
    <w:p>
      <w:pPr>
        <w:spacing w:after="0" w:line="57" w:lineRule="exact"/>
        <w:rPr>
          <w:sz w:val="20"/>
          <w:szCs w:val="20"/>
          <w:color w:val="auto"/>
        </w:rPr>
      </w:pPr>
    </w:p>
    <w:p>
      <w:pPr>
        <w:ind w:left="420" w:right="600" w:firstLine="942"/>
        <w:spacing w:after="0" w:line="277" w:lineRule="auto"/>
        <w:rPr>
          <w:sz w:val="20"/>
          <w:szCs w:val="20"/>
          <w:color w:val="auto"/>
        </w:rPr>
      </w:pPr>
      <w:r>
        <w:rPr>
          <w:rFonts w:ascii="Times New Roman" w:cs="Times New Roman" w:eastAsia="Times New Roman" w:hAnsi="Times New Roman"/>
          <w:sz w:val="18"/>
          <w:szCs w:val="18"/>
          <w:color w:val="auto"/>
        </w:rPr>
        <w:t>(vi)  If the Optionee had completed five (5) years of employment or more, the date four (4) years after the termination of the Optionee’s Service for any reason other than Disability or for Cause.</w:t>
      </w:r>
    </w:p>
    <w:p>
      <w:pPr>
        <w:spacing w:after="0" w:line="57" w:lineRule="exact"/>
        <w:rPr>
          <w:sz w:val="20"/>
          <w:szCs w:val="20"/>
          <w:color w:val="auto"/>
        </w:rPr>
      </w:pPr>
    </w:p>
    <w:p>
      <w:pPr>
        <w:ind w:left="420" w:right="140" w:firstLine="942"/>
        <w:spacing w:after="0" w:line="262" w:lineRule="auto"/>
        <w:rPr>
          <w:sz w:val="20"/>
          <w:szCs w:val="20"/>
          <w:color w:val="auto"/>
        </w:rPr>
      </w:pPr>
      <w:r>
        <w:rPr>
          <w:rFonts w:ascii="Times New Roman" w:cs="Times New Roman" w:eastAsia="Times New Roman" w:hAnsi="Times New Roman"/>
          <w:sz w:val="18"/>
          <w:szCs w:val="18"/>
          <w:color w:val="auto"/>
        </w:rPr>
        <w:t>(vii)  If the Optionee had completed less than three (3) years of employment, and Optionee’s employment was terminated in connection with a reduction in force as determined by the Company, then the date one (1) year after the termination of the Optionee’s Service for any reason other than Disability or for Cause.</w:t>
      </w:r>
    </w:p>
    <w:p>
      <w:pPr>
        <w:spacing w:after="0" w:line="17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Optionee may exercise all or part of this option at any time before its expiration under the preceding sentence, but only to the extent that this option had become exercisable before the Optionee’s Service terminated. When the Optionee’s Service terminates, this option shall expire immediately with respect to the number of Shares for which this option is not yet exercisable.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had become exercisable before the Optionee’s Service terminated.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500" w:top="264" w:right="499" w:bottom="1440" w:gutter="0" w:footer="0" w:header="0"/>
        </w:sectPr>
      </w:pPr>
    </w:p>
    <w:bookmarkStart w:id="424" w:name="page425"/>
    <w:bookmarkEnd w:id="424"/>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   </w:t>
      </w:r>
      <w:r>
        <w:rPr>
          <w:rFonts w:ascii="Times New Roman" w:cs="Times New Roman" w:eastAsia="Times New Roman" w:hAnsi="Times New Roman"/>
          <w:sz w:val="17"/>
          <w:szCs w:val="17"/>
          <w:b w:val="1"/>
          <w:bCs w:val="1"/>
          <w:color w:val="auto"/>
        </w:rPr>
        <w:t>Death of the Optionee</w:t>
      </w:r>
      <w:r>
        <w:rPr>
          <w:rFonts w:ascii="Times New Roman" w:cs="Times New Roman" w:eastAsia="Times New Roman" w:hAnsi="Times New Roman"/>
          <w:sz w:val="17"/>
          <w:szCs w:val="17"/>
          <w:color w:val="auto"/>
        </w:rPr>
        <w:t>. If the Optionee dies while in Service, then this option shall expire on the earlier of the following dates:</w:t>
      </w:r>
    </w:p>
    <w:p>
      <w:pPr>
        <w:sectPr>
          <w:pgSz w:w="11900" w:h="16838" w:orient="portrait"/>
          <w:cols w:equalWidth="0" w:num="1">
            <w:col w:w="10880"/>
          </w:cols>
          <w:pgMar w:left="500" w:top="264" w:right="519" w:bottom="1440" w:gutter="0" w:footer="0" w:header="0"/>
        </w:sectPr>
      </w:pPr>
    </w:p>
    <w:p>
      <w:pPr>
        <w:spacing w:after="0" w:line="1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0"/>
          <w:szCs w:val="10"/>
          <w:color w:val="auto"/>
        </w:rPr>
        <w:t>(i)  </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expiration date determined pursuant to Subsection (a) above; or</w:t>
      </w:r>
    </w:p>
    <w:p>
      <w:pPr>
        <w:spacing w:after="0" w:line="125" w:lineRule="exact"/>
        <w:rPr>
          <w:sz w:val="20"/>
          <w:szCs w:val="20"/>
          <w:color w:val="auto"/>
        </w:rPr>
      </w:pPr>
    </w:p>
    <w:p>
      <w:pPr>
        <w:sectPr>
          <w:pgSz w:w="11900" w:h="16838" w:orient="portrait"/>
          <w:cols w:equalWidth="0" w:num="2">
            <w:col w:w="1620" w:space="140"/>
            <w:col w:w="9120"/>
          </w:cols>
          <w:pgMar w:left="500" w:top="264" w:right="51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2"/>
          <w:szCs w:val="12"/>
          <w:color w:val="auto"/>
        </w:rPr>
        <w:t>(ii)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date 12 months after the Optionee’s death.</w:t>
      </w:r>
    </w:p>
    <w:p>
      <w:pPr>
        <w:spacing w:after="0" w:line="200" w:lineRule="exact"/>
        <w:rPr>
          <w:sz w:val="20"/>
          <w:szCs w:val="20"/>
          <w:color w:val="auto"/>
        </w:rPr>
      </w:pPr>
    </w:p>
    <w:p>
      <w:pPr>
        <w:sectPr>
          <w:pgSz w:w="11900" w:h="16838" w:orient="portrait"/>
          <w:cols w:equalWidth="0" w:num="2">
            <w:col w:w="1680" w:space="120"/>
            <w:col w:w="9080"/>
          </w:cols>
          <w:pgMar w:left="500" w:top="264" w:right="519" w:bottom="1440" w:gutter="0" w:footer="0" w:header="0"/>
          <w:type w:val="continuous"/>
        </w:sectPr>
      </w:pPr>
    </w:p>
    <w:p>
      <w:pPr>
        <w:spacing w:after="0" w:line="3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had become exercisable before the Optionee’s death. When the Optionee dies, this option shall expire immediately with respect to the number of Shares for which this option is not yet exercisable.</w:t>
      </w:r>
    </w:p>
    <w:p>
      <w:pPr>
        <w:spacing w:after="0" w:line="178" w:lineRule="exact"/>
        <w:rPr>
          <w:sz w:val="20"/>
          <w:szCs w:val="20"/>
          <w:color w:val="auto"/>
        </w:rPr>
      </w:pPr>
    </w:p>
    <w:p>
      <w:pPr>
        <w:ind w:right="60" w:firstLine="981"/>
        <w:spacing w:after="0" w:line="253"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Part-Time Employment and Leaves of Absence</w:t>
      </w:r>
      <w:r>
        <w:rPr>
          <w:rFonts w:ascii="Times New Roman" w:cs="Times New Roman" w:eastAsia="Times New Roman" w:hAnsi="Times New Roman"/>
          <w:sz w:val="18"/>
          <w:szCs w:val="18"/>
          <w:color w:val="auto"/>
        </w:rPr>
        <w:t xml:space="preserve">. If the Optionee commences working on a part-time basis, then the Company may adjust the vesting schedule set forth in the Notice of Stock Option Grant. If the Optionee goes on a leave of absence, then the Company may adjust the vesting schedule set forth in the Notice of Stock Option Grant in accordance with the Company’s leave of absence policy or the terms of such leave. Except as provided in the preceding sentence, Service shall be deemed to continue for any purpose under this Agreement while the Optionee is on a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leave of absence, if (i) such leave was approved by the Company in writing and (ii) continued crediting of Service for such purpose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expressly required by the terms of such leave or by applicable law (as determined by the Company). Service shall be deemed to terminate when such leave ends, unless the Optionee immediately returns to active work.</w:t>
      </w:r>
    </w:p>
    <w:p>
      <w:pPr>
        <w:spacing w:after="0" w:line="182" w:lineRule="exact"/>
        <w:rPr>
          <w:sz w:val="20"/>
          <w:szCs w:val="20"/>
          <w:color w:val="auto"/>
        </w:rPr>
      </w:pPr>
    </w:p>
    <w:p>
      <w:pPr>
        <w:ind w:right="340" w:firstLine="981"/>
        <w:spacing w:after="0" w:line="28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Notice Concerning ISO Treatment</w:t>
      </w:r>
      <w:r>
        <w:rPr>
          <w:rFonts w:ascii="Times New Roman" w:cs="Times New Roman" w:eastAsia="Times New Roman" w:hAnsi="Times New Roman"/>
          <w:sz w:val="18"/>
          <w:szCs w:val="18"/>
          <w:color w:val="auto"/>
        </w:rPr>
        <w:t>. Even if this option is designated as an ISO in the Notice of Stock Option Grant, it ceases to qualify for favorable tax treatment as an ISO to the extent that it is exercised:</w:t>
      </w:r>
    </w:p>
    <w:p>
      <w:pPr>
        <w:spacing w:after="0" w:line="52" w:lineRule="exact"/>
        <w:rPr>
          <w:sz w:val="20"/>
          <w:szCs w:val="20"/>
          <w:color w:val="auto"/>
        </w:rPr>
      </w:pPr>
    </w:p>
    <w:p>
      <w:pPr>
        <w:ind w:left="420" w:right="780" w:firstLine="942"/>
        <w:spacing w:after="0" w:line="277" w:lineRule="auto"/>
        <w:rPr>
          <w:sz w:val="20"/>
          <w:szCs w:val="20"/>
          <w:color w:val="auto"/>
        </w:rPr>
      </w:pPr>
      <w:r>
        <w:rPr>
          <w:rFonts w:ascii="Times New Roman" w:cs="Times New Roman" w:eastAsia="Times New Roman" w:hAnsi="Times New Roman"/>
          <w:sz w:val="18"/>
          <w:szCs w:val="18"/>
          <w:color w:val="auto"/>
        </w:rPr>
        <w:t>(i)  More than three months after the date when the Optionee ceases to be an Employee for any reason other than death or permanent and total disability (as defined in Section 22(e)(3) of the Code);</w:t>
      </w:r>
    </w:p>
    <w:p>
      <w:pPr>
        <w:spacing w:after="0" w:line="57" w:lineRule="exact"/>
        <w:rPr>
          <w:sz w:val="20"/>
          <w:szCs w:val="20"/>
          <w:color w:val="auto"/>
        </w:rPr>
      </w:pPr>
    </w:p>
    <w:p>
      <w:pPr>
        <w:ind w:left="420" w:firstLine="942"/>
        <w:spacing w:after="0" w:line="277" w:lineRule="auto"/>
        <w:rPr>
          <w:sz w:val="20"/>
          <w:szCs w:val="20"/>
          <w:color w:val="auto"/>
        </w:rPr>
      </w:pPr>
      <w:r>
        <w:rPr>
          <w:rFonts w:ascii="Times New Roman" w:cs="Times New Roman" w:eastAsia="Times New Roman" w:hAnsi="Times New Roman"/>
          <w:sz w:val="18"/>
          <w:szCs w:val="18"/>
          <w:color w:val="auto"/>
        </w:rPr>
        <w:t>(ii)  More than 12 months after the date when the Optionee ceases to be an Employee by reason of permanent and total disability (as defined in Section 22(e)(3) of the Code); or</w:t>
      </w:r>
    </w:p>
    <w:p>
      <w:pPr>
        <w:spacing w:after="0" w:line="57" w:lineRule="exact"/>
        <w:rPr>
          <w:sz w:val="20"/>
          <w:szCs w:val="20"/>
          <w:color w:val="auto"/>
        </w:rPr>
      </w:pPr>
    </w:p>
    <w:p>
      <w:pPr>
        <w:ind w:left="420" w:right="300" w:firstLine="942"/>
        <w:spacing w:after="0" w:line="277" w:lineRule="auto"/>
        <w:rPr>
          <w:sz w:val="20"/>
          <w:szCs w:val="20"/>
          <w:color w:val="auto"/>
        </w:rPr>
      </w:pPr>
      <w:r>
        <w:rPr>
          <w:rFonts w:ascii="Times New Roman" w:cs="Times New Roman" w:eastAsia="Times New Roman" w:hAnsi="Times New Roman"/>
          <w:sz w:val="18"/>
          <w:szCs w:val="18"/>
          <w:color w:val="auto"/>
        </w:rPr>
        <w:t>(iii)  More than three months after the date when the Optionee has been on a leave of absence for 90 days, unless the Optionee’s reemployment rights following such leave were guaranteed by statute or by contract.</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500" w:top="264" w:right="519" w:bottom="1440" w:gutter="0" w:footer="0" w:header="0"/>
          <w:type w:val="continuous"/>
        </w:sectPr>
      </w:pPr>
    </w:p>
    <w:bookmarkStart w:id="425" w:name="page426"/>
    <w:bookmarkEnd w:id="42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7. RIGHT OF FIRST REFUSAL.</w:t>
      </w:r>
    </w:p>
    <w:p>
      <w:pPr>
        <w:spacing w:after="0" w:line="114" w:lineRule="exact"/>
        <w:rPr>
          <w:sz w:val="20"/>
          <w:szCs w:val="20"/>
          <w:color w:val="auto"/>
        </w:rPr>
      </w:pPr>
    </w:p>
    <w:p>
      <w:pPr>
        <w:ind w:firstLine="981"/>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In the event that the Optionee proposes to sell, pledge or otherwise transfer to a third party any Shares acquired under this Agreement, or any interest in such Shares, the Company shall have the Right of First Refusal with respect to all (and not less than all) of such Shares. If the Optionee desires to transfer Shares acquired under this Agreement, the Optionee shall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the Optionee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181" w:lineRule="exact"/>
        <w:rPr>
          <w:sz w:val="20"/>
          <w:szCs w:val="20"/>
          <w:color w:val="auto"/>
        </w:rPr>
      </w:pPr>
    </w:p>
    <w:p>
      <w:pPr>
        <w:ind w:right="80" w:firstLine="981"/>
        <w:spacing w:after="0" w:line="25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Transfer of Shares</w:t>
      </w:r>
      <w:r>
        <w:rPr>
          <w:rFonts w:ascii="Times New Roman" w:cs="Times New Roman" w:eastAsia="Times New Roman" w:hAnsi="Times New Roman"/>
          <w:sz w:val="18"/>
          <w:szCs w:val="18"/>
          <w:color w:val="auto"/>
        </w:rPr>
        <w:t>. If the Company fails to exercise its Right of First Refusal within 30 days after the date when it received the Transfer Notice, the Optionee may, not later than 90 days following receipt of the Transfer Notice by the Company, conclude a transfer of the Shares subject to the Transfer Notice on the terms and conditions described in the Transfer Notice, provided that any such sale is made in compliance with applicable federal, State and foreign securities laws and not in violation of any other contractual restrictions to which the Optionee is bound. Any proposed transfer on terms and conditions different from those described in the Transfer Notice, as well as any subsequent proposed transfer by the Optionee, shall again be subject to the Right of First Refusal and shall require compliance with the procedure described in Subsection (a)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spacing w:after="0" w:line="184" w:lineRule="exact"/>
        <w:rPr>
          <w:sz w:val="20"/>
          <w:szCs w:val="20"/>
          <w:color w:val="auto"/>
        </w:rPr>
      </w:pPr>
    </w:p>
    <w:p>
      <w:pPr>
        <w:ind w:right="120" w:firstLine="981"/>
        <w:spacing w:after="0" w:line="25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Additional or Exchanged Securities and Property</w:t>
      </w:r>
      <w:r>
        <w:rPr>
          <w:rFonts w:ascii="Times New Roman" w:cs="Times New Roman" w:eastAsia="Times New Roman" w:hAnsi="Times New Roman"/>
          <w:sz w:val="18"/>
          <w:szCs w:val="18"/>
          <w:color w:val="auto"/>
        </w:rPr>
        <w:t>. In the event of a merger or consolidation of the Company with or into another entity,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7 shall immediately be subject to the Right of First Refusal. Appropriate adjustments to reflect the exchange or distribution of such securities or property shall be made to the number and/or class of the Shares subject to this Section 7.</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60"/>
          </w:cols>
          <w:pgMar w:left="500" w:top="264" w:right="539" w:bottom="1440" w:gutter="0" w:footer="0" w:header="0"/>
        </w:sectPr>
      </w:pPr>
    </w:p>
    <w:bookmarkStart w:id="426" w:name="page427"/>
    <w:bookmarkEnd w:id="426"/>
    <w:p>
      <w:pPr>
        <w:ind w:right="100" w:firstLine="981"/>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(d)  </w:t>
      </w:r>
      <w:r>
        <w:rPr>
          <w:rFonts w:ascii="Times New Roman" w:cs="Times New Roman" w:eastAsia="Times New Roman" w:hAnsi="Times New Roman"/>
          <w:sz w:val="18"/>
          <w:szCs w:val="18"/>
          <w:b w:val="1"/>
          <w:bCs w:val="1"/>
          <w:color w:val="auto"/>
        </w:rPr>
        <w:t>Termination of Right of First Refusal</w:t>
      </w:r>
      <w:r>
        <w:rPr>
          <w:rFonts w:ascii="Times New Roman" w:cs="Times New Roman" w:eastAsia="Times New Roman" w:hAnsi="Times New Roman"/>
          <w:sz w:val="18"/>
          <w:szCs w:val="18"/>
          <w:color w:val="auto"/>
        </w:rPr>
        <w:t>. Any other provision of this Section 7 notwithstanding, in the event that the Stock is readily tradable on an established securities market when the Optionee desires to transfer Shares, the Company shall have no Right of First Refusal, and the Optionee shall have no obligation to comply with the procedures prescribed by Subsections (a) and (b) above.</w:t>
      </w:r>
    </w:p>
    <w:p>
      <w:pPr>
        <w:spacing w:after="0" w:line="169" w:lineRule="exact"/>
        <w:rPr>
          <w:sz w:val="20"/>
          <w:szCs w:val="20"/>
          <w:color w:val="auto"/>
        </w:rPr>
      </w:pPr>
    </w:p>
    <w:p>
      <w:pPr>
        <w:ind w:right="20" w:firstLine="981"/>
        <w:spacing w:after="0" w:line="254"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Permitted Transfers</w:t>
      </w:r>
      <w:r>
        <w:rPr>
          <w:rFonts w:ascii="Times New Roman" w:cs="Times New Roman" w:eastAsia="Times New Roman" w:hAnsi="Times New Roman"/>
          <w:sz w:val="18"/>
          <w:szCs w:val="18"/>
          <w:color w:val="auto"/>
        </w:rPr>
        <w:t>. This Section 7 shall not apply to (i) a transfer by beneficiary designation, will or intestate succession or (ii) a transfer to one or more members of 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Shares acquired under this Agreement, either under this Subsection (e) or after the Company has failed to exercise the Right of First Refusal, then this Agreement shall apply to the Transferee to the same extent as to the Optionee.</w:t>
      </w:r>
    </w:p>
    <w:p>
      <w:pPr>
        <w:spacing w:after="0" w:line="182" w:lineRule="exact"/>
        <w:rPr>
          <w:sz w:val="20"/>
          <w:szCs w:val="20"/>
          <w:color w:val="auto"/>
        </w:rPr>
      </w:pPr>
    </w:p>
    <w:p>
      <w:pPr>
        <w:ind w:right="40" w:firstLine="981"/>
        <w:spacing w:after="0" w:line="25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Termination of Rights as Stockholder</w:t>
      </w:r>
      <w:r>
        <w:rPr>
          <w:rFonts w:ascii="Times New Roman" w:cs="Times New Roman" w:eastAsia="Times New Roman" w:hAnsi="Times New Roman"/>
          <w:sz w:val="18"/>
          <w:szCs w:val="18"/>
          <w:color w:val="auto"/>
        </w:rPr>
        <w:t>. If the Company makes available, at the time and place and in the amount and form provided in this Agreement, the consideration for the Shares to be purchased in accordance with this Section 7,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178" w:lineRule="exact"/>
        <w:rPr>
          <w:sz w:val="20"/>
          <w:szCs w:val="20"/>
          <w:color w:val="auto"/>
        </w:rPr>
      </w:pPr>
    </w:p>
    <w:p>
      <w:pPr>
        <w:jc w:val="both"/>
        <w:ind w:firstLine="981"/>
        <w:spacing w:after="0" w:line="265"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Assignment of Right of First Refusal</w:t>
      </w:r>
      <w:r>
        <w:rPr>
          <w:rFonts w:ascii="Times New Roman" w:cs="Times New Roman" w:eastAsia="Times New Roman" w:hAnsi="Times New Roman"/>
          <w:sz w:val="18"/>
          <w:szCs w:val="18"/>
          <w:color w:val="auto"/>
        </w:rPr>
        <w:t>. The Board of Directors may freely assign the Company’s Right of First Refusal, in whole or in part. Any person who accepts an assignment of the Right of First Refusal from the Company shall assume all of the Company’s rights and obligations under this Section 7.</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LEGALITY OF INITIAL ISSUANCE.</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 Shares shall be issued upon the exercise of this option unless and until the Company has determined that:</w:t>
      </w:r>
    </w:p>
    <w:p>
      <w:pPr>
        <w:spacing w:after="0" w:line="114" w:lineRule="exact"/>
        <w:rPr>
          <w:sz w:val="20"/>
          <w:szCs w:val="20"/>
          <w:color w:val="auto"/>
        </w:rPr>
      </w:pPr>
    </w:p>
    <w:p>
      <w:pPr>
        <w:ind w:left="420" w:right="220" w:firstLine="942"/>
        <w:spacing w:after="0" w:line="277" w:lineRule="auto"/>
        <w:rPr>
          <w:sz w:val="20"/>
          <w:szCs w:val="20"/>
          <w:color w:val="auto"/>
        </w:rPr>
      </w:pPr>
      <w:r>
        <w:rPr>
          <w:rFonts w:ascii="Times New Roman" w:cs="Times New Roman" w:eastAsia="Times New Roman" w:hAnsi="Times New Roman"/>
          <w:sz w:val="18"/>
          <w:szCs w:val="18"/>
          <w:color w:val="auto"/>
        </w:rPr>
        <w:t>(a)  It and the Optionee have taken any actions required to register the Shares under the Securities Act or to perfect an exemption from the registration requirements thereof;</w:t>
      </w:r>
    </w:p>
    <w:p>
      <w:pPr>
        <w:spacing w:after="0" w:line="5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(b)   Any applicable listing requirement of any stock exchange or other securities market on which Stock is listed has been satisfied;</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and</w:t>
      </w:r>
    </w:p>
    <w:p>
      <w:pPr>
        <w:spacing w:after="0" w:line="9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   Any other applicable provision of federal, State or foreign law has been satisfied.</w:t>
      </w:r>
    </w:p>
    <w:p>
      <w:pPr>
        <w:spacing w:after="0" w:line="15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60"/>
          </w:cols>
          <w:pgMar w:left="500" w:top="264" w:right="539" w:bottom="1440" w:gutter="0" w:footer="0" w:header="0"/>
        </w:sectPr>
      </w:pPr>
    </w:p>
    <w:bookmarkStart w:id="427" w:name="page428"/>
    <w:bookmarkEnd w:id="42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9. NO REGISTRATION RIGHTS.</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The Company may, but shall not be obligated to, register or qualify the sale of Shares under the Securities Act or any other applicable law.</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not be obligated to take any affirmative action in order to cause the sale of Shares under this Agreement to comply with any law.</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RESTRICTIONS ON TRANSFER OF SHARES.</w:t>
      </w:r>
    </w:p>
    <w:p>
      <w:pPr>
        <w:spacing w:after="0" w:line="114" w:lineRule="exact"/>
        <w:rPr>
          <w:sz w:val="20"/>
          <w:szCs w:val="20"/>
          <w:color w:val="auto"/>
        </w:rPr>
      </w:pPr>
    </w:p>
    <w:p>
      <w:pPr>
        <w:ind w:right="40" w:firstLine="981"/>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Securities Law Restrictions</w:t>
      </w:r>
      <w:r>
        <w:rPr>
          <w:rFonts w:ascii="Times New Roman" w:cs="Times New Roman" w:eastAsia="Times New Roman" w:hAnsi="Times New Roman"/>
          <w:sz w:val="18"/>
          <w:szCs w:val="18"/>
          <w:color w:val="auto"/>
        </w:rPr>
        <w:t>. Regardless of whether the offering and sale of Shares under the Plan have been registered under the Securities Act or have been registered or qualified under the securities laws of any State, the Company at its discretion may impose restrictions upon the sale, pledge or other transfer of such Shares (including the placement of appropriate legends on stock certificates or the imposition of stop-transfer instructions) if, in the judgment of the Company, such restrictions are necessary or desirable in order to achieve compliance with the Securities Act, the securities laws of any State or any other law.</w:t>
      </w:r>
    </w:p>
    <w:p>
      <w:pPr>
        <w:spacing w:after="0" w:line="178" w:lineRule="exact"/>
        <w:rPr>
          <w:sz w:val="20"/>
          <w:szCs w:val="20"/>
          <w:color w:val="auto"/>
        </w:rPr>
      </w:pPr>
    </w:p>
    <w:p>
      <w:pPr>
        <w:ind w:firstLine="981"/>
        <w:spacing w:after="0" w:line="249"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Market Stand-Off</w:t>
      </w:r>
      <w:r>
        <w:rPr>
          <w:rFonts w:ascii="Times New Roman" w:cs="Times New Roman" w:eastAsia="Times New Roman" w:hAnsi="Times New Roman"/>
          <w:sz w:val="18"/>
          <w:szCs w:val="18"/>
          <w:color w:val="auto"/>
        </w:rPr>
        <w:t>. In connection with any underwritten public offering by the Company of its equity securities pursuant to an effective registration statement filed under the Securities Act, including the Company’s initial public offering, the Optionee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“Market Stand-Off”)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Subsection (b). This Subsection (b) shall not apply to Shares registered in the public offering under the Securities Act.</w:t>
      </w:r>
    </w:p>
    <w:p>
      <w:pPr>
        <w:spacing w:after="0" w:line="196" w:lineRule="exact"/>
        <w:rPr>
          <w:sz w:val="20"/>
          <w:szCs w:val="20"/>
          <w:color w:val="auto"/>
        </w:rPr>
      </w:pPr>
    </w:p>
    <w:p>
      <w:pPr>
        <w:ind w:right="180" w:firstLine="981"/>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Investment Intent at Grant</w:t>
      </w:r>
      <w:r>
        <w:rPr>
          <w:rFonts w:ascii="Times New Roman" w:cs="Times New Roman" w:eastAsia="Times New Roman" w:hAnsi="Times New Roman"/>
          <w:sz w:val="18"/>
          <w:szCs w:val="18"/>
          <w:color w:val="auto"/>
        </w:rPr>
        <w:t>. The Optionee represents and agrees that the Shares to be acquired upon exercising this option will be acquired for investment, and not with a view to the sale or distribution thereof.</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500" w:top="264" w:right="519" w:bottom="1440" w:gutter="0" w:footer="0" w:header="0"/>
        </w:sectPr>
      </w:pPr>
    </w:p>
    <w:bookmarkStart w:id="428" w:name="page429"/>
    <w:bookmarkEnd w:id="428"/>
    <w:p>
      <w:pPr>
        <w:jc w:val="both"/>
        <w:ind w:right="140" w:firstLine="981"/>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(d)  </w:t>
      </w:r>
      <w:r>
        <w:rPr>
          <w:rFonts w:ascii="Times New Roman" w:cs="Times New Roman" w:eastAsia="Times New Roman" w:hAnsi="Times New Roman"/>
          <w:sz w:val="18"/>
          <w:szCs w:val="18"/>
          <w:b w:val="1"/>
          <w:bCs w:val="1"/>
          <w:color w:val="auto"/>
        </w:rPr>
        <w:t>Investment Intent at Exercise</w:t>
      </w:r>
      <w:r>
        <w:rPr>
          <w:rFonts w:ascii="Times New Roman" w:cs="Times New Roman" w:eastAsia="Times New Roman" w:hAnsi="Times New Roman"/>
          <w:sz w:val="18"/>
          <w:szCs w:val="18"/>
          <w:color w:val="auto"/>
        </w:rPr>
        <w:t>. In the event that the sale of Shares under the Plan is not registered under the Securities Act but an exemption is available that requires an investment representation or other representation, the Optionee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Legends</w:t>
      </w:r>
      <w:r>
        <w:rPr>
          <w:rFonts w:ascii="Times New Roman" w:cs="Times New Roman" w:eastAsia="Times New Roman" w:hAnsi="Times New Roman"/>
          <w:sz w:val="18"/>
          <w:szCs w:val="18"/>
          <w:color w:val="auto"/>
        </w:rPr>
        <w:t>. All certificates evidencing Shares purchased under this Agreement shall bear the following legend:</w:t>
      </w:r>
    </w:p>
    <w:p>
      <w:pPr>
        <w:spacing w:after="0" w:line="118" w:lineRule="exact"/>
        <w:rPr>
          <w:sz w:val="20"/>
          <w:szCs w:val="20"/>
          <w:color w:val="auto"/>
        </w:rPr>
      </w:pPr>
    </w:p>
    <w:p>
      <w:pPr>
        <w:ind w:left="420" w:right="60"/>
        <w:spacing w:after="0" w:line="253" w:lineRule="auto"/>
        <w:rPr>
          <w:sz w:val="20"/>
          <w:szCs w:val="20"/>
          <w:color w:val="auto"/>
        </w:rPr>
      </w:pPr>
      <w:r>
        <w:rPr>
          <w:rFonts w:ascii="Times New Roman" w:cs="Times New Roman" w:eastAsia="Times New Roman" w:hAnsi="Times New Roman"/>
          <w:sz w:val="18"/>
          <w:szCs w:val="18"/>
          <w:color w:val="auto"/>
        </w:rPr>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 TRANSFER OF THE SHARES. THE SECRETARY OF THE COMPANY WILL UPON WRITTEN REQUEST FURNISH A COPY OF SUCH AGREEMENT TO THE HOLDER HEREOF WITHOUT CHARGE.”</w:t>
      </w:r>
    </w:p>
    <w:p>
      <w:pPr>
        <w:spacing w:after="0" w:line="187" w:lineRule="exact"/>
        <w:rPr>
          <w:sz w:val="20"/>
          <w:szCs w:val="20"/>
          <w:color w:val="auto"/>
        </w:rPr>
      </w:pPr>
    </w:p>
    <w:p>
      <w:pPr>
        <w:ind w:right="620"/>
        <w:spacing w:after="0" w:line="277" w:lineRule="auto"/>
        <w:rPr>
          <w:sz w:val="20"/>
          <w:szCs w:val="20"/>
          <w:color w:val="auto"/>
        </w:rPr>
      </w:pPr>
      <w:r>
        <w:rPr>
          <w:rFonts w:ascii="Times New Roman" w:cs="Times New Roman" w:eastAsia="Times New Roman" w:hAnsi="Times New Roman"/>
          <w:sz w:val="18"/>
          <w:szCs w:val="18"/>
          <w:color w:val="auto"/>
        </w:rPr>
        <w:t>All certificates evidencing Shares purchased under this Agreement in an unregistered transaction shall bear the following legend (and such other restrictive legends as are required or deemed advisable under the provisions of any applicable law):</w:t>
      </w:r>
    </w:p>
    <w:p>
      <w:pPr>
        <w:spacing w:after="0" w:line="57" w:lineRule="exact"/>
        <w:rPr>
          <w:sz w:val="20"/>
          <w:szCs w:val="20"/>
          <w:color w:val="auto"/>
        </w:rPr>
      </w:pPr>
    </w:p>
    <w:p>
      <w:pPr>
        <w:ind w:left="420" w:right="240"/>
        <w:spacing w:after="0" w:line="257" w:lineRule="auto"/>
        <w:rPr>
          <w:sz w:val="20"/>
          <w:szCs w:val="20"/>
          <w:color w:val="auto"/>
        </w:rPr>
      </w:pPr>
      <w:r>
        <w:rPr>
          <w:rFonts w:ascii="Times New Roman" w:cs="Times New Roman" w:eastAsia="Times New Roman" w:hAnsi="Times New Roman"/>
          <w:sz w:val="18"/>
          <w:szCs w:val="18"/>
          <w:color w:val="auto"/>
        </w:rPr>
        <w:t>“THE SHARES REPRESENTED HEREBY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178" w:lineRule="exact"/>
        <w:rPr>
          <w:sz w:val="20"/>
          <w:szCs w:val="20"/>
          <w:color w:val="auto"/>
        </w:rPr>
      </w:pPr>
    </w:p>
    <w:p>
      <w:pPr>
        <w:jc w:val="both"/>
        <w:ind w:right="100" w:firstLine="981"/>
        <w:spacing w:after="0" w:line="265"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Removal of Legends</w:t>
      </w:r>
      <w:r>
        <w:rPr>
          <w:rFonts w:ascii="Times New Roman" w:cs="Times New Roman" w:eastAsia="Times New Roman" w:hAnsi="Times New Roman"/>
          <w:sz w:val="18"/>
          <w:szCs w:val="18"/>
          <w:color w:val="auto"/>
        </w:rPr>
        <w:t>. If, in the opinion of the Company and its counsel, any legend placed on a stock certificate representing Shares sold under this Agreement is no longer required, the holder of such certificate shall be entitled to exchange such certificate for a certificate representing the same number of Shares but without such legend.</w:t>
      </w:r>
    </w:p>
    <w:p>
      <w:pPr>
        <w:spacing w:after="0" w:line="169" w:lineRule="exact"/>
        <w:rPr>
          <w:sz w:val="20"/>
          <w:szCs w:val="20"/>
          <w:color w:val="auto"/>
        </w:rPr>
      </w:pPr>
    </w:p>
    <w:p>
      <w:pPr>
        <w:ind w:firstLine="981"/>
        <w:spacing w:after="0" w:line="282"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Any determination by the Company and its counsel in connection with any of the matters set forth in this Section 10 shall be conclusive and binding on the Optionee and all other persons.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ADJUSTMENT OF SHARES.</w:t>
      </w:r>
    </w:p>
    <w:p>
      <w:pPr>
        <w:spacing w:after="0" w:line="118" w:lineRule="exact"/>
        <w:rPr>
          <w:sz w:val="20"/>
          <w:szCs w:val="20"/>
          <w:color w:val="auto"/>
        </w:rPr>
      </w:pPr>
    </w:p>
    <w:p>
      <w:pPr>
        <w:ind w:right="40" w:firstLine="981"/>
        <w:spacing w:after="0" w:line="257" w:lineRule="auto"/>
        <w:rPr>
          <w:sz w:val="20"/>
          <w:szCs w:val="20"/>
          <w:color w:val="auto"/>
        </w:rPr>
      </w:pPr>
      <w:r>
        <w:rPr>
          <w:rFonts w:ascii="Times New Roman" w:cs="Times New Roman" w:eastAsia="Times New Roman" w:hAnsi="Times New Roman"/>
          <w:sz w:val="18"/>
          <w:szCs w:val="18"/>
          <w:color w:val="auto"/>
        </w:rPr>
        <w:t>In the event of any transaction described in Section 8(a) of the Plan, the terms of this option (including, without limitation, the number and kind of Shares subject to this option and the Exercise Price) shall be adjusted as set forth in Section 8(a) of the Plan. In the event that the Company is a party to a merger or consolidation or in the event of a sale of all or substantially all of the Company’s stock or assets, this option shall be subject to the treatment provided by the Board of Directors in its sole discretion, as provided in Section 8(b) of the Plan.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500" w:top="264" w:right="499" w:bottom="1440" w:gutter="0" w:footer="0" w:header="0"/>
        </w:sectPr>
      </w:pPr>
    </w:p>
    <w:bookmarkStart w:id="429" w:name="page430"/>
    <w:bookmarkEnd w:id="4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12. MISCELLANEOUS PROVISIONS.</w:t>
      </w:r>
    </w:p>
    <w:p>
      <w:pPr>
        <w:spacing w:after="0" w:line="114" w:lineRule="exact"/>
        <w:rPr>
          <w:sz w:val="20"/>
          <w:szCs w:val="20"/>
          <w:color w:val="auto"/>
        </w:rPr>
      </w:pPr>
    </w:p>
    <w:p>
      <w:pPr>
        <w:ind w:right="80" w:firstLine="981"/>
        <w:spacing w:after="0" w:line="26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Rights as a Stockholder</w:t>
      </w:r>
      <w:r>
        <w:rPr>
          <w:rFonts w:ascii="Times New Roman" w:cs="Times New Roman" w:eastAsia="Times New Roman" w:hAnsi="Times New Roman"/>
          <w:sz w:val="18"/>
          <w:szCs w:val="18"/>
          <w:color w:val="auto"/>
        </w:rPr>
        <w:t>. Neither the Optionee nor the Optionee’s representative shall have any rights as a stockholder with respect to any Shares subject to this option until the Optionee or the Optionee’s representative becomes entitled to receive such Shares by filing a notice of exercise and paying the Purchase Price pursuant to Sections 4 and 5.</w:t>
      </w:r>
    </w:p>
    <w:p>
      <w:pPr>
        <w:spacing w:after="0" w:line="169" w:lineRule="exact"/>
        <w:rPr>
          <w:sz w:val="20"/>
          <w:szCs w:val="20"/>
          <w:color w:val="auto"/>
        </w:rPr>
      </w:pPr>
    </w:p>
    <w:p>
      <w:pPr>
        <w:ind w:right="180" w:firstLine="981"/>
        <w:spacing w:after="0" w:line="259"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No Retention Rights</w:t>
      </w:r>
      <w:r>
        <w:rPr>
          <w:rFonts w:ascii="Times New Roman" w:cs="Times New Roman" w:eastAsia="Times New Roman" w:hAnsi="Times New Roman"/>
          <w:sz w:val="18"/>
          <w:szCs w:val="18"/>
          <w:color w:val="auto"/>
        </w:rPr>
        <w:t>. Nothing in this option or in the Plan shall confer upon the Optionee any right to continue in Service for any period of specific duration or interfere with or otherwise restrict in any way the rights of the Company (or any Parent or Subsidiary employing or retaining the Optionee) or of the Optionee, which rights are hereby expressly reserved by each, to terminate his or her Service at any time and for any reason, with or without cause.</w:t>
      </w:r>
    </w:p>
    <w:p>
      <w:pPr>
        <w:spacing w:after="0" w:line="175" w:lineRule="exact"/>
        <w:rPr>
          <w:sz w:val="20"/>
          <w:szCs w:val="20"/>
          <w:color w:val="auto"/>
        </w:rPr>
      </w:pPr>
    </w:p>
    <w:p>
      <w:pPr>
        <w:ind w:right="120" w:firstLine="981"/>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Any notice required by the terms of this Agreement shall be given in writing. It shall be deemed effective upon (i) personal delivery, (ii) deposit with the United States Postal Service, by registered or certified mail, with postage and fees prepaid or (iii) deposit with Federal Express Corporation, with shipping charges prepaid. Notice shall be addressed to the Company at its principal executive office and to the Optionee at the address that he or she most recently provided to the Company in accordance with this Subsection (c).</w:t>
      </w:r>
    </w:p>
    <w:p>
      <w:pPr>
        <w:spacing w:after="0" w:line="175" w:lineRule="exact"/>
        <w:rPr>
          <w:sz w:val="20"/>
          <w:szCs w:val="20"/>
          <w:color w:val="auto"/>
        </w:rPr>
      </w:pPr>
    </w:p>
    <w:p>
      <w:pPr>
        <w:ind w:right="260" w:firstLine="981"/>
        <w:spacing w:after="0" w:line="259"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Modifications and Waivers</w:t>
      </w:r>
      <w:r>
        <w:rPr>
          <w:rFonts w:ascii="Times New Roman" w:cs="Times New Roman" w:eastAsia="Times New Roman" w:hAnsi="Times New Roman"/>
          <w:sz w:val="18"/>
          <w:szCs w:val="18"/>
          <w:color w:val="auto"/>
        </w:rPr>
        <w:t>. No provision of this Agreement shall be modified, waived or discharged unless the modification, waiver or discharge is agreed to in writing and signed by the Optionee and by an authorized officer of the Company (other than the Optionee).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75" w:lineRule="exact"/>
        <w:rPr>
          <w:sz w:val="20"/>
          <w:szCs w:val="20"/>
          <w:color w:val="auto"/>
        </w:rPr>
      </w:pPr>
    </w:p>
    <w:p>
      <w:pPr>
        <w:ind w:firstLine="981"/>
        <w:spacing w:after="0" w:line="265"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The Notice of Stock Option Grant, this Agreement and the Plan constitute the entire contract between the parties hereto with regard to the subject matter hereof. They supersede any other agreements, representations or understandings (whether oral or written and whether express or implied) that relate to the subject matter hereof.</w:t>
      </w:r>
    </w:p>
    <w:p>
      <w:pPr>
        <w:spacing w:after="0" w:line="169" w:lineRule="exact"/>
        <w:rPr>
          <w:sz w:val="20"/>
          <w:szCs w:val="20"/>
          <w:color w:val="auto"/>
        </w:rPr>
      </w:pPr>
    </w:p>
    <w:p>
      <w:pPr>
        <w:ind w:right="100" w:firstLine="981"/>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Choice of Law</w:t>
      </w:r>
      <w:r>
        <w:rPr>
          <w:rFonts w:ascii="Times New Roman" w:cs="Times New Roman" w:eastAsia="Times New Roman" w:hAnsi="Times New Roman"/>
          <w:sz w:val="18"/>
          <w:szCs w:val="18"/>
          <w:color w:val="auto"/>
        </w:rPr>
        <w:t>. This Agreement shall be governed by, and construed in accordance with, the laws of the State of Delaware, as such laws are applied to contracts entered into and performed in such State.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 ACKNOWLEDGEMENTS OF THE OPTIONEE.</w:t>
      </w:r>
    </w:p>
    <w:p>
      <w:pPr>
        <w:spacing w:after="0" w:line="114" w:lineRule="exact"/>
        <w:rPr>
          <w:sz w:val="20"/>
          <w:szCs w:val="20"/>
          <w:color w:val="auto"/>
        </w:rPr>
      </w:pPr>
    </w:p>
    <w:p>
      <w:pPr>
        <w:ind w:right="260" w:firstLine="981"/>
        <w:spacing w:after="0" w:line="259"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Tax Consequences</w:t>
      </w:r>
      <w:r>
        <w:rPr>
          <w:rFonts w:ascii="Times New Roman" w:cs="Times New Roman" w:eastAsia="Times New Roman" w:hAnsi="Times New Roman"/>
          <w:sz w:val="18"/>
          <w:szCs w:val="18"/>
          <w:color w:val="auto"/>
        </w:rPr>
        <w:t>. The Optionee agrees that the Company does not have a duty to design or administer the Plan or its other compensation programs in a manner that minimizes the Optionee’s tax liabilities. The Optionee shall not make any claim against the Company or its Board of Directors, officers or employees related to tax liabilities arising from this option or the Optionee’s other compensation. In particular, the Optionee acknowledges that this option is exempt from Section 409A of the Code only if the Exercise Price is at least equal to</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20"/>
          </w:cols>
          <w:pgMar w:left="500" w:top="264" w:right="579" w:bottom="1440" w:gutter="0" w:footer="0" w:header="0"/>
        </w:sectPr>
      </w:pPr>
    </w:p>
    <w:bookmarkStart w:id="430" w:name="page431"/>
    <w:bookmarkEnd w:id="430"/>
    <w:p>
      <w:pPr>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Fair Market Value per Share on the Date of Grant. Since Shares are not traded on an established securities market, the determination of their Fair Market Value is made by the Board of Directors or by an independent valuation firm retained by the Company. The Optionee acknowledges that there is no guarantee in either case that the Internal Revenue Service will agree with the valuation, and the Optionee shall not make any claim against the Company or its Board of Directors, officers or employees in the event that the Internal Revenue Service asserts that the valuation was too low.</w:t>
      </w:r>
    </w:p>
    <w:p>
      <w:pPr>
        <w:spacing w:after="0" w:line="178" w:lineRule="exact"/>
        <w:rPr>
          <w:sz w:val="20"/>
          <w:szCs w:val="20"/>
          <w:color w:val="auto"/>
        </w:rPr>
      </w:pPr>
    </w:p>
    <w:p>
      <w:pPr>
        <w:ind w:right="20" w:firstLine="981"/>
        <w:spacing w:after="0" w:line="25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Electronic Delivery of Documents</w:t>
      </w:r>
      <w:r>
        <w:rPr>
          <w:rFonts w:ascii="Times New Roman" w:cs="Times New Roman" w:eastAsia="Times New Roman" w:hAnsi="Times New Roman"/>
          <w:sz w:val="18"/>
          <w:szCs w:val="18"/>
          <w:color w:val="auto"/>
        </w:rPr>
        <w:t>. The Optionee agrees to accept by email all documents relating to the Company, the Plan or this option and all other documents that the Company is required to deliver to its security holders (including, without limitation, disclosures that may be required by the Securities and Exchange Commission). The Optionee also agrees that the Company may deliver these documents by posting them on a website maintained by the Company or by a third party under contract with the Company. If the Company posts these documents on a website, it shall notify the Optionee by email of their availability. The Optionee acknowledges that he or she may incur costs in connection with electronic delivery, including the cost of accessing the internet and printing fees, and that an interruption of internet access may interfere with his or her ability to access the documents. This consent shall remain in effect until this option expires or until the Optionee gives the Company written notice that it should deliver paper documents.</w:t>
      </w:r>
    </w:p>
    <w:p>
      <w:pPr>
        <w:spacing w:after="0" w:line="185" w:lineRule="exact"/>
        <w:rPr>
          <w:sz w:val="20"/>
          <w:szCs w:val="20"/>
          <w:color w:val="auto"/>
        </w:rPr>
      </w:pPr>
    </w:p>
    <w:p>
      <w:pPr>
        <w:ind w:right="40" w:firstLine="981"/>
        <w:spacing w:after="0" w:line="25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No Notice of Expiration Date</w:t>
      </w:r>
      <w:r>
        <w:rPr>
          <w:rFonts w:ascii="Times New Roman" w:cs="Times New Roman" w:eastAsia="Times New Roman" w:hAnsi="Times New Roman"/>
          <w:sz w:val="18"/>
          <w:szCs w:val="18"/>
          <w:color w:val="auto"/>
        </w:rPr>
        <w:t>. The Optionee agrees that the Company and its officers, employees, attorneys and agents do not have any obligation to notify him or her prior to the expiration of this option pursuant to Section 6, regardless of whether this option will expire at the end of its full term or on an earlier date related to the termination of the Optionee’s Service. The Optionee further agrees that he or she has the sole responsibility for monitoring the expiration of this option and for exercising this option, if at all, before it expires. This Subsection (c) shall supersede any contrary representation that may have been made, orally or in writing, by the Company or by an officer, employee, attorney or agent of the Company.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 DEFINITIONS.</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mean this Stock Option Agreement.</w:t>
      </w:r>
    </w:p>
    <w:p>
      <w:pPr>
        <w:spacing w:after="0" w:line="220" w:lineRule="exact"/>
        <w:rPr>
          <w:sz w:val="20"/>
          <w:szCs w:val="20"/>
          <w:color w:val="auto"/>
        </w:rPr>
      </w:pPr>
    </w:p>
    <w:p>
      <w:pPr>
        <w:ind w:right="280" w:firstLine="981"/>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shall mean the Board of Directors of the Company, as constituted from time to time or, if a Committee has been appointed, such Committee.</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shall mean the Internal Revenue Code of 1986, as amended.</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shall mean a committee of the Board of Directors, as described in Section 2 of the Plan.</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mean Omada Health, Inc., a Delaware corporation.</w:t>
      </w:r>
    </w:p>
    <w:p>
      <w:pPr>
        <w:spacing w:after="0" w:line="220" w:lineRule="exact"/>
        <w:rPr>
          <w:sz w:val="20"/>
          <w:szCs w:val="20"/>
          <w:color w:val="auto"/>
        </w:rPr>
      </w:pPr>
    </w:p>
    <w:p>
      <w:pPr>
        <w:ind w:right="380" w:firstLine="981"/>
        <w:spacing w:after="0" w:line="28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shall mean a person who performs bona fide services for the Company, a Parent or a Subsidiary as a consultant or advisor, excluding Employees and Outside Directors.</w:t>
      </w:r>
    </w:p>
    <w:p>
      <w:pPr>
        <w:spacing w:after="0" w:line="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40"/>
          </w:cols>
          <w:pgMar w:left="500" w:top="268" w:right="559" w:bottom="1440" w:gutter="0" w:footer="0" w:header="0"/>
        </w:sectPr>
      </w:pPr>
    </w:p>
    <w:bookmarkStart w:id="431" w:name="page432"/>
    <w:bookmarkEnd w:id="431"/>
    <w:p>
      <w:pPr>
        <w:ind w:right="260" w:firstLine="98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(g)  “</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shall mean the date of grant specified in the Notice of Stock Option Grant, which date shall be the later of (i) the date on which the Board of Directors resolved to grant this option or (ii) the first day of the Optionee’s Service.</w:t>
      </w:r>
    </w:p>
    <w:p>
      <w:pPr>
        <w:spacing w:after="0" w:line="155" w:lineRule="exact"/>
        <w:rPr>
          <w:sz w:val="20"/>
          <w:szCs w:val="20"/>
          <w:color w:val="auto"/>
        </w:rPr>
      </w:pPr>
    </w:p>
    <w:p>
      <w:pPr>
        <w:ind w:right="740" w:firstLine="981"/>
        <w:spacing w:after="0" w:line="28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shall mean that the Optionee is unable to engage in any substantial gainful activity by reason of any medically determinable physical or mental impairment.</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shall mean any individual who is a common-law employee of the Company, a Parent or a Subsidiary.</w:t>
      </w:r>
    </w:p>
    <w:p>
      <w:pPr>
        <w:spacing w:after="0" w:line="220" w:lineRule="exact"/>
        <w:rPr>
          <w:sz w:val="20"/>
          <w:szCs w:val="20"/>
          <w:color w:val="auto"/>
        </w:rPr>
      </w:pPr>
    </w:p>
    <w:p>
      <w:pPr>
        <w:ind w:right="460" w:firstLine="981"/>
        <w:spacing w:after="0" w:line="282"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shall mean the amount for which one Share may be purchased upon exercise of this option, as specified in the Notice of Stock Option Grant.</w:t>
      </w:r>
    </w:p>
    <w:p>
      <w:pPr>
        <w:spacing w:after="0" w:line="155" w:lineRule="exact"/>
        <w:rPr>
          <w:sz w:val="20"/>
          <w:szCs w:val="20"/>
          <w:color w:val="auto"/>
        </w:rPr>
      </w:pPr>
    </w:p>
    <w:p>
      <w:pPr>
        <w:ind w:right="500" w:firstLine="981"/>
        <w:spacing w:after="0" w:line="282"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shall mean the fair market value of a Share, as determined by the Board of Directors in good faith. Such determination shall be conclusive and binding on all persons.</w:t>
      </w:r>
    </w:p>
    <w:p>
      <w:pPr>
        <w:spacing w:after="0" w:line="155" w:lineRule="exact"/>
        <w:rPr>
          <w:sz w:val="20"/>
          <w:szCs w:val="20"/>
          <w:color w:val="auto"/>
        </w:rPr>
      </w:pPr>
    </w:p>
    <w:p>
      <w:pPr>
        <w:ind w:right="320" w:firstLine="981"/>
        <w:spacing w:after="0" w:line="282"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b w:val="1"/>
          <w:bCs w:val="1"/>
          <w:color w:val="auto"/>
        </w:rPr>
        <w:t>Immediate Family</w:t>
      </w:r>
      <w:r>
        <w:rPr>
          <w:rFonts w:ascii="Times New Roman" w:cs="Times New Roman" w:eastAsia="Times New Roman" w:hAnsi="Times New Roman"/>
          <w:sz w:val="18"/>
          <w:szCs w:val="18"/>
          <w:color w:val="auto"/>
        </w:rPr>
        <w:t>” shall mean any child, stepchild, grandchild, parent, stepparent, grandparent, spouse, sibling, mother-in-law, father-in-law, son-in-law, daughter-in-law, brother-in-law or sister-in-law and shall include adoptive relationships.</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ISO</w:t>
      </w:r>
      <w:r>
        <w:rPr>
          <w:rFonts w:ascii="Times New Roman" w:cs="Times New Roman" w:eastAsia="Times New Roman" w:hAnsi="Times New Roman"/>
          <w:sz w:val="18"/>
          <w:szCs w:val="18"/>
          <w:color w:val="auto"/>
        </w:rPr>
        <w:t>” shall mean an employee incentive stock option described in Section 422(b) of the Code.</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color w:val="auto"/>
        </w:rPr>
        <w:t>Notice of Stock Option Grant</w:t>
      </w:r>
      <w:r>
        <w:rPr>
          <w:rFonts w:ascii="Times New Roman" w:cs="Times New Roman" w:eastAsia="Times New Roman" w:hAnsi="Times New Roman"/>
          <w:sz w:val="18"/>
          <w:szCs w:val="18"/>
          <w:color w:val="auto"/>
        </w:rPr>
        <w:t>” shall mean the document so entitled to which this Agreement is attached.</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color w:val="auto"/>
        </w:rPr>
        <w:t>NSO</w:t>
      </w:r>
      <w:r>
        <w:rPr>
          <w:rFonts w:ascii="Times New Roman" w:cs="Times New Roman" w:eastAsia="Times New Roman" w:hAnsi="Times New Roman"/>
          <w:sz w:val="18"/>
          <w:szCs w:val="18"/>
          <w:color w:val="auto"/>
        </w:rPr>
        <w:t>” shall mean a stock option not described in Section 422(b) or 423(b) of the Code.</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b w:val="1"/>
          <w:bCs w:val="1"/>
          <w:color w:val="auto"/>
        </w:rPr>
        <w:t>Optionee</w:t>
      </w:r>
      <w:r>
        <w:rPr>
          <w:rFonts w:ascii="Times New Roman" w:cs="Times New Roman" w:eastAsia="Times New Roman" w:hAnsi="Times New Roman"/>
          <w:sz w:val="18"/>
          <w:szCs w:val="18"/>
          <w:color w:val="auto"/>
        </w:rPr>
        <w:t>” shall mean the person named in the Notice of Stock Option Grant.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b w:val="1"/>
          <w:bCs w:val="1"/>
          <w:color w:val="auto"/>
        </w:rPr>
        <w:t>Outside Director</w:t>
      </w:r>
      <w:r>
        <w:rPr>
          <w:rFonts w:ascii="Times New Roman" w:cs="Times New Roman" w:eastAsia="Times New Roman" w:hAnsi="Times New Roman"/>
          <w:sz w:val="18"/>
          <w:szCs w:val="18"/>
          <w:color w:val="auto"/>
        </w:rPr>
        <w:t>” shall mean a member of the Board of Directors who is not an Employee.</w:t>
      </w:r>
    </w:p>
    <w:p>
      <w:pPr>
        <w:spacing w:after="0" w:line="220" w:lineRule="exact"/>
        <w:rPr>
          <w:sz w:val="20"/>
          <w:szCs w:val="20"/>
          <w:color w:val="auto"/>
        </w:rPr>
      </w:pPr>
    </w:p>
    <w:p>
      <w:pPr>
        <w:ind w:firstLine="981"/>
        <w:spacing w:after="0" w:line="265"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shall mean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w:t>
      </w:r>
    </w:p>
    <w:p>
      <w:pPr>
        <w:spacing w:after="0" w:line="1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shall mean the Omada Health, Inc. 2011 Stock Plan, as in effect on the Date of Grant.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shall mean the Exercise Price multiplied by the number of Shares with respect to which this option is being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80"/>
          </w:cols>
          <w:pgMar w:left="500" w:top="264" w:right="519" w:bottom="1440" w:gutter="0" w:footer="0" w:header="0"/>
        </w:sectPr>
      </w:pPr>
    </w:p>
    <w:bookmarkStart w:id="432" w:name="page433"/>
    <w:bookmarkEnd w:id="43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(u)   “</w:t>
      </w: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shall mean the Company’s right of first refusal described in Section 7.</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b w:val="1"/>
          <w:bCs w:val="1"/>
          <w:color w:val="auto"/>
        </w:rPr>
        <w:t>Service</w:t>
      </w:r>
      <w:r>
        <w:rPr>
          <w:rFonts w:ascii="Times New Roman" w:cs="Times New Roman" w:eastAsia="Times New Roman" w:hAnsi="Times New Roman"/>
          <w:sz w:val="18"/>
          <w:szCs w:val="18"/>
          <w:color w:val="auto"/>
        </w:rPr>
        <w:t>” shall mean service as an Employee, Outside Director or Consultant.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shall mean one share of Stock, as adjusted in accordance with Section 8 of the Plan (if applicable).</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shall mean the Common Stock of the Company.</w:t>
      </w:r>
    </w:p>
    <w:p>
      <w:pPr>
        <w:spacing w:after="0" w:line="220" w:lineRule="exact"/>
        <w:rPr>
          <w:sz w:val="20"/>
          <w:szCs w:val="20"/>
          <w:color w:val="auto"/>
        </w:rPr>
      </w:pPr>
    </w:p>
    <w:p>
      <w:pPr>
        <w:ind w:firstLine="981"/>
        <w:spacing w:after="0" w:line="265"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shall mean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w:t>
      </w:r>
    </w:p>
    <w:p>
      <w:pPr>
        <w:spacing w:after="0" w:line="1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shall mean any person to whom the Optionee has directly or indirectly transferred any Share acquired under this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b w:val="1"/>
          <w:bCs w:val="1"/>
          <w:color w:val="auto"/>
        </w:rPr>
        <w:t>Transfer Notice</w:t>
      </w:r>
      <w:r>
        <w:rPr>
          <w:rFonts w:ascii="Times New Roman" w:cs="Times New Roman" w:eastAsia="Times New Roman" w:hAnsi="Times New Roman"/>
          <w:sz w:val="18"/>
          <w:szCs w:val="18"/>
          <w:color w:val="auto"/>
        </w:rPr>
        <w:t>” shall mean the notice of a proposed transfer of Shares described in Section 7.</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80"/>
          </w:cols>
          <w:pgMar w:left="500" w:top="264" w:right="819" w:bottom="1440" w:gutter="0" w:footer="0" w:header="0"/>
        </w:sectPr>
      </w:pPr>
    </w:p>
    <w:bookmarkStart w:id="433" w:name="page434"/>
    <w:bookmarkEnd w:id="433"/>
    <w:p>
      <w:pPr>
        <w:jc w:val="center"/>
        <w:ind w:right="-5"/>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w:t>
      </w:r>
      <w:r>
        <w:rPr>
          <w:rFonts w:ascii="Times New Roman" w:cs="Times New Roman" w:eastAsia="Times New Roman" w:hAnsi="Times New Roman"/>
          <w:sz w:val="14"/>
          <w:szCs w:val="14"/>
          <w:color w:val="auto"/>
        </w:rPr>
        <w:t>MADA</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EALTH</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 2011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LAN</w:t>
      </w:r>
    </w:p>
    <w:p>
      <w:pPr>
        <w:spacing w:after="0" w:line="2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OTICE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PTION</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XERCISE</w:t>
      </w:r>
    </w:p>
    <w:p>
      <w:pPr>
        <w:spacing w:after="0" w:line="20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Y</w:t>
      </w:r>
      <w:r>
        <w:rPr>
          <w:rFonts w:ascii="Times New Roman" w:cs="Times New Roman" w:eastAsia="Times New Roman" w:hAnsi="Times New Roman"/>
          <w:sz w:val="14"/>
          <w:szCs w:val="14"/>
          <w:color w:val="auto"/>
        </w:rPr>
        <w:t>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u w:val="single" w:color="auto"/>
          <w:color w:val="auto"/>
        </w:rPr>
        <w:t>MUST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SIGN THIS</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OTICE ON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r>
        <w:rPr>
          <w:rFonts w:ascii="Times New Roman" w:cs="Times New Roman" w:eastAsia="Times New Roman" w:hAnsi="Times New Roman"/>
          <w:sz w:val="18"/>
          <w:szCs w:val="18"/>
          <w:color w:val="auto"/>
        </w:rPr>
        <w:t xml:space="preserve"> 3 </w:t>
      </w:r>
      <w:r>
        <w:rPr>
          <w:rFonts w:ascii="Times New Roman" w:cs="Times New Roman" w:eastAsia="Times New Roman" w:hAnsi="Times New Roman"/>
          <w:sz w:val="14"/>
          <w:szCs w:val="14"/>
          <w:color w:val="auto"/>
        </w:rPr>
        <w:t>BEFORE SUBMITTING IT TO</w:t>
      </w:r>
    </w:p>
    <w:p>
      <w:pPr>
        <w:spacing w:after="0" w:line="2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MADA</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EALTH</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 (</w:t>
      </w:r>
      <w:r>
        <w:rPr>
          <w:rFonts w:ascii="Times New Roman" w:cs="Times New Roman" w:eastAsia="Times New Roman" w:hAnsi="Times New Roman"/>
          <w:sz w:val="14"/>
          <w:szCs w:val="14"/>
          <w:color w:val="auto"/>
        </w:rPr>
        <w:t>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PTIONEE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NFORMATION</w:t>
      </w:r>
      <w:r>
        <w:rPr>
          <w:rFonts w:ascii="Times New Roman" w:cs="Times New Roman" w:eastAsia="Times New Roman" w:hAnsi="Times New Roman"/>
          <w:sz w:val="18"/>
          <w:szCs w:val="18"/>
          <w:color w:val="auto"/>
        </w:rPr>
        <w:t>:</w:t>
      </w:r>
    </w:p>
    <w:p>
      <w:pPr>
        <w:spacing w:after="0" w:line="247" w:lineRule="exact"/>
        <w:rPr>
          <w:sz w:val="20"/>
          <w:szCs w:val="20"/>
          <w:color w:val="auto"/>
        </w:rPr>
      </w:pPr>
    </w:p>
    <w:tbl>
      <w:tblPr>
        <w:tblLayout w:type="fixed"/>
        <w:tblInd w:w="6" w:type="dxa"/>
        <w:tblCellMar>
          <w:top w:w="0" w:type="dxa"/>
          <w:left w:w="0" w:type="dxa"/>
          <w:bottom w:w="0" w:type="dxa"/>
          <w:right w:w="0" w:type="dxa"/>
        </w:tblCellMar>
      </w:tblPr>
      <w:tr>
        <w:trPr>
          <w:trHeight w:val="23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See Carta</w:t>
            </w:r>
          </w:p>
        </w:tc>
        <w:tc>
          <w:tcPr>
            <w:tcW w:w="2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Social Security Number:</w:t>
            </w:r>
          </w:p>
        </w:tc>
        <w:tc>
          <w:tcPr>
            <w:tcW w:w="3980" w:type="dxa"/>
            <w:vAlign w:val="bottom"/>
            <w:gridSpan w:val="2"/>
          </w:tcPr>
          <w:p>
            <w:pPr>
              <w:jc w:val="right"/>
              <w:ind w:right="3031"/>
              <w:spacing w:after="0"/>
              <w:rPr>
                <w:sz w:val="20"/>
                <w:szCs w:val="20"/>
                <w:color w:val="auto"/>
              </w:rPr>
            </w:pPr>
            <w:r>
              <w:rPr>
                <w:rFonts w:ascii="Times New Roman" w:cs="Times New Roman" w:eastAsia="Times New Roman" w:hAnsi="Times New Roman"/>
                <w:sz w:val="18"/>
                <w:szCs w:val="18"/>
                <w:color w:val="auto"/>
              </w:rPr>
              <w:t>See Carta</w:t>
            </w:r>
          </w:p>
        </w:tc>
      </w:tr>
      <w:tr>
        <w:trPr>
          <w:trHeight w:val="22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02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See Carta</w:t>
            </w:r>
          </w:p>
        </w:tc>
        <w:tc>
          <w:tcPr>
            <w:tcW w:w="2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Number:</w:t>
            </w:r>
          </w:p>
        </w:tc>
        <w:tc>
          <w:tcPr>
            <w:tcW w:w="180" w:type="dxa"/>
            <w:vAlign w:val="bottom"/>
          </w:tcPr>
          <w:p>
            <w:pPr>
              <w:spacing w:after="0"/>
              <w:rPr>
                <w:sz w:val="19"/>
                <w:szCs w:val="19"/>
                <w:color w:val="auto"/>
              </w:rPr>
            </w:pPr>
          </w:p>
        </w:tc>
        <w:tc>
          <w:tcPr>
            <w:tcW w:w="3800" w:type="dxa"/>
            <w:vAlign w:val="bottom"/>
            <w:tcBorders>
              <w:top w:val="single" w:sz="8" w:color="auto"/>
              <w:bottom w:val="single" w:sz="8" w:color="auto"/>
            </w:tcBorders>
          </w:tcPr>
          <w:p>
            <w:pPr>
              <w:jc w:val="right"/>
              <w:ind w:right="3031"/>
              <w:spacing w:after="0"/>
              <w:rPr>
                <w:sz w:val="20"/>
                <w:szCs w:val="20"/>
                <w:color w:val="auto"/>
              </w:rPr>
            </w:pPr>
            <w:r>
              <w:rPr>
                <w:rFonts w:ascii="Times New Roman" w:cs="Times New Roman" w:eastAsia="Times New Roman" w:hAnsi="Times New Roman"/>
                <w:sz w:val="18"/>
                <w:szCs w:val="18"/>
                <w:color w:val="auto"/>
                <w:w w:val="94"/>
              </w:rPr>
              <w:t>See Carta</w:t>
            </w:r>
          </w:p>
        </w:tc>
      </w:tr>
      <w:tr>
        <w:trPr>
          <w:trHeight w:val="220"/>
        </w:trPr>
        <w:tc>
          <w:tcPr>
            <w:tcW w:w="880" w:type="dxa"/>
            <w:vAlign w:val="bottom"/>
            <w:gridSpan w:val="2"/>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0" w:type="dxa"/>
            <w:vAlign w:val="bottom"/>
          </w:tcPr>
          <w:p>
            <w:pPr>
              <w:spacing w:after="0"/>
              <w:rPr>
                <w:sz w:val="19"/>
                <w:szCs w:val="19"/>
                <w:color w:val="auto"/>
              </w:rPr>
            </w:pPr>
          </w:p>
        </w:tc>
      </w:tr>
      <w:tr>
        <w:trPr>
          <w:trHeight w:val="435"/>
        </w:trPr>
        <w:tc>
          <w:tcPr>
            <w:tcW w:w="4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PTION</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NFORMATION</w:t>
            </w:r>
            <w:r>
              <w:rPr>
                <w:rFonts w:ascii="Times New Roman" w:cs="Times New Roman" w:eastAsia="Times New Roman" w:hAnsi="Times New Roman"/>
                <w:sz w:val="18"/>
                <w:szCs w:val="18"/>
                <w:color w:val="auto"/>
              </w:rPr>
              <w:t>:</w:t>
            </w: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454"/>
        </w:trPr>
        <w:tc>
          <w:tcPr>
            <w:tcW w:w="4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Date of Grant: See Carta</w:t>
            </w:r>
          </w:p>
        </w:tc>
        <w:tc>
          <w:tcPr>
            <w:tcW w:w="60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Type of Stock Option:</w:t>
            </w:r>
          </w:p>
        </w:tc>
      </w:tr>
      <w:tr>
        <w:trPr>
          <w:trHeight w:val="427"/>
        </w:trPr>
        <w:tc>
          <w:tcPr>
            <w:tcW w:w="4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Exercise Price per Share: See Carta</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See Carta</w:t>
            </w:r>
          </w:p>
        </w:tc>
        <w:tc>
          <w:tcPr>
            <w:tcW w:w="18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409"/>
        </w:trPr>
        <w:tc>
          <w:tcPr>
            <w:tcW w:w="4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number of shares of Common Stock of Omada Health, Inc.</w:t>
            </w: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192"/>
        </w:trPr>
        <w:tc>
          <w:tcPr>
            <w:tcW w:w="4880" w:type="dxa"/>
            <w:vAlign w:val="bottom"/>
            <w:gridSpan w:val="5"/>
          </w:tcPr>
          <w:p>
            <w:pPr>
              <w:spacing w:after="0" w:line="192" w:lineRule="exact"/>
              <w:rPr>
                <w:sz w:val="20"/>
                <w:szCs w:val="20"/>
                <w:color w:val="auto"/>
              </w:rPr>
            </w:pPr>
            <w:r>
              <w:rPr>
                <w:rFonts w:ascii="Times New Roman" w:cs="Times New Roman" w:eastAsia="Times New Roman" w:hAnsi="Times New Roman"/>
                <w:sz w:val="18"/>
                <w:szCs w:val="18"/>
                <w:color w:val="auto"/>
              </w:rPr>
              <w:t>(the “Company”) covered by the option: See Carta</w:t>
            </w:r>
          </w:p>
        </w:tc>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0" w:type="dxa"/>
            <w:vAlign w:val="bottom"/>
          </w:tcPr>
          <w:p>
            <w:pPr>
              <w:spacing w:after="0"/>
              <w:rPr>
                <w:sz w:val="16"/>
                <w:szCs w:val="16"/>
                <w:color w:val="auto"/>
              </w:rPr>
            </w:pPr>
          </w:p>
        </w:tc>
      </w:tr>
      <w:tr>
        <w:trPr>
          <w:trHeight w:val="20"/>
        </w:trPr>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bl>
    <w:p>
      <w:pPr>
        <w:spacing w:after="0" w:line="23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XERCISE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NFORMATION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 w:right="160"/>
        <w:spacing w:after="0" w:line="277" w:lineRule="auto"/>
        <w:rPr>
          <w:sz w:val="20"/>
          <w:szCs w:val="20"/>
          <w:color w:val="auto"/>
        </w:rPr>
      </w:pPr>
      <w:r>
        <w:rPr>
          <w:rFonts w:ascii="Times New Roman" w:cs="Times New Roman" w:eastAsia="Times New Roman" w:hAnsi="Times New Roman"/>
          <w:sz w:val="18"/>
          <w:szCs w:val="18"/>
          <w:color w:val="auto"/>
        </w:rPr>
        <w:t>Number of shares of Common Stock of the Company for which the option is being exercised now:           . (These shares are referred to below as the “Purchased Shares.”)</w:t>
      </w:r>
    </w:p>
    <w:p>
      <w:pPr>
        <w:spacing w:after="0" w:line="16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 xml:space="preserve">Total Exercise Price for the Purchased Shares: $    </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Form of payment [check all that apply*]:</w:t>
      </w:r>
    </w:p>
    <w:p>
      <w:pPr>
        <w:ind w:left="426" w:hanging="426"/>
        <w:spacing w:after="0" w:line="183" w:lineRule="auto"/>
        <w:tabs>
          <w:tab w:leader="none" w:pos="426" w:val="left"/>
        </w:tabs>
        <w:numPr>
          <w:ilvl w:val="0"/>
          <w:numId w:val="22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Check for $</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  , payable to “Omada Health, Inc.”</w:t>
      </w:r>
    </w:p>
    <w:p>
      <w:pPr>
        <w:spacing w:after="0" w:line="280" w:lineRule="exact"/>
        <w:rPr>
          <w:sz w:val="20"/>
          <w:szCs w:val="20"/>
          <w:color w:val="auto"/>
        </w:rPr>
      </w:pPr>
    </w:p>
    <w:p>
      <w:pPr>
        <w:ind w:left="426" w:right="220" w:hanging="419"/>
        <w:spacing w:after="0" w:line="277" w:lineRule="auto"/>
        <w:tabs>
          <w:tab w:leader="none" w:pos="406"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Certificate(s) for           shares of Common Stock of the Company. These shares will be valued as of the date this notice is received by the Company. [Requires Company consent.]</w:t>
      </w:r>
    </w:p>
    <w:p>
      <w:pPr>
        <w:spacing w:after="0" w:line="70" w:lineRule="exact"/>
        <w:rPr>
          <w:sz w:val="20"/>
          <w:szCs w:val="20"/>
          <w:color w:val="auto"/>
        </w:rPr>
      </w:pPr>
    </w:p>
    <w:p>
      <w:pPr>
        <w:ind w:left="426" w:hanging="419"/>
        <w:spacing w:after="0" w:line="277" w:lineRule="auto"/>
        <w:tabs>
          <w:tab w:leader="none" w:pos="406"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Attestation Form covering           shares of Common Stock of the Company. These shares will be valued as of the date this notice is received by the Company. [Requires Company consent.]</w:t>
      </w:r>
    </w:p>
    <w:p>
      <w:pPr>
        <w:spacing w:after="0" w:line="110" w:lineRule="exact"/>
        <w:rPr>
          <w:sz w:val="20"/>
          <w:szCs w:val="20"/>
          <w:color w:val="auto"/>
        </w:rPr>
      </w:pPr>
    </w:p>
    <w:p>
      <w:pPr>
        <w:ind w:left="426" w:hanging="426"/>
        <w:spacing w:after="0"/>
        <w:tabs>
          <w:tab w:leader="none" w:pos="426" w:val="left"/>
        </w:tabs>
        <w:numPr>
          <w:ilvl w:val="0"/>
          <w:numId w:val="2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ACH</w:t>
      </w:r>
    </w:p>
    <w:p>
      <w:pPr>
        <w:spacing w:after="0" w:line="12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  If you are a non-U.S. Optionee, please see the Company for permitted forms of payment.</w:t>
      </w:r>
    </w:p>
    <w:p>
      <w:pPr>
        <w:sectPr>
          <w:pgSz w:w="11900" w:h="16838" w:orient="portrait"/>
          <w:cols w:equalWidth="0" w:num="1">
            <w:col w:w="10906"/>
          </w:cols>
          <w:pgMar w:left="494" w:top="268" w:right="499" w:bottom="1440" w:gutter="0" w:footer="0" w:header="0"/>
        </w:sectPr>
      </w:pPr>
    </w:p>
    <w:bookmarkStart w:id="434" w:name="page435"/>
    <w:bookmarkEnd w:id="434"/>
    <w:p>
      <w:pPr>
        <w:ind w:left="6" w:right="440"/>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Name(s) in which the Purchased Shares should be registered [please review the attached explanation of the available forms of ownership, and then check one box]:</w:t>
      </w:r>
    </w:p>
    <w:p>
      <w:pPr>
        <w:spacing w:after="0" w:line="70" w:lineRule="exact"/>
        <w:rPr>
          <w:sz w:val="20"/>
          <w:szCs w:val="20"/>
          <w:color w:val="auto"/>
        </w:rPr>
      </w:pPr>
    </w:p>
    <w:p>
      <w:pPr>
        <w:ind w:left="426" w:hanging="426"/>
        <w:spacing w:after="0"/>
        <w:tabs>
          <w:tab w:leader="none" w:pos="426" w:val="left"/>
        </w:tabs>
        <w:numPr>
          <w:ilvl w:val="0"/>
          <w:numId w:val="22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my name only</w:t>
      </w:r>
    </w:p>
    <w:p>
      <w:pPr>
        <w:spacing w:after="0" w:line="86" w:lineRule="exact"/>
        <w:rPr>
          <w:sz w:val="20"/>
          <w:szCs w:val="20"/>
          <w:color w:val="auto"/>
        </w:rPr>
      </w:pPr>
    </w:p>
    <w:p>
      <w:pPr>
        <w:ind w:left="6"/>
        <w:spacing w:after="0" w:line="207" w:lineRule="exact"/>
        <w:tabs>
          <w:tab w:leader="none" w:pos="326" w:val="left"/>
          <w:tab w:leader="none" w:pos="5666"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In the names of my spouse and myself as community property</w:t>
      </w:r>
      <w:r>
        <w:rPr>
          <w:sz w:val="20"/>
          <w:szCs w:val="20"/>
          <w:color w:val="auto"/>
        </w:rPr>
        <w:tab/>
      </w:r>
      <w:r>
        <w:rPr>
          <w:rFonts w:ascii="Times New Roman" w:cs="Times New Roman" w:eastAsia="Times New Roman" w:hAnsi="Times New Roman"/>
          <w:sz w:val="17"/>
          <w:szCs w:val="17"/>
          <w:color w:val="auto"/>
        </w:rPr>
        <w:t>My spouse’s name (if applicable):</w:t>
      </w:r>
    </w:p>
    <w:p>
      <w:pPr>
        <w:spacing w:after="0" w:line="154" w:lineRule="exact"/>
        <w:rPr>
          <w:sz w:val="20"/>
          <w:szCs w:val="20"/>
          <w:color w:val="auto"/>
        </w:rPr>
      </w:pPr>
    </w:p>
    <w:p>
      <w:pPr>
        <w:ind w:left="346" w:hanging="346"/>
        <w:spacing w:after="0"/>
        <w:tabs>
          <w:tab w:leader="none" w:pos="346" w:val="left"/>
        </w:tabs>
        <w:numPr>
          <w:ilvl w:val="0"/>
          <w:numId w:val="22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the names of my spouse and myself as community property with</w:t>
      </w:r>
    </w:p>
    <w:p>
      <w:pPr>
        <w:spacing w:after="0" w:line="27" w:lineRule="exact"/>
        <w:rPr>
          <w:sz w:val="20"/>
          <w:szCs w:val="20"/>
          <w:color w:val="auto"/>
        </w:rPr>
      </w:pPr>
    </w:p>
    <w:p>
      <w:pPr>
        <w:ind w:left="346"/>
        <w:spacing w:after="0"/>
        <w:tabs>
          <w:tab w:leader="none" w:pos="5446" w:val="left"/>
        </w:tabs>
        <w:rPr>
          <w:sz w:val="20"/>
          <w:szCs w:val="20"/>
          <w:color w:val="auto"/>
        </w:rPr>
      </w:pPr>
      <w:r>
        <w:rPr>
          <w:rFonts w:ascii="Times New Roman" w:cs="Times New Roman" w:eastAsia="Times New Roman" w:hAnsi="Times New Roman"/>
          <w:sz w:val="18"/>
          <w:szCs w:val="18"/>
          <w:color w:val="auto"/>
        </w:rPr>
        <w:t>the right of survivorship</w:t>
      </w:r>
      <w:r>
        <w:rPr>
          <w:sz w:val="20"/>
          <w:szCs w:val="20"/>
          <w:color w:val="auto"/>
        </w:rPr>
        <w:tab/>
      </w: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3609340</wp:posOffset>
            </wp:positionH>
            <wp:positionV relativeFrom="paragraph">
              <wp:posOffset>-13335</wp:posOffset>
            </wp:positionV>
            <wp:extent cx="331660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44">
                      <a:extLst>
                        <a:ext uri="{28A0092B-C50C-407E-A947-70E740481C1C}"/>
                      </a:extLst>
                    </a:blip>
                    <a:srcRect/>
                    <a:stretch>
                      <a:fillRect/>
                    </a:stretch>
                  </pic:blipFill>
                  <pic:spPr bwMode="auto">
                    <a:xfrm>
                      <a:off x="0" y="0"/>
                      <a:ext cx="3316605" cy="8255"/>
                    </a:xfrm>
                    <a:prstGeom prst="rect">
                      <a:avLst/>
                    </a:prstGeom>
                    <a:noFill/>
                  </pic:spPr>
                </pic:pic>
              </a:graphicData>
            </a:graphic>
          </wp:anchor>
        </w:drawing>
      </w:r>
    </w:p>
    <w:p>
      <w:pPr>
        <w:spacing w:after="0" w:line="74" w:lineRule="exact"/>
        <w:rPr>
          <w:sz w:val="20"/>
          <w:szCs w:val="20"/>
          <w:color w:val="auto"/>
        </w:rPr>
      </w:pPr>
    </w:p>
    <w:p>
      <w:pPr>
        <w:ind w:left="346" w:right="5680" w:hanging="346"/>
        <w:spacing w:after="0" w:line="277" w:lineRule="auto"/>
        <w:tabs>
          <w:tab w:leader="none" w:pos="346" w:val="left"/>
        </w:tabs>
        <w:numPr>
          <w:ilvl w:val="0"/>
          <w:numId w:val="22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the names of my spouse and myself as joint tenants with the right of survivorship</w:t>
      </w:r>
    </w:p>
    <w:p>
      <w:pPr>
        <w:spacing w:after="0" w:line="56" w:lineRule="exact"/>
        <w:rPr>
          <w:rFonts w:ascii="MS PGothic" w:cs="MS PGothic" w:eastAsia="MS PGothic" w:hAnsi="MS PGothic"/>
          <w:sz w:val="18"/>
          <w:szCs w:val="18"/>
          <w:color w:val="auto"/>
        </w:rPr>
      </w:pPr>
    </w:p>
    <w:p>
      <w:pPr>
        <w:ind w:left="346" w:hanging="346"/>
        <w:spacing w:after="0"/>
        <w:tabs>
          <w:tab w:leader="none" w:pos="346" w:val="left"/>
        </w:tabs>
        <w:numPr>
          <w:ilvl w:val="0"/>
          <w:numId w:val="22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the name of an eligible revocable trust [requires Stock Transfer</w:t>
      </w:r>
    </w:p>
    <w:p>
      <w:pPr>
        <w:spacing w:after="0" w:line="27" w:lineRule="exact"/>
        <w:rPr>
          <w:sz w:val="20"/>
          <w:szCs w:val="20"/>
          <w:color w:val="auto"/>
        </w:rPr>
      </w:pPr>
    </w:p>
    <w:p>
      <w:pPr>
        <w:ind w:left="346"/>
        <w:spacing w:after="0"/>
        <w:tabs>
          <w:tab w:leader="none" w:pos="5666" w:val="left"/>
        </w:tabs>
        <w:rPr>
          <w:sz w:val="20"/>
          <w:szCs w:val="20"/>
          <w:color w:val="auto"/>
        </w:rPr>
      </w:pPr>
      <w:r>
        <w:rPr>
          <w:rFonts w:ascii="Times New Roman" w:cs="Times New Roman" w:eastAsia="Times New Roman" w:hAnsi="Times New Roman"/>
          <w:sz w:val="18"/>
          <w:szCs w:val="18"/>
          <w:color w:val="auto"/>
        </w:rPr>
        <w:t>Agreement]</w:t>
      </w:r>
      <w:r>
        <w:rPr>
          <w:sz w:val="20"/>
          <w:szCs w:val="20"/>
          <w:color w:val="auto"/>
        </w:rPr>
        <w:tab/>
      </w:r>
      <w:r>
        <w:rPr>
          <w:rFonts w:ascii="Times New Roman" w:cs="Times New Roman" w:eastAsia="Times New Roman" w:hAnsi="Times New Roman"/>
          <w:sz w:val="18"/>
          <w:szCs w:val="18"/>
          <w:color w:val="auto"/>
        </w:rPr>
        <w:t>Full legal name of revocable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3609340</wp:posOffset>
            </wp:positionH>
            <wp:positionV relativeFrom="paragraph">
              <wp:posOffset>207010</wp:posOffset>
            </wp:positionV>
            <wp:extent cx="331660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45">
                      <a:extLst>
                        <a:ext uri="{28A0092B-C50C-407E-A947-70E740481C1C}"/>
                      </a:extLst>
                    </a:blip>
                    <a:srcRect/>
                    <a:stretch>
                      <a:fillRect/>
                    </a:stretch>
                  </pic:blipFill>
                  <pic:spPr bwMode="auto">
                    <a:xfrm>
                      <a:off x="0" y="0"/>
                      <a:ext cx="331660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427355</wp:posOffset>
            </wp:positionV>
            <wp:extent cx="331660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46">
                      <a:extLst>
                        <a:ext uri="{28A0092B-C50C-407E-A947-70E740481C1C}"/>
                      </a:extLst>
                    </a:blip>
                    <a:srcRect/>
                    <a:stretch>
                      <a:fillRect/>
                    </a:stretch>
                  </pic:blipFill>
                  <pic:spPr bwMode="auto">
                    <a:xfrm>
                      <a:off x="0" y="0"/>
                      <a:ext cx="331660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647700</wp:posOffset>
            </wp:positionV>
            <wp:extent cx="331660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47">
                      <a:extLst>
                        <a:ext uri="{28A0092B-C50C-407E-A947-70E740481C1C}"/>
                      </a:extLst>
                    </a:blip>
                    <a:srcRect/>
                    <a:stretch>
                      <a:fillRect/>
                    </a:stretch>
                  </pic:blipFill>
                  <pic:spPr bwMode="auto">
                    <a:xfrm>
                      <a:off x="0" y="0"/>
                      <a:ext cx="3316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 xml:space="preserve">The certificate for the Purchased Shares should be sent to the following 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-635</wp:posOffset>
            </wp:positionV>
            <wp:extent cx="309626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48">
                      <a:extLst>
                        <a:ext uri="{28A0092B-C50C-407E-A947-70E740481C1C}"/>
                      </a:extLst>
                    </a:blip>
                    <a:srcRect/>
                    <a:stretch>
                      <a:fillRect/>
                    </a:stretch>
                  </pic:blipFill>
                  <pic:spPr bwMode="auto">
                    <a:xfrm>
                      <a:off x="0" y="0"/>
                      <a:ext cx="309626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151765</wp:posOffset>
            </wp:positionV>
            <wp:extent cx="309626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49">
                      <a:extLst>
                        <a:ext uri="{28A0092B-C50C-407E-A947-70E740481C1C}"/>
                      </a:extLst>
                    </a:blip>
                    <a:srcRect/>
                    <a:stretch>
                      <a:fillRect/>
                    </a:stretch>
                  </pic:blipFill>
                  <pic:spPr bwMode="auto">
                    <a:xfrm>
                      <a:off x="0" y="0"/>
                      <a:ext cx="309626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304165</wp:posOffset>
            </wp:positionV>
            <wp:extent cx="309626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50">
                      <a:extLst>
                        <a:ext uri="{28A0092B-C50C-407E-A947-70E740481C1C}"/>
                      </a:extLst>
                    </a:blip>
                    <a:srcRect/>
                    <a:stretch>
                      <a:fillRect/>
                    </a:stretch>
                  </pic:blipFill>
                  <pic:spPr bwMode="auto">
                    <a:xfrm>
                      <a:off x="0" y="0"/>
                      <a:ext cx="309626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457200</wp:posOffset>
            </wp:positionV>
            <wp:extent cx="309626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51">
                      <a:extLst>
                        <a:ext uri="{28A0092B-C50C-407E-A947-70E740481C1C}"/>
                      </a:extLst>
                    </a:blip>
                    <a:srcRect/>
                    <a:stretch>
                      <a:fillRect/>
                    </a:stretch>
                  </pic:blipFill>
                  <pic:spPr bwMode="auto">
                    <a:xfrm>
                      <a:off x="0" y="0"/>
                      <a:ext cx="3096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CKNOWLEDGMENTS OF THE</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PTIONEE</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both"/>
        <w:ind w:left="426" w:right="40" w:hanging="426"/>
        <w:spacing w:after="0" w:line="262" w:lineRule="auto"/>
        <w:tabs>
          <w:tab w:leader="none" w:pos="42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represent and warrant to the Company that I am acquiring and will hold the Purchased Shares for investment for my account only, and not with a view to, or for resale in connection with, any “distribution” of the Purchased Shares within the meaning of the Securities Act of 1933, as amended (the “Securities Act”).</w:t>
      </w:r>
    </w:p>
    <w:p>
      <w:pPr>
        <w:spacing w:after="0" w:line="83" w:lineRule="exact"/>
        <w:rPr>
          <w:rFonts w:ascii="Times New Roman" w:cs="Times New Roman" w:eastAsia="Times New Roman" w:hAnsi="Times New Roman"/>
          <w:sz w:val="18"/>
          <w:szCs w:val="18"/>
          <w:color w:val="auto"/>
        </w:rPr>
      </w:pPr>
    </w:p>
    <w:p>
      <w:pPr>
        <w:jc w:val="both"/>
        <w:ind w:left="426" w:right="100" w:hanging="426"/>
        <w:spacing w:after="0" w:line="262" w:lineRule="auto"/>
        <w:tabs>
          <w:tab w:leader="none" w:pos="42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the Purchased Shares have not been registered under the Securities Act by reason of a specific exemption therefrom and that the Purchased Shares must be held indefinitely, unless they are subsequently registered under the Securities Act or I obtain an opinion of counsel (in form and substance satisfactory to the Company and its counsel) that registration is not required.</w:t>
      </w:r>
    </w:p>
    <w:p>
      <w:pPr>
        <w:spacing w:after="0" w:line="83"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the Company is under no obligation to register the Purchased Shares.</w:t>
      </w:r>
    </w:p>
    <w:p>
      <w:pPr>
        <w:spacing w:after="0" w:line="126" w:lineRule="exact"/>
        <w:rPr>
          <w:rFonts w:ascii="Times New Roman" w:cs="Times New Roman" w:eastAsia="Times New Roman" w:hAnsi="Times New Roman"/>
          <w:sz w:val="18"/>
          <w:szCs w:val="18"/>
          <w:color w:val="auto"/>
        </w:rPr>
      </w:pPr>
    </w:p>
    <w:p>
      <w:pPr>
        <w:ind w:left="426" w:hanging="426"/>
        <w:spacing w:after="0" w:line="253" w:lineRule="auto"/>
        <w:tabs>
          <w:tab w:leader="none" w:pos="42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aware of the adoption by the Securities and Exchange Commission of Rule 144 under the Securities Act, which permits limited public resales of securities acquired in a non-public offering, subject to the satisfaction of certain conditions. These conditions may include (without limitation) that certain current public information about the issuer be available, that the resale occur only after a holding period required by Rule 144 has been satisfied, that the sale occur through an unsolicited “broker’s transaction” and that the amount of securities being sold during any three-month period not exceed specified limitations. I understand that the conditions for resale set forth in Rule 144 have not been satisfied and that the Company is not required to take action to satisfy any conditions applicable to it.</w:t>
      </w:r>
    </w:p>
    <w:p>
      <w:pPr>
        <w:spacing w:after="0" w:line="93" w:lineRule="exact"/>
        <w:rPr>
          <w:rFonts w:ascii="Times New Roman" w:cs="Times New Roman" w:eastAsia="Times New Roman" w:hAnsi="Times New Roman"/>
          <w:sz w:val="18"/>
          <w:szCs w:val="18"/>
          <w:color w:val="auto"/>
        </w:rPr>
      </w:pPr>
    </w:p>
    <w:p>
      <w:pPr>
        <w:ind w:left="426" w:right="60" w:hanging="426"/>
        <w:spacing w:after="0" w:line="277" w:lineRule="auto"/>
        <w:tabs>
          <w:tab w:leader="none" w:pos="42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will not sell, transfer or otherwise dispose of the Purchased Shares in violation of the Securities Act, the Securities Exchange Act of 1934, or the rules promulgated thereunder, including Rule 144 under the Securities Act.</w:t>
      </w:r>
    </w:p>
    <w:p>
      <w:pPr>
        <w:spacing w:after="0" w:line="69" w:lineRule="exact"/>
        <w:rPr>
          <w:rFonts w:ascii="Times New Roman" w:cs="Times New Roman" w:eastAsia="Times New Roman" w:hAnsi="Times New Roman"/>
          <w:sz w:val="18"/>
          <w:szCs w:val="18"/>
          <w:color w:val="auto"/>
        </w:rPr>
      </w:pPr>
    </w:p>
    <w:p>
      <w:pPr>
        <w:jc w:val="both"/>
        <w:ind w:left="426" w:right="80" w:hanging="426"/>
        <w:spacing w:after="0" w:line="262" w:lineRule="auto"/>
        <w:tabs>
          <w:tab w:leader="none" w:pos="42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 have received and had access to such information as I consider necessary or appropriate for deciding whether to invest in the Purchased Shares and that I had an opportunity to ask questions and receive answers from the Company regarding the terms and conditions of the issuance of the Purchased Shares.</w:t>
      </w:r>
    </w:p>
    <w:p>
      <w:pPr>
        <w:spacing w:after="0" w:line="110"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6"/>
          </w:cols>
          <w:pgMar w:left="494" w:top="268" w:right="519" w:bottom="1440" w:gutter="0" w:footer="0" w:header="0"/>
        </w:sectPr>
      </w:pPr>
    </w:p>
    <w:bookmarkStart w:id="435" w:name="page436"/>
    <w:bookmarkEnd w:id="435"/>
    <w:p>
      <w:pPr>
        <w:ind w:left="426" w:right="160" w:hanging="426"/>
        <w:spacing w:after="0" w:line="262" w:lineRule="auto"/>
        <w:tabs>
          <w:tab w:leader="none" w:pos="42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83" w:lineRule="exact"/>
        <w:rPr>
          <w:rFonts w:ascii="Times New Roman" w:cs="Times New Roman" w:eastAsia="Times New Roman" w:hAnsi="Times New Roman"/>
          <w:sz w:val="18"/>
          <w:szCs w:val="18"/>
          <w:color w:val="auto"/>
        </w:rPr>
      </w:pPr>
    </w:p>
    <w:p>
      <w:pPr>
        <w:ind w:left="426" w:right="40" w:hanging="426"/>
        <w:spacing w:after="0" w:line="277" w:lineRule="auto"/>
        <w:tabs>
          <w:tab w:leader="none" w:pos="42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the Purchased Shares remain subject to the Company’s right of first refusal and the market stand-off (sometimes referred to as the “lock-up”), all in accordance with the applicable Notice of Stock Option Grant and Stock Option Agreement.</w:t>
      </w:r>
    </w:p>
    <w:p>
      <w:pPr>
        <w:spacing w:after="0" w:line="69" w:lineRule="exact"/>
        <w:rPr>
          <w:rFonts w:ascii="Times New Roman" w:cs="Times New Roman" w:eastAsia="Times New Roman" w:hAnsi="Times New Roman"/>
          <w:sz w:val="18"/>
          <w:szCs w:val="18"/>
          <w:color w:val="auto"/>
        </w:rPr>
      </w:pPr>
    </w:p>
    <w:p>
      <w:pPr>
        <w:ind w:left="426" w:right="720" w:hanging="426"/>
        <w:spacing w:after="0" w:line="277" w:lineRule="auto"/>
        <w:tabs>
          <w:tab w:leader="none" w:pos="42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 am acquiring the Purchased Shares subject to all other terms of the Notice of Stock Option Grant and Stock Option Agreement.</w:t>
      </w:r>
    </w:p>
    <w:p>
      <w:pPr>
        <w:spacing w:after="0" w:line="69" w:lineRule="exact"/>
        <w:rPr>
          <w:rFonts w:ascii="Times New Roman" w:cs="Times New Roman" w:eastAsia="Times New Roman" w:hAnsi="Times New Roman"/>
          <w:sz w:val="18"/>
          <w:szCs w:val="18"/>
          <w:color w:val="auto"/>
        </w:rPr>
      </w:pPr>
    </w:p>
    <w:p>
      <w:pPr>
        <w:ind w:left="426" w:hanging="426"/>
        <w:spacing w:after="0" w:line="253" w:lineRule="auto"/>
        <w:tabs>
          <w:tab w:leader="none" w:pos="42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 have received a copy of the Company’s explanation of the forms of ownership available for my Purchased Shares. I acknowledge that the Company has encouraged me to consult my own adviser to determine the form of ownership that is appropriate for me. In the event that I choose to transfer my Purchased Shares to a trust, I agree to sign a Stock Transfer Agreement. In the event that I choose to transfer my Purchased Shares to a trust that does not satisfy the requirements described in the attached explanation (i.e.,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93" w:lineRule="exact"/>
        <w:rPr>
          <w:rFonts w:ascii="Times New Roman" w:cs="Times New Roman" w:eastAsia="Times New Roman" w:hAnsi="Times New Roman"/>
          <w:sz w:val="18"/>
          <w:szCs w:val="18"/>
          <w:color w:val="auto"/>
        </w:rPr>
      </w:pPr>
    </w:p>
    <w:p>
      <w:pPr>
        <w:ind w:left="426" w:right="400" w:hanging="426"/>
        <w:spacing w:after="0" w:line="262" w:lineRule="auto"/>
        <w:tabs>
          <w:tab w:leader="none" w:pos="42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 have received a copy of the Company’s explanation of the federal income tax consequences of an option exercise. I acknowledge that the Company has encouraged me to consult my own adviser to determine the tax consequences of acquiring the Purchased Shares at this time.</w:t>
      </w:r>
    </w:p>
    <w:p>
      <w:pPr>
        <w:spacing w:after="0" w:line="83" w:lineRule="exact"/>
        <w:rPr>
          <w:rFonts w:ascii="Times New Roman" w:cs="Times New Roman" w:eastAsia="Times New Roman" w:hAnsi="Times New Roman"/>
          <w:sz w:val="18"/>
          <w:szCs w:val="18"/>
          <w:color w:val="auto"/>
        </w:rPr>
      </w:pPr>
    </w:p>
    <w:p>
      <w:pPr>
        <w:ind w:left="426" w:right="100" w:hanging="426"/>
        <w:spacing w:after="0" w:line="251" w:lineRule="auto"/>
        <w:tabs>
          <w:tab w:leader="none" w:pos="42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the Company does not have a duty to design or administer the 2011 Stock Plan or its other compensation programs in a manner that minimizes my tax liabilities. I will not make any claim against the Company or its Board of Directors, officers or employees related to tax liabilities arising from my options or my other compensation. In particular, I acknowledge that my options are exempt from section 409A of the Internal Revenue Code only if the exercise price per share is at least equal to the fair market value per share of the Company’s Common Stock at the time the option was granted by the Company’s Board of Directors. Since shares of the Company’s Common Stock are not traded on an established securities market, the determination of their fair market value was made by the Company’s Board of Directors or by an independent valuation firm retained by the Company. I acknowledge that there is no guarantee in either case that the Internal Revenue Service will agree with the valuation, and I will not make any claim against the Company or its Board of Directors, officers or employees in the event that the Internal Revenue Service asserts that the valuation was too low.</w:t>
      </w:r>
    </w:p>
    <w:p>
      <w:pPr>
        <w:sectPr>
          <w:pgSz w:w="11900" w:h="16838" w:orient="portrait"/>
          <w:cols w:equalWidth="0" w:num="1">
            <w:col w:w="10846"/>
          </w:cols>
          <w:pgMar w:left="494" w:top="268" w:right="559" w:bottom="1440" w:gutter="0" w:footer="0" w:header="0"/>
        </w:sectPr>
      </w:pPr>
    </w:p>
    <w:p>
      <w:pPr>
        <w:spacing w:after="0" w:line="96" w:lineRule="exact"/>
        <w:rPr>
          <w:sz w:val="20"/>
          <w:szCs w:val="20"/>
          <w:color w:val="auto"/>
        </w:rPr>
      </w:pPr>
    </w:p>
    <w:p>
      <w:pPr>
        <w:ind w:left="426" w:hanging="426"/>
        <w:spacing w:after="0"/>
        <w:tabs>
          <w:tab w:leader="none" w:pos="426"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agree to seek the consent of my spouse to the extent required by the Company to enforce the foregoing.</w:t>
      </w:r>
    </w:p>
    <w:p>
      <w:pPr>
        <w:spacing w:after="0" w:line="259" w:lineRule="exact"/>
        <w:rPr>
          <w:sz w:val="20"/>
          <w:szCs w:val="20"/>
          <w:color w:val="auto"/>
        </w:rPr>
      </w:pPr>
    </w:p>
    <w:p>
      <w:pPr>
        <w:ind w:left="6"/>
        <w:spacing w:after="0"/>
        <w:tabs>
          <w:tab w:leader="none" w:pos="3806" w:val="left"/>
          <w:tab w:leader="none" w:pos="4686" w:val="left"/>
        </w:tabs>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D</w:t>
      </w:r>
      <w:r>
        <w:rPr>
          <w:rFonts w:ascii="Times New Roman" w:cs="Times New Roman" w:eastAsia="Times New Roman" w:hAnsi="Times New Roman"/>
          <w:sz w:val="13"/>
          <w:szCs w:val="13"/>
          <w:color w:val="auto"/>
        </w:rPr>
        <w:t>ATE</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ind w:left="6"/>
        <w:spacing w:after="0"/>
        <w:tabs>
          <w:tab w:leader="none" w:pos="4686"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533527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53">
                      <a:extLst>
                        <a:ext uri="{28A0092B-C50C-407E-A947-70E740481C1C}"/>
                      </a:extLst>
                    </a:blip>
                    <a:srcRect/>
                    <a:stretch>
                      <a:fillRect/>
                    </a:stretch>
                  </pic:blipFill>
                  <pic:spPr bwMode="auto">
                    <a:xfrm>
                      <a:off x="0" y="0"/>
                      <a:ext cx="5335270" cy="8255"/>
                    </a:xfrm>
                    <a:prstGeom prst="rect">
                      <a:avLst/>
                    </a:prstGeom>
                    <a:noFill/>
                  </pic:spPr>
                </pic:pic>
              </a:graphicData>
            </a:graphic>
          </wp:anchor>
        </w:drawing>
      </w:r>
    </w:p>
    <w:p>
      <w:pPr>
        <w:spacing w:after="0" w:line="1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«Name»</w:t>
      </w:r>
    </w:p>
    <w:p>
      <w:pPr>
        <w:spacing w:after="0" w:line="154" w:lineRule="exact"/>
        <w:rPr>
          <w:sz w:val="20"/>
          <w:szCs w:val="20"/>
          <w:color w:val="auto"/>
        </w:rPr>
      </w:pPr>
    </w:p>
    <w:p>
      <w:pPr>
        <w:ind w:left="5406"/>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ectPr>
          <w:pgSz w:w="11900" w:h="16838" w:orient="portrait"/>
          <w:cols w:equalWidth="0" w:num="2">
            <w:col w:w="7886" w:space="620"/>
            <w:col w:w="2340"/>
          </w:cols>
          <w:pgMar w:left="494" w:top="268" w:right="559" w:bottom="1440" w:gutter="0" w:footer="0" w:header="0"/>
          <w:type w:val="continuous"/>
        </w:sectPr>
      </w:pPr>
    </w:p>
    <w:bookmarkStart w:id="436" w:name="page437"/>
    <w:bookmarkEnd w:id="436"/>
    <w:p>
      <w:pPr>
        <w:ind w:left="6"/>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5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E</w:t>
      </w:r>
      <w:r>
        <w:rPr>
          <w:rFonts w:ascii="Times New Roman" w:cs="Times New Roman" w:eastAsia="Times New Roman" w:hAnsi="Times New Roman"/>
          <w:sz w:val="14"/>
          <w:szCs w:val="14"/>
          <w:color w:val="auto"/>
        </w:rPr>
        <w:t>XPLANATION OF</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ORMS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WNERSHIP</w:t>
      </w:r>
    </w:p>
    <w:p>
      <w:pPr>
        <w:spacing w:after="0" w:line="11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URPOSE OF</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HIS</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XPLANATION</w:t>
      </w:r>
    </w:p>
    <w:p>
      <w:pPr>
        <w:spacing w:after="0" w:line="114" w:lineRule="exact"/>
        <w:rPr>
          <w:sz w:val="20"/>
          <w:szCs w:val="20"/>
          <w:color w:val="auto"/>
        </w:rPr>
      </w:pPr>
    </w:p>
    <w:p>
      <w:pPr>
        <w:ind w:left="6" w:right="120"/>
        <w:spacing w:after="0" w:line="277" w:lineRule="auto"/>
        <w:rPr>
          <w:sz w:val="20"/>
          <w:szCs w:val="20"/>
          <w:color w:val="auto"/>
        </w:rPr>
      </w:pPr>
      <w:r>
        <w:rPr>
          <w:rFonts w:ascii="Times New Roman" w:cs="Times New Roman" w:eastAsia="Times New Roman" w:hAnsi="Times New Roman"/>
          <w:sz w:val="18"/>
          <w:szCs w:val="18"/>
          <w:color w:val="auto"/>
        </w:rPr>
        <w:t>The purpose of this explanation is to provide you with a brief summary of the forms of legal ownership available for the shares that you are purchasing (the “Purchased Shares”). For a number of reasons, this explanation is no substitute for personal legal advice:</w:t>
      </w:r>
    </w:p>
    <w:p>
      <w:pPr>
        <w:spacing w:after="0" w:line="70" w:lineRule="exact"/>
        <w:rPr>
          <w:sz w:val="20"/>
          <w:szCs w:val="20"/>
          <w:color w:val="auto"/>
        </w:rPr>
      </w:pPr>
    </w:p>
    <w:p>
      <w:pPr>
        <w:ind w:left="426" w:right="620" w:hanging="426"/>
        <w:spacing w:after="0" w:line="277" w:lineRule="auto"/>
        <w:tabs>
          <w:tab w:leader="none" w:pos="42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the explanation short and readable, only the highlights are covered. Some legal rules are not addressed, even though they may be important in particular cases.</w:t>
      </w:r>
    </w:p>
    <w:p>
      <w:pPr>
        <w:spacing w:after="0" w:line="69"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summary attempts to deal with the most common situations, your own situation may well be different from the norm.</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 may change, and the Company is not responsible for updating this summary.</w:t>
      </w:r>
    </w:p>
    <w:p>
      <w:pPr>
        <w:spacing w:after="0" w:line="126" w:lineRule="exact"/>
        <w:rPr>
          <w:rFonts w:ascii="Times New Roman" w:cs="Times New Roman" w:eastAsia="Times New Roman" w:hAnsi="Times New Roman"/>
          <w:sz w:val="18"/>
          <w:szCs w:val="18"/>
          <w:color w:val="auto"/>
        </w:rPr>
      </w:pPr>
    </w:p>
    <w:p>
      <w:pPr>
        <w:ind w:left="426" w:right="100" w:hanging="426"/>
        <w:spacing w:after="0" w:line="277" w:lineRule="auto"/>
        <w:tabs>
          <w:tab w:leader="none" w:pos="42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in which you own your shares may have a substantial impact on the estate tax treatment that applies to those shares when you die or the income tax treatment that applies when your survivors sell the shares after your death.</w:t>
      </w:r>
    </w:p>
    <w:p>
      <w:pPr>
        <w:spacing w:after="0" w:line="163" w:lineRule="exact"/>
        <w:rPr>
          <w:sz w:val="20"/>
          <w:szCs w:val="20"/>
          <w:color w:val="auto"/>
        </w:rPr>
      </w:pPr>
    </w:p>
    <w:p>
      <w:pPr>
        <w:ind w:left="6" w:right="500"/>
        <w:spacing w:after="0" w:line="293" w:lineRule="auto"/>
        <w:rPr>
          <w:sz w:val="20"/>
          <w:szCs w:val="20"/>
          <w:color w:val="auto"/>
        </w:rPr>
      </w:pP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4"/>
          <w:szCs w:val="14"/>
          <w:u w:val="single" w:color="auto"/>
          <w:color w:val="auto"/>
        </w:rPr>
        <w:t>OR THESE REASONS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4"/>
          <w:szCs w:val="14"/>
          <w:u w:val="single" w:color="auto"/>
          <w:color w:val="auto"/>
        </w:rPr>
        <w:t>THE</w:t>
      </w:r>
      <w:r>
        <w:rPr>
          <w:rFonts w:ascii="Times New Roman" w:cs="Times New Roman" w:eastAsia="Times New Roman" w:hAnsi="Times New Roman"/>
          <w:sz w:val="18"/>
          <w:szCs w:val="18"/>
          <w:u w:val="single" w:color="auto"/>
          <w:color w:val="auto"/>
        </w:rPr>
        <w:t xml:space="preserve"> C</w:t>
      </w:r>
      <w:r>
        <w:rPr>
          <w:rFonts w:ascii="Times New Roman" w:cs="Times New Roman" w:eastAsia="Times New Roman" w:hAnsi="Times New Roman"/>
          <w:sz w:val="14"/>
          <w:szCs w:val="14"/>
          <w:u w:val="single" w:color="auto"/>
          <w:color w:val="auto"/>
        </w:rPr>
        <w:t>OMPANY STRONGLY ENCOURAGES YOU TO CONSULT YOUR OWN ADVISER BEFORE EXERCISING YOUR OPTION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4"/>
          <w:szCs w:val="14"/>
          <w:u w:val="single" w:color="auto"/>
          <w:color w:val="auto"/>
        </w:rPr>
        <w:t>BEFORE MAKING A DECISION ABOUT THE FORM OF OWNERSHIP FOR YOUR SHARES</w:t>
      </w:r>
      <w:r>
        <w:rPr>
          <w:rFonts w:ascii="Times New Roman" w:cs="Times New Roman" w:eastAsia="Times New Roman" w:hAnsi="Times New Roman"/>
          <w:sz w:val="17"/>
          <w:szCs w:val="17"/>
          <w:u w:val="single" w:color="auto"/>
          <w:color w:val="auto"/>
        </w:rPr>
        <w:t>.</w:t>
      </w:r>
    </w:p>
    <w:p>
      <w:pPr>
        <w:spacing w:after="0" w:line="25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VERVIEW</w:t>
      </w:r>
    </w:p>
    <w:p>
      <w:pPr>
        <w:spacing w:after="0" w:line="11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The Notice of Stock Option Exercise offers five forms of taking title to the Purchased Shares:</w:t>
      </w:r>
    </w:p>
    <w:p>
      <w:pPr>
        <w:spacing w:after="0" w:line="127" w:lineRule="exact"/>
        <w:rPr>
          <w:sz w:val="20"/>
          <w:szCs w:val="20"/>
          <w:color w:val="auto"/>
        </w:rPr>
      </w:pPr>
    </w:p>
    <w:p>
      <w:pPr>
        <w:ind w:left="426" w:hanging="426"/>
        <w:spacing w:after="0"/>
        <w:tabs>
          <w:tab w:leader="none" w:pos="42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your name only,</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your name and the name of your spouse as community property,</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your name and the name of your spouse as community property with the right of survivorship,</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your name and the name of your spouse as joint tenants with the right of survivorship, or</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name of an eligible revocable trust.</w:t>
      </w:r>
    </w:p>
    <w:p>
      <w:pPr>
        <w:spacing w:after="0" w:line="220" w:lineRule="exact"/>
        <w:rPr>
          <w:sz w:val="20"/>
          <w:szCs w:val="20"/>
          <w:color w:val="auto"/>
        </w:rPr>
      </w:pPr>
    </w:p>
    <w:p>
      <w:pPr>
        <w:ind w:left="6"/>
        <w:spacing w:after="0" w:line="257" w:lineRule="auto"/>
        <w:rPr>
          <w:sz w:val="20"/>
          <w:szCs w:val="20"/>
          <w:color w:val="auto"/>
        </w:rPr>
      </w:pPr>
      <w:r>
        <w:rPr>
          <w:rFonts w:ascii="Times New Roman" w:cs="Times New Roman" w:eastAsia="Times New Roman" w:hAnsi="Times New Roman"/>
          <w:sz w:val="18"/>
          <w:szCs w:val="18"/>
          <w:color w:val="auto"/>
        </w:rPr>
        <w:t>Title in the Purchased Shares depends upon (a) your marital status, (b) the marital property laws of your state of residence and (c) any agreement with your spouse altering the existing marital property laws of your state of residence. If you are not married, you generally will take title in your name alone. If you are married, title depends upon the marital property laws of your state of residence. In general, states are classified either as “community property” states or as “common-law property” states. (But individual state law may vary within these classifications.)</w:t>
      </w:r>
    </w:p>
    <w:p>
      <w:pPr>
        <w:spacing w:after="0" w:line="115"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6"/>
          </w:cols>
          <w:pgMar w:left="494" w:top="267" w:right="519" w:bottom="1440" w:gutter="0" w:footer="0" w:header="0"/>
        </w:sectPr>
      </w:pPr>
    </w:p>
    <w:bookmarkStart w:id="437" w:name="page438"/>
    <w:bookmarkEnd w:id="43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5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C</w:t>
      </w:r>
      <w:r>
        <w:rPr>
          <w:rFonts w:ascii="Times New Roman" w:cs="Times New Roman" w:eastAsia="Times New Roman" w:hAnsi="Times New Roman"/>
          <w:sz w:val="14"/>
          <w:szCs w:val="14"/>
          <w:color w:val="auto"/>
        </w:rPr>
        <w:t>OMMUNITY</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ROPERTY AND</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4"/>
          <w:szCs w:val="14"/>
          <w:color w:val="auto"/>
        </w:rPr>
        <w:t>OINT</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ENANCY</w:t>
      </w:r>
    </w:p>
    <w:p>
      <w:pPr>
        <w:spacing w:after="0" w:line="11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Community property states include California, Texas, Washington, Arizona, Nevada, New Mexico, Idaho, Louisiana and Wisconsin. In a community property state, property acquired during marriage by either spouse is presumed to be one-half owned by each spouse. All other property is classified as the separate property of the spouse who acquires the property. While either spouse has equal management and control over the community property and may sell, spend or encumber all community property, neither spouse may gift community property or partition his/her one-half interest without the consent of the other spouse. Upon divorce, all community property is divided equally among the spouses and each spouse is entitled to retain all of his/her separate property. Upon the death of a spouse, one-half of the community property (and all of the decedent spouse’s separate property) will pass to the decedent spouse’s heirs. The other one-half of the community property remains the property of the surviving spouse.</w:t>
      </w:r>
    </w:p>
    <w:p>
      <w:pPr>
        <w:spacing w:after="0" w:line="189"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18"/>
          <w:szCs w:val="18"/>
          <w:color w:val="auto"/>
        </w:rPr>
        <w:t>Other states are common-law property states. In a common-law property state, each spouse is generally deemed to own whatever he/she earns or acquires.</w:t>
      </w:r>
    </w:p>
    <w:p>
      <w:pPr>
        <w:spacing w:after="0" w:line="163"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color w:val="auto"/>
        </w:rPr>
        <w:t>A married couple may elect to alter the marital property rules by mutually agreeing to take title to property in other forms. For example, a couple residing in a community property state may generally enter into an agreement and transform what otherwise would be community property into the separate property of the spouse who earns or acquires the property.</w:t>
      </w:r>
    </w:p>
    <w:p>
      <w:pPr>
        <w:spacing w:after="0" w:line="177"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In addition, many community property and common-law property states allow married couples to take joint title in property acquired during marriage. For example, California allows a married couple to take title in a joint tenancy with the right of survivorship. In a joint tenancy, each spouse owns a one-half interest in the property as separate property. This means that each spouse may transfer or sell his/her one-half interest in the property while he/she is alive. However, unlike traditional separate property, a spouse cannot transfer his/her one-half interest to heirs at death. Instead, the surviving spouse automatically receives the decedent spouse’s one-half interest and becomes the full owner of the property. (This is called the “right of survivorship.”) Both spouses must consent to taking property in a joint tenancy in lieu of having the community property laws apply.</w:t>
      </w:r>
    </w:p>
    <w:p>
      <w:pPr>
        <w:spacing w:after="0" w:line="17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California also allows a married couple to take title in the shares as community property with the right of survivorship. This means that the shares are treated like community property while both spouses are alive. However, if one spouse dies, then the other spouse automatically receives the decedent spouse’s one-half interest and becomes the full owner of the shares. In other words, the decedent spouse’s will or trust does not control the disposition of the shares.</w:t>
      </w:r>
    </w:p>
    <w:p>
      <w:pPr>
        <w:spacing w:after="0" w:line="18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If you have the Purchased Shares issued in a form other than those described above, then the transfer will be treated as a “disposition” for tax purposes. This means that the effect, for tax purposes, will be the same as selling the Purchased Shares. Please refer to the attached tax summary for additional information.</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60"/>
          </w:cols>
          <w:pgMar w:left="500" w:top="267" w:right="539" w:bottom="1440" w:gutter="0" w:footer="0" w:header="0"/>
        </w:sectPr>
      </w:pPr>
    </w:p>
    <w:bookmarkStart w:id="438" w:name="page439"/>
    <w:bookmarkEnd w:id="438"/>
    <w:p>
      <w:pPr>
        <w:ind w:left="6"/>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w:t>
      </w:r>
      <w:r>
        <w:rPr>
          <w:rFonts w:ascii="Times New Roman" w:cs="Times New Roman" w:eastAsia="Times New Roman" w:hAnsi="Times New Roman"/>
          <w:sz w:val="14"/>
          <w:szCs w:val="14"/>
          <w:color w:val="auto"/>
        </w:rPr>
        <w:t>RUSTS</w:t>
      </w:r>
    </w:p>
    <w:p>
      <w:pPr>
        <w:spacing w:after="0" w:line="114" w:lineRule="exact"/>
        <w:rPr>
          <w:sz w:val="20"/>
          <w:szCs w:val="20"/>
          <w:color w:val="auto"/>
        </w:rPr>
      </w:pPr>
    </w:p>
    <w:p>
      <w:pPr>
        <w:ind w:left="6" w:right="60"/>
        <w:spacing w:after="0" w:line="277" w:lineRule="auto"/>
        <w:rPr>
          <w:sz w:val="20"/>
          <w:szCs w:val="20"/>
          <w:color w:val="auto"/>
        </w:rPr>
      </w:pPr>
      <w:r>
        <w:rPr>
          <w:rFonts w:ascii="Times New Roman" w:cs="Times New Roman" w:eastAsia="Times New Roman" w:hAnsi="Times New Roman"/>
          <w:sz w:val="18"/>
          <w:szCs w:val="18"/>
          <w:color w:val="auto"/>
        </w:rPr>
        <w:t>A transfer to a trust generally should not be treated as a “disposition” of the Purchased Shares for tax purposes if the trust satisfies each of the following conditions:</w:t>
      </w:r>
    </w:p>
    <w:p>
      <w:pPr>
        <w:spacing w:after="0" w:line="70" w:lineRule="exact"/>
        <w:rPr>
          <w:sz w:val="20"/>
          <w:szCs w:val="20"/>
          <w:color w:val="auto"/>
        </w:rPr>
      </w:pPr>
    </w:p>
    <w:p>
      <w:pPr>
        <w:ind w:left="426" w:hanging="426"/>
        <w:spacing w:after="0"/>
        <w:tabs>
          <w:tab w:leader="none" w:pos="42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the sole grantor of the trust,</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the sole trustee, or you and your spouse are the sole co-trustees,</w:t>
      </w:r>
    </w:p>
    <w:p>
      <w:pPr>
        <w:spacing w:after="0" w:line="126" w:lineRule="exact"/>
        <w:rPr>
          <w:rFonts w:ascii="Times New Roman" w:cs="Times New Roman" w:eastAsia="Times New Roman" w:hAnsi="Times New Roman"/>
          <w:sz w:val="18"/>
          <w:szCs w:val="18"/>
          <w:color w:val="auto"/>
        </w:rPr>
      </w:pPr>
    </w:p>
    <w:p>
      <w:pPr>
        <w:ind w:left="426" w:right="240" w:hanging="426"/>
        <w:spacing w:after="0" w:line="277" w:lineRule="auto"/>
        <w:tabs>
          <w:tab w:leader="none" w:pos="42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or trustees are not required to distribute the income of the trust to any person other than you and/or your spouse while you are alive, and</w:t>
      </w:r>
    </w:p>
    <w:p>
      <w:pPr>
        <w:spacing w:after="0" w:line="69" w:lineRule="exact"/>
        <w:rPr>
          <w:rFonts w:ascii="Times New Roman" w:cs="Times New Roman" w:eastAsia="Times New Roman" w:hAnsi="Times New Roman"/>
          <w:sz w:val="18"/>
          <w:szCs w:val="18"/>
          <w:color w:val="auto"/>
        </w:rPr>
      </w:pPr>
    </w:p>
    <w:p>
      <w:pPr>
        <w:ind w:left="426" w:right="560" w:hanging="426"/>
        <w:spacing w:after="0" w:line="277" w:lineRule="auto"/>
        <w:tabs>
          <w:tab w:leader="none" w:pos="42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permits you to revoke all or part of the trust and to have the trust’s assets returned to you, without the consent of any other person (including your spouse).</w:t>
      </w:r>
    </w:p>
    <w:p>
      <w:pPr>
        <w:spacing w:after="0" w:line="163" w:lineRule="exact"/>
        <w:rPr>
          <w:sz w:val="20"/>
          <w:szCs w:val="20"/>
          <w:color w:val="auto"/>
        </w:rPr>
      </w:pPr>
    </w:p>
    <w:p>
      <w:pPr>
        <w:ind w:left="6" w:right="340"/>
        <w:spacing w:after="0" w:line="262" w:lineRule="auto"/>
        <w:rPr>
          <w:sz w:val="20"/>
          <w:szCs w:val="20"/>
          <w:color w:val="auto"/>
        </w:rPr>
      </w:pPr>
      <w:r>
        <w:rPr>
          <w:rFonts w:ascii="Times New Roman" w:cs="Times New Roman" w:eastAsia="Times New Roman" w:hAnsi="Times New Roman"/>
          <w:sz w:val="18"/>
          <w:szCs w:val="18"/>
          <w:color w:val="auto"/>
        </w:rPr>
        <w:t>If you have the Purchased Shares issued to a trust that does not meet these requirements, then the transfer will be treated as a “disposition” for tax purposes. This means that the effect, for tax purposes, will be the same as selling the Purchased Shares. Please refer to the attached tax summary for additional information.</w:t>
      </w:r>
    </w:p>
    <w:p>
      <w:pPr>
        <w:spacing w:after="0" w:line="177" w:lineRule="exact"/>
        <w:rPr>
          <w:sz w:val="20"/>
          <w:szCs w:val="20"/>
          <w:color w:val="auto"/>
        </w:rPr>
      </w:pPr>
    </w:p>
    <w:p>
      <w:pPr>
        <w:ind w:left="6"/>
        <w:spacing w:after="0" w:line="262" w:lineRule="auto"/>
        <w:rPr>
          <w:sz w:val="20"/>
          <w:szCs w:val="20"/>
          <w:color w:val="auto"/>
        </w:rPr>
      </w:pPr>
      <w:r>
        <w:rPr>
          <w:rFonts w:ascii="Times New Roman" w:cs="Times New Roman" w:eastAsia="Times New Roman" w:hAnsi="Times New Roman"/>
          <w:sz w:val="18"/>
          <w:szCs w:val="18"/>
          <w:color w:val="auto"/>
        </w:rPr>
        <w:t>If you have the Purchased Shares issued to any trust, you will be required to sign a Stock Transfer Agreement in your capacity as trustee. Under the Stock Transfer Agreement, the Purchased Shares remain subject to the Company’s right of first refusal in accordance with the applicable Notice of Stock Option Grant and Stock Option Agreement.</w:t>
      </w:r>
    </w:p>
    <w:p>
      <w:pPr>
        <w:spacing w:after="0" w:line="17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4"/>
          <w:szCs w:val="14"/>
          <w:u w:val="single" w:color="auto"/>
          <w:color w:val="auto"/>
        </w:rPr>
        <w:t>HE</w:t>
      </w:r>
      <w:r>
        <w:rPr>
          <w:rFonts w:ascii="Times New Roman" w:cs="Times New Roman" w:eastAsia="Times New Roman" w:hAnsi="Times New Roman"/>
          <w:sz w:val="18"/>
          <w:szCs w:val="18"/>
          <w:u w:val="single" w:color="auto"/>
          <w:color w:val="auto"/>
        </w:rPr>
        <w:t xml:space="preserve"> C</w:t>
      </w:r>
      <w:r>
        <w:rPr>
          <w:rFonts w:ascii="Times New Roman" w:cs="Times New Roman" w:eastAsia="Times New Roman" w:hAnsi="Times New Roman"/>
          <w:sz w:val="14"/>
          <w:szCs w:val="14"/>
          <w:u w:val="single" w:color="auto"/>
          <w:color w:val="auto"/>
        </w:rPr>
        <w:t>OMPANY WILL NOT CHECK TO DETERMINE WHETHER THE FORM OF OWNERSHIP THAT YOU ELECT IN YOUR</w:t>
      </w:r>
      <w:r>
        <w:rPr>
          <w:rFonts w:ascii="Times New Roman" w:cs="Times New Roman" w:eastAsia="Times New Roman" w:hAnsi="Times New Roman"/>
          <w:sz w:val="18"/>
          <w:szCs w:val="18"/>
          <w:u w:val="single" w:color="auto"/>
          <w:color w:val="auto"/>
        </w:rPr>
        <w:t xml:space="preserve"> N</w:t>
      </w:r>
      <w:r>
        <w:rPr>
          <w:rFonts w:ascii="Times New Roman" w:cs="Times New Roman" w:eastAsia="Times New Roman" w:hAnsi="Times New Roman"/>
          <w:sz w:val="14"/>
          <w:szCs w:val="14"/>
          <w:u w:val="single" w:color="auto"/>
          <w:color w:val="auto"/>
        </w:rPr>
        <w:t>OTICE OF</w:t>
      </w:r>
      <w:r>
        <w:rPr>
          <w:rFonts w:ascii="Times New Roman" w:cs="Times New Roman" w:eastAsia="Times New Roman" w:hAnsi="Times New Roman"/>
          <w:sz w:val="18"/>
          <w:szCs w:val="18"/>
          <w:u w:val="single" w:color="auto"/>
          <w:color w:val="auto"/>
        </w:rPr>
        <w:t xml:space="preserve"> S</w:t>
      </w:r>
      <w:r>
        <w:rPr>
          <w:rFonts w:ascii="Times New Roman" w:cs="Times New Roman" w:eastAsia="Times New Roman" w:hAnsi="Times New Roman"/>
          <w:sz w:val="14"/>
          <w:szCs w:val="14"/>
          <w:u w:val="single" w:color="auto"/>
          <w:color w:val="auto"/>
        </w:rPr>
        <w:t>TOCK</w:t>
      </w:r>
      <w:r>
        <w:rPr>
          <w:rFonts w:ascii="Times New Roman" w:cs="Times New Roman" w:eastAsia="Times New Roman" w:hAnsi="Times New Roman"/>
          <w:sz w:val="18"/>
          <w:szCs w:val="18"/>
          <w:u w:val="single" w:color="auto"/>
          <w:color w:val="auto"/>
        </w:rPr>
        <w:t xml:space="preserve"> O</w:t>
      </w:r>
      <w:r>
        <w:rPr>
          <w:rFonts w:ascii="Times New Roman" w:cs="Times New Roman" w:eastAsia="Times New Roman" w:hAnsi="Times New Roman"/>
          <w:sz w:val="14"/>
          <w:szCs w:val="14"/>
          <w:u w:val="single" w:color="auto"/>
          <w:color w:val="auto"/>
        </w:rPr>
        <w:t>PTION</w:t>
      </w:r>
    </w:p>
    <w:p>
      <w:pPr>
        <w:spacing w:after="0" w:line="26" w:lineRule="exact"/>
        <w:rPr>
          <w:sz w:val="20"/>
          <w:szCs w:val="20"/>
          <w:color w:val="auto"/>
        </w:rPr>
      </w:pPr>
    </w:p>
    <w:p>
      <w:pPr>
        <w:ind w:left="6" w:right="60"/>
        <w:spacing w:after="0" w:line="255" w:lineRule="auto"/>
        <w:rPr>
          <w:sz w:val="20"/>
          <w:szCs w:val="20"/>
          <w:color w:val="auto"/>
        </w:rPr>
      </w:pP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4"/>
          <w:szCs w:val="14"/>
          <w:u w:val="single" w:color="auto"/>
          <w:color w:val="auto"/>
        </w:rPr>
        <w:t>XERCISE IS APPROPRIATE</w:t>
      </w:r>
      <w:r>
        <w:rPr>
          <w:rFonts w:ascii="Times New Roman" w:cs="Times New Roman" w:eastAsia="Times New Roman" w:hAnsi="Times New Roman"/>
          <w:sz w:val="18"/>
          <w:szCs w:val="18"/>
          <w:u w:val="single" w:color="auto"/>
          <w:color w:val="auto"/>
        </w:rPr>
        <w:t>. Y</w:t>
      </w:r>
      <w:r>
        <w:rPr>
          <w:rFonts w:ascii="Times New Roman" w:cs="Times New Roman" w:eastAsia="Times New Roman" w:hAnsi="Times New Roman"/>
          <w:sz w:val="14"/>
          <w:szCs w:val="14"/>
          <w:u w:val="single" w:color="auto"/>
          <w:color w:val="auto"/>
        </w:rPr>
        <w:t>OU SHOULD CONSULT YOUR OWN ADVISERS ON THIS SUBJECT</w:t>
      </w:r>
      <w:r>
        <w:rPr>
          <w:rFonts w:ascii="Times New Roman" w:cs="Times New Roman" w:eastAsia="Times New Roman" w:hAnsi="Times New Roman"/>
          <w:sz w:val="18"/>
          <w:szCs w:val="18"/>
          <w:u w:val="single" w:color="auto"/>
          <w:color w:val="auto"/>
        </w:rPr>
        <w:t>. I</w:t>
      </w:r>
      <w:r>
        <w:rPr>
          <w:rFonts w:ascii="Times New Roman" w:cs="Times New Roman" w:eastAsia="Times New Roman" w:hAnsi="Times New Roman"/>
          <w:sz w:val="14"/>
          <w:szCs w:val="14"/>
          <w:u w:val="single" w:color="auto"/>
          <w:color w:val="auto"/>
        </w:rPr>
        <w:t>F AN INAPPROPRIATE ELECTION IS MADE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4"/>
          <w:szCs w:val="14"/>
          <w:u w:val="single" w:color="auto"/>
          <w:color w:val="auto"/>
        </w:rPr>
        <w:t>THE FORM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4"/>
          <w:szCs w:val="14"/>
          <w:u w:val="single" w:color="auto"/>
          <w:color w:val="auto"/>
        </w:rPr>
        <w:t>OWNERSHIP MAY NOT WITHSTAND LEGAL SCRUTINY OR MAY HAVE ADVERSE TAX CONSEQUENCES</w:t>
      </w:r>
      <w:r>
        <w:rPr>
          <w:rFonts w:ascii="Times New Roman" w:cs="Times New Roman" w:eastAsia="Times New Roman" w:hAnsi="Times New Roman"/>
          <w:sz w:val="17"/>
          <w:szCs w:val="17"/>
          <w:u w:val="single" w:color="auto"/>
          <w:color w:val="auto"/>
        </w:rPr>
        <w:t>.</w:t>
      </w:r>
    </w:p>
    <w:p>
      <w:pPr>
        <w:spacing w:after="0" w:line="11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6"/>
          </w:cols>
          <w:pgMar w:left="494" w:top="268" w:right="519" w:bottom="1440" w:gutter="0" w:footer="0" w:header="0"/>
        </w:sectPr>
      </w:pPr>
    </w:p>
    <w:bookmarkStart w:id="439" w:name="page440"/>
    <w:bookmarkEnd w:id="439"/>
    <w:p>
      <w:pPr>
        <w:jc w:val="center"/>
        <w:ind w:right="-25"/>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w:t>
      </w:r>
      <w:r>
        <w:rPr>
          <w:rFonts w:ascii="Times New Roman" w:cs="Times New Roman" w:eastAsia="Times New Roman" w:hAnsi="Times New Roman"/>
          <w:sz w:val="14"/>
          <w:szCs w:val="14"/>
          <w:color w:val="auto"/>
        </w:rPr>
        <w:t>XPLANATION OF</w:t>
      </w:r>
      <w:r>
        <w:rPr>
          <w:rFonts w:ascii="Times New Roman" w:cs="Times New Roman" w:eastAsia="Times New Roman" w:hAnsi="Times New Roman"/>
          <w:sz w:val="18"/>
          <w:szCs w:val="18"/>
          <w:color w:val="auto"/>
        </w:rPr>
        <w:t xml:space="preserve"> U.S. F</w:t>
      </w:r>
      <w:r>
        <w:rPr>
          <w:rFonts w:ascii="Times New Roman" w:cs="Times New Roman" w:eastAsia="Times New Roman" w:hAnsi="Times New Roman"/>
          <w:sz w:val="14"/>
          <w:szCs w:val="14"/>
          <w:color w:val="auto"/>
        </w:rPr>
        <w:t>EDERAL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NCOME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AX</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ONSEQUENCES</w:t>
      </w:r>
    </w:p>
    <w:p>
      <w:pPr>
        <w:spacing w:after="0" w:line="26"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(Current as of August 2009)</w:t>
      </w:r>
    </w:p>
    <w:p>
      <w:pPr>
        <w:spacing w:after="0" w:line="30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URPOSE OF</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HIS</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XPLANATION</w:t>
      </w:r>
    </w:p>
    <w:p>
      <w:pPr>
        <w:spacing w:after="0" w:line="114" w:lineRule="exact"/>
        <w:rPr>
          <w:sz w:val="20"/>
          <w:szCs w:val="20"/>
          <w:color w:val="auto"/>
        </w:rPr>
      </w:pPr>
    </w:p>
    <w:p>
      <w:pPr>
        <w:ind w:left="6" w:right="40"/>
        <w:spacing w:after="0" w:line="277" w:lineRule="auto"/>
        <w:rPr>
          <w:sz w:val="20"/>
          <w:szCs w:val="20"/>
          <w:color w:val="auto"/>
        </w:rPr>
      </w:pPr>
      <w:r>
        <w:rPr>
          <w:rFonts w:ascii="Times New Roman" w:cs="Times New Roman" w:eastAsia="Times New Roman" w:hAnsi="Times New Roman"/>
          <w:sz w:val="18"/>
          <w:szCs w:val="18"/>
          <w:color w:val="auto"/>
        </w:rPr>
        <w:t>The purpose of this explanation is to provide you with a brief summary of the tax consequences of exercising your option. For a number of reasons, this explanation is no substitute for personal tax advice:</w:t>
      </w:r>
    </w:p>
    <w:p>
      <w:pPr>
        <w:spacing w:after="0" w:line="70" w:lineRule="exact"/>
        <w:rPr>
          <w:sz w:val="20"/>
          <w:szCs w:val="20"/>
          <w:color w:val="auto"/>
        </w:rPr>
      </w:pPr>
    </w:p>
    <w:p>
      <w:pPr>
        <w:ind w:left="426" w:hanging="426"/>
        <w:spacing w:after="0" w:line="277" w:lineRule="auto"/>
        <w:tabs>
          <w:tab w:leader="none" w:pos="42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the explanation short and readable, only the highlights are covered. Some tax rules are not addressed, even though they may be important in particular cases.</w:t>
      </w:r>
    </w:p>
    <w:p>
      <w:pPr>
        <w:spacing w:after="0" w:line="69"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summary attempts to deal with the most common situations, your own tax situation may well be different from the norm.</w:t>
      </w:r>
    </w:p>
    <w:p>
      <w:pPr>
        <w:spacing w:after="0" w:line="126" w:lineRule="exact"/>
        <w:rPr>
          <w:rFonts w:ascii="Times New Roman" w:cs="Times New Roman" w:eastAsia="Times New Roman" w:hAnsi="Times New Roman"/>
          <w:sz w:val="18"/>
          <w:szCs w:val="18"/>
          <w:color w:val="auto"/>
        </w:rPr>
      </w:pPr>
    </w:p>
    <w:p>
      <w:pPr>
        <w:ind w:left="426" w:right="140" w:hanging="426"/>
        <w:spacing w:after="0" w:line="277" w:lineRule="auto"/>
        <w:tabs>
          <w:tab w:leader="none" w:pos="42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income taxes are not addressed at all, even though they could have a significant impact on your tax planning. Likewise, federal gift and estate taxes and state inheritance taxes are not discussed.</w:t>
      </w:r>
    </w:p>
    <w:p>
      <w:pPr>
        <w:spacing w:after="0" w:line="69"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planning involving incentive stock options is exceedingly complex, in part because of the possible application of the alternative minimum tax.</w:t>
      </w:r>
    </w:p>
    <w:p>
      <w:pPr>
        <w:spacing w:after="0" w:line="138" w:lineRule="exact"/>
        <w:rPr>
          <w:rFonts w:ascii="Times New Roman" w:cs="Times New Roman" w:eastAsia="Times New Roman" w:hAnsi="Times New Roman"/>
          <w:sz w:val="17"/>
          <w:szCs w:val="17"/>
          <w:color w:val="auto"/>
        </w:rPr>
      </w:pPr>
    </w:p>
    <w:p>
      <w:pPr>
        <w:ind w:left="426" w:right="100" w:hanging="426"/>
        <w:spacing w:after="0" w:line="308" w:lineRule="auto"/>
        <w:tabs>
          <w:tab w:leader="none" w:pos="426"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explanation assumes that your option is not subject to section 409A of the Internal Revenue Code. However, the Company cannot be certain that section 409A is inapplicable to your option. (Please refer to the last segment of this summary for more information about section 409A.)</w:t>
      </w:r>
    </w:p>
    <w:p>
      <w:pPr>
        <w:spacing w:after="0" w:line="45" w:lineRule="exact"/>
        <w:rPr>
          <w:rFonts w:ascii="Times New Roman" w:cs="Times New Roman" w:eastAsia="Times New Roman" w:hAnsi="Times New Roman"/>
          <w:sz w:val="17"/>
          <w:szCs w:val="17"/>
          <w:color w:val="auto"/>
        </w:rPr>
      </w:pPr>
    </w:p>
    <w:p>
      <w:pPr>
        <w:ind w:left="426" w:hanging="426"/>
        <w:spacing w:after="0"/>
        <w:tabs>
          <w:tab w:leader="none" w:pos="42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rules change often, and the Company is not responsible for updating this summary. (Please refer to the date at the top of this page.)</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4"/>
          <w:szCs w:val="14"/>
          <w:u w:val="single" w:color="auto"/>
          <w:color w:val="auto"/>
        </w:rPr>
        <w:t>OR THESE REASONS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4"/>
          <w:szCs w:val="14"/>
          <w:u w:val="single" w:color="auto"/>
          <w:color w:val="auto"/>
        </w:rPr>
        <w:t>THE</w:t>
      </w:r>
      <w:r>
        <w:rPr>
          <w:rFonts w:ascii="Times New Roman" w:cs="Times New Roman" w:eastAsia="Times New Roman" w:hAnsi="Times New Roman"/>
          <w:sz w:val="18"/>
          <w:szCs w:val="18"/>
          <w:u w:val="single" w:color="auto"/>
          <w:color w:val="auto"/>
        </w:rPr>
        <w:t xml:space="preserve"> C</w:t>
      </w:r>
      <w:r>
        <w:rPr>
          <w:rFonts w:ascii="Times New Roman" w:cs="Times New Roman" w:eastAsia="Times New Roman" w:hAnsi="Times New Roman"/>
          <w:sz w:val="14"/>
          <w:szCs w:val="14"/>
          <w:u w:val="single" w:color="auto"/>
          <w:color w:val="auto"/>
        </w:rPr>
        <w:t>OMPANY STRONGLY ENCOURAGES YOU TO CONSULT YOUR OWN TAX ADVISER BEFORE EXERCISING YOUR OPTION</w:t>
      </w:r>
      <w:r>
        <w:rPr>
          <w:rFonts w:ascii="Times New Roman" w:cs="Times New Roman" w:eastAsia="Times New Roman" w:hAnsi="Times New Roman"/>
          <w:sz w:val="18"/>
          <w:szCs w:val="18"/>
          <w:u w:val="single" w:color="auto"/>
          <w:color w:val="auto"/>
        </w:rPr>
        <w:t>.</w:t>
      </w:r>
    </w:p>
    <w:p>
      <w:pPr>
        <w:spacing w:after="0" w:line="32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IMIT ON</w:t>
      </w:r>
      <w:r>
        <w:rPr>
          <w:rFonts w:ascii="Times New Roman" w:cs="Times New Roman" w:eastAsia="Times New Roman" w:hAnsi="Times New Roman"/>
          <w:sz w:val="18"/>
          <w:szCs w:val="18"/>
          <w:color w:val="auto"/>
        </w:rPr>
        <w:t xml:space="preserve"> ISO T</w:t>
      </w:r>
      <w:r>
        <w:rPr>
          <w:rFonts w:ascii="Times New Roman" w:cs="Times New Roman" w:eastAsia="Times New Roman" w:hAnsi="Times New Roman"/>
          <w:sz w:val="14"/>
          <w:szCs w:val="14"/>
          <w:color w:val="auto"/>
        </w:rPr>
        <w:t>REATMENT</w:t>
      </w:r>
    </w:p>
    <w:p>
      <w:pPr>
        <w:spacing w:after="0" w:line="114" w:lineRule="exact"/>
        <w:rPr>
          <w:sz w:val="20"/>
          <w:szCs w:val="20"/>
          <w:color w:val="auto"/>
        </w:rPr>
      </w:pPr>
    </w:p>
    <w:p>
      <w:pPr>
        <w:jc w:val="both"/>
        <w:ind w:left="6" w:right="60"/>
        <w:spacing w:after="0" w:line="257" w:lineRule="auto"/>
        <w:rPr>
          <w:sz w:val="20"/>
          <w:szCs w:val="20"/>
          <w:color w:val="auto"/>
        </w:rPr>
      </w:pPr>
      <w:r>
        <w:rPr>
          <w:rFonts w:ascii="Times New Roman" w:cs="Times New Roman" w:eastAsia="Times New Roman" w:hAnsi="Times New Roman"/>
          <w:sz w:val="18"/>
          <w:szCs w:val="18"/>
          <w:color w:val="auto"/>
        </w:rPr>
        <w:t>The Notice of Stock Option Grant indicates whether your option is a nonstatutory stock option (NSO) or an incentive stock option (ISO). The favorable tax treatment for ISOs is limited, regardless of what the Notice of Stock Option Grant indicates. Of the options that become exercisable in any calendar year, only options covering the first $100,000 of stock are eligible for ISO treatment. The excess over $100,000 automatically receives NSO treatment. For this purpose, stock is valued at the time of grant. This means that the value is generally equal to the exercise price.</w:t>
      </w:r>
    </w:p>
    <w:p>
      <w:pPr>
        <w:spacing w:after="0" w:line="182" w:lineRule="exact"/>
        <w:rPr>
          <w:sz w:val="20"/>
          <w:szCs w:val="20"/>
          <w:color w:val="auto"/>
        </w:rPr>
      </w:pPr>
    </w:p>
    <w:p>
      <w:pPr>
        <w:ind w:left="6" w:right="220"/>
        <w:spacing w:after="0" w:line="277" w:lineRule="auto"/>
        <w:rPr>
          <w:sz w:val="20"/>
          <w:szCs w:val="20"/>
          <w:color w:val="auto"/>
        </w:rPr>
      </w:pPr>
      <w:r>
        <w:rPr>
          <w:rFonts w:ascii="Times New Roman" w:cs="Times New Roman" w:eastAsia="Times New Roman" w:hAnsi="Times New Roman"/>
          <w:sz w:val="18"/>
          <w:szCs w:val="18"/>
          <w:color w:val="auto"/>
        </w:rPr>
        <w:t>For example, assume that you hold an option to buy 60,000 shares for $8 per share. Assume further that the entire option becomes exercisable in four equal annual installments. Only the</w:t>
      </w:r>
    </w:p>
    <w:p>
      <w:pPr>
        <w:spacing w:after="0" w:line="97"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66"/>
          </w:cols>
          <w:pgMar w:left="494" w:top="268" w:right="539" w:bottom="1440" w:gutter="0" w:footer="0" w:header="0"/>
        </w:sectPr>
      </w:pPr>
    </w:p>
    <w:bookmarkStart w:id="440" w:name="page441"/>
    <w:bookmarkEnd w:id="440"/>
    <w:p>
      <w:pPr>
        <w:ind w:left="6" w:right="40"/>
        <w:spacing w:after="0" w:line="30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5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first 50,000 shares qualify for ISO treatment. (12,500 times $8 equals $100,000.) The remaining 10,000 shares will be treated as if they had been acquired by exercising an NSO. This is true regardless of when the option is actually exercised; what matters is when it first could have been exercised.</w:t>
      </w:r>
    </w:p>
    <w:p>
      <w:pPr>
        <w:spacing w:after="0" w:line="24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XERCISE OF</w:t>
      </w:r>
      <w:r>
        <w:rPr>
          <w:rFonts w:ascii="Times New Roman" w:cs="Times New Roman" w:eastAsia="Times New Roman" w:hAnsi="Times New Roman"/>
          <w:sz w:val="18"/>
          <w:szCs w:val="18"/>
          <w:color w:val="auto"/>
        </w:rPr>
        <w:t xml:space="preserve"> NSO</w:t>
      </w:r>
    </w:p>
    <w:p>
      <w:pPr>
        <w:spacing w:after="0" w:line="114" w:lineRule="exact"/>
        <w:rPr>
          <w:sz w:val="20"/>
          <w:szCs w:val="20"/>
          <w:color w:val="auto"/>
        </w:rPr>
      </w:pPr>
    </w:p>
    <w:p>
      <w:pPr>
        <w:ind w:left="6" w:right="60"/>
        <w:spacing w:after="0" w:line="257" w:lineRule="auto"/>
        <w:rPr>
          <w:sz w:val="20"/>
          <w:szCs w:val="20"/>
          <w:color w:val="auto"/>
        </w:rPr>
      </w:pPr>
      <w:r>
        <w:rPr>
          <w:rFonts w:ascii="Times New Roman" w:cs="Times New Roman" w:eastAsia="Times New Roman" w:hAnsi="Times New Roman"/>
          <w:sz w:val="18"/>
          <w:szCs w:val="18"/>
          <w:color w:val="auto"/>
        </w:rPr>
        <w:t>If you are exercising an NSO, you will be taxed now. You will recognize ordinary income in an amount equal to the excess of (a) the fair market value of the Purchased Shares on the date of exercise over (b) the exercise price you are paying. If you are an employee or former employee of the Company, this amount is subject to withholding for income and payroll taxes. Your tax basis in the Purchased Shares (to calculate capital gain when you sell the shares) is equal to their fair market value on the date of exercise.</w:t>
      </w:r>
    </w:p>
    <w:p>
      <w:pPr>
        <w:spacing w:after="0" w:line="28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ISPOSITION OF</w:t>
      </w:r>
      <w:r>
        <w:rPr>
          <w:rFonts w:ascii="Times New Roman" w:cs="Times New Roman" w:eastAsia="Times New Roman" w:hAnsi="Times New Roman"/>
          <w:sz w:val="18"/>
          <w:szCs w:val="18"/>
          <w:color w:val="auto"/>
        </w:rPr>
        <w:t xml:space="preserve"> NSO S</w:t>
      </w:r>
      <w:r>
        <w:rPr>
          <w:rFonts w:ascii="Times New Roman" w:cs="Times New Roman" w:eastAsia="Times New Roman" w:hAnsi="Times New Roman"/>
          <w:sz w:val="14"/>
          <w:szCs w:val="14"/>
          <w:color w:val="auto"/>
        </w:rPr>
        <w:t>HARES</w:t>
      </w:r>
    </w:p>
    <w:p>
      <w:pPr>
        <w:spacing w:after="0" w:line="114" w:lineRule="exact"/>
        <w:rPr>
          <w:sz w:val="20"/>
          <w:szCs w:val="20"/>
          <w:color w:val="auto"/>
        </w:rPr>
      </w:pPr>
    </w:p>
    <w:p>
      <w:pPr>
        <w:ind w:left="6" w:right="100"/>
        <w:spacing w:after="0" w:line="255" w:lineRule="auto"/>
        <w:rPr>
          <w:sz w:val="20"/>
          <w:szCs w:val="20"/>
          <w:color w:val="auto"/>
        </w:rPr>
      </w:pPr>
      <w:r>
        <w:rPr>
          <w:rFonts w:ascii="Times New Roman" w:cs="Times New Roman" w:eastAsia="Times New Roman" w:hAnsi="Times New Roman"/>
          <w:sz w:val="18"/>
          <w:szCs w:val="18"/>
          <w:color w:val="auto"/>
        </w:rPr>
        <w:t>When you dispose of the Purchased Shares, you will recognize a capital gain equal to the excess of (a) the sale proceeds over (b) your tax basis in the Purchased Shares. As described above, your tax basis in the Purchased Shares is equal to their fair market value on the date of exercise. If the sale proceeds are less than your tax basis, you will recognize a capital loss. The capital gain or loss will be long-term if you held the Purchased Shares for more than 12 months. The holding period starts when you exercise your NSO. In general, the maximum marginal federal income tax rate on long-term capital gains is 15% under current law.</w:t>
      </w:r>
    </w:p>
    <w:p>
      <w:pPr>
        <w:spacing w:after="0" w:line="29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XERCISE OF</w:t>
      </w:r>
      <w:r>
        <w:rPr>
          <w:rFonts w:ascii="Times New Roman" w:cs="Times New Roman" w:eastAsia="Times New Roman" w:hAnsi="Times New Roman"/>
          <w:sz w:val="18"/>
          <w:szCs w:val="18"/>
          <w:color w:val="auto"/>
        </w:rPr>
        <w:t xml:space="preserve"> ISO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8"/>
          <w:szCs w:val="18"/>
          <w:color w:val="auto"/>
        </w:rPr>
        <w:t xml:space="preserve"> ISO H</w:t>
      </w:r>
      <w:r>
        <w:rPr>
          <w:rFonts w:ascii="Times New Roman" w:cs="Times New Roman" w:eastAsia="Times New Roman" w:hAnsi="Times New Roman"/>
          <w:sz w:val="14"/>
          <w:szCs w:val="14"/>
          <w:color w:val="auto"/>
        </w:rPr>
        <w:t>OLDING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ERIODS</w:t>
      </w:r>
    </w:p>
    <w:p>
      <w:pPr>
        <w:spacing w:after="0" w:line="114" w:lineRule="exact"/>
        <w:rPr>
          <w:sz w:val="20"/>
          <w:szCs w:val="20"/>
          <w:color w:val="auto"/>
        </w:rPr>
      </w:pPr>
    </w:p>
    <w:p>
      <w:pPr>
        <w:ind w:left="6" w:right="20"/>
        <w:spacing w:after="0" w:line="222" w:lineRule="auto"/>
        <w:rPr>
          <w:sz w:val="20"/>
          <w:szCs w:val="20"/>
          <w:color w:val="auto"/>
        </w:rPr>
      </w:pPr>
      <w:r>
        <w:rPr>
          <w:rFonts w:ascii="Times New Roman" w:cs="Times New Roman" w:eastAsia="Times New Roman" w:hAnsi="Times New Roman"/>
          <w:sz w:val="18"/>
          <w:szCs w:val="18"/>
          <w:color w:val="auto"/>
        </w:rPr>
        <w:t>If you are exercising an ISO, you will not be taxed under the regular tax rules until you dispose of the Purchased Shares.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(The alternative minimum tax rules are described below.) The tax treatment at the time of disposition depends on how long you hold the shares. You will satisfy the ISO holding periods if you hold the Purchased Shares until the later of the following dates:</w:t>
      </w:r>
    </w:p>
    <w:p>
      <w:pPr>
        <w:spacing w:after="0" w:line="102" w:lineRule="exact"/>
        <w:rPr>
          <w:sz w:val="20"/>
          <w:szCs w:val="20"/>
          <w:color w:val="auto"/>
        </w:rPr>
      </w:pPr>
    </w:p>
    <w:p>
      <w:pPr>
        <w:ind w:left="426" w:hanging="426"/>
        <w:spacing w:after="0"/>
        <w:tabs>
          <w:tab w:leader="none" w:pos="42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two years after the ISO was granted, and</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one year after the ISO is exercised.</w:t>
      </w:r>
    </w:p>
    <w:p>
      <w:pPr>
        <w:spacing w:after="0" w:line="32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ISPOSITION OF</w:t>
      </w:r>
      <w:r>
        <w:rPr>
          <w:rFonts w:ascii="Times New Roman" w:cs="Times New Roman" w:eastAsia="Times New Roman" w:hAnsi="Times New Roman"/>
          <w:sz w:val="18"/>
          <w:szCs w:val="18"/>
          <w:color w:val="auto"/>
        </w:rPr>
        <w:t xml:space="preserve"> ISO S</w:t>
      </w:r>
      <w:r>
        <w:rPr>
          <w:rFonts w:ascii="Times New Roman" w:cs="Times New Roman" w:eastAsia="Times New Roman" w:hAnsi="Times New Roman"/>
          <w:sz w:val="14"/>
          <w:szCs w:val="14"/>
          <w:color w:val="auto"/>
        </w:rPr>
        <w:t>HARES</w:t>
      </w:r>
    </w:p>
    <w:p>
      <w:pPr>
        <w:spacing w:after="0" w:line="114" w:lineRule="exact"/>
        <w:rPr>
          <w:sz w:val="20"/>
          <w:szCs w:val="20"/>
          <w:color w:val="auto"/>
        </w:rPr>
      </w:pPr>
    </w:p>
    <w:p>
      <w:pPr>
        <w:ind w:left="6"/>
        <w:spacing w:after="0" w:line="262" w:lineRule="auto"/>
        <w:rPr>
          <w:sz w:val="20"/>
          <w:szCs w:val="20"/>
          <w:color w:val="auto"/>
        </w:rPr>
      </w:pPr>
      <w:r>
        <w:rPr>
          <w:rFonts w:ascii="Times New Roman" w:cs="Times New Roman" w:eastAsia="Times New Roman" w:hAnsi="Times New Roman"/>
          <w:sz w:val="18"/>
          <w:szCs w:val="18"/>
          <w:color w:val="auto"/>
        </w:rPr>
        <w:t>If you dispose of the Purchased Shares after satisfying both of the ISO holding periods, then you will recognize only a long-term capital gain at the time of disposition. The amount of the capital gain is equal to the excess of (a) the sale proceeds over (b) the exercise price. In general, the maximum marginal federal income tax rate on long-term capital gains is 15% under current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234315</wp:posOffset>
            </wp:positionV>
            <wp:extent cx="75501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59">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371" w:lineRule="exact"/>
        <w:rPr>
          <w:sz w:val="20"/>
          <w:szCs w:val="20"/>
          <w:color w:val="auto"/>
        </w:rPr>
      </w:pPr>
    </w:p>
    <w:p>
      <w:pPr>
        <w:ind w:left="426" w:right="40" w:hanging="426"/>
        <w:spacing w:after="0" w:line="225" w:lineRule="auto"/>
        <w:tabs>
          <w:tab w:leader="none" w:pos="426" w:val="left"/>
        </w:tabs>
        <w:numPr>
          <w:ilvl w:val="0"/>
          <w:numId w:val="23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Generally, a “disposition” of shares purchased under an ISO encompasses any transfer of legal title, such as a transfer by sale, exchange or gift. It generally does not include a transfer to your spouse, a transfer into joint ownership with right of survivorship (if you remain one of the joint owners), a pledge, a transfer by bequest or inheritance, or certain tax-free exchanges permitted under the Internal Revenue Code. A transfer to a trust is a “disposition” unless the trust is an eligible revocable trust, as described in the attached explanation.</w:t>
      </w:r>
    </w:p>
    <w:p>
      <w:pPr>
        <w:spacing w:after="0" w:line="129" w:lineRule="exact"/>
        <w:rPr>
          <w:sz w:val="20"/>
          <w:szCs w:val="20"/>
          <w:color w:val="auto"/>
        </w:rPr>
      </w:pPr>
    </w:p>
    <w:p>
      <w:pPr>
        <w:jc w:val="center"/>
        <w:ind w:right="-65"/>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26"/>
          </w:cols>
          <w:pgMar w:left="494" w:top="267" w:right="579" w:bottom="1440" w:gutter="0" w:footer="0" w:header="0"/>
        </w:sectPr>
      </w:pPr>
    </w:p>
    <w:bookmarkStart w:id="441" w:name="page442"/>
    <w:bookmarkEnd w:id="441"/>
    <w:p>
      <w:pPr>
        <w:ind w:left="6" w:right="12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If you dispose of the Purchased Shares before either or both of the ISO holding periods are met, then you will recognize ordinary income at the time of disposition. The amount of ordinary income will be equal to the excess of (a) the fair market value of the Purchased Shares on the date of exercise over</w:t>
      </w:r>
    </w:p>
    <w:p>
      <w:pPr>
        <w:ind w:left="6" w:right="280" w:hanging="6"/>
        <w:spacing w:after="0" w:line="255" w:lineRule="auto"/>
        <w:tabs>
          <w:tab w:leader="none" w:pos="25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But if the disposition is an arm’s length sale to an unrelated party, the amount of ordinary income will not exceed the total gain from the sale. Under current IRS rules, the ordinary income amount will not be subject to withholding for income or payroll taxes.</w:t>
      </w:r>
    </w:p>
    <w:p>
      <w:pPr>
        <w:spacing w:after="0" w:line="182" w:lineRule="exact"/>
        <w:rPr>
          <w:sz w:val="20"/>
          <w:szCs w:val="20"/>
          <w:color w:val="auto"/>
        </w:rPr>
      </w:pPr>
    </w:p>
    <w:p>
      <w:pPr>
        <w:ind w:left="6" w:right="20"/>
        <w:spacing w:after="0" w:line="277" w:lineRule="auto"/>
        <w:rPr>
          <w:sz w:val="20"/>
          <w:szCs w:val="20"/>
          <w:color w:val="auto"/>
        </w:rPr>
      </w:pPr>
      <w:r>
        <w:rPr>
          <w:rFonts w:ascii="Times New Roman" w:cs="Times New Roman" w:eastAsia="Times New Roman" w:hAnsi="Times New Roman"/>
          <w:sz w:val="18"/>
          <w:szCs w:val="18"/>
          <w:color w:val="auto"/>
        </w:rPr>
        <w:t>Your tax basis in the Purchased Shares will be equal to their fair market value on the date of exercise. Any gain in excess of your basis will be taxed as a capital gain—either long-term or short-term, depending on how long you held the Purchased Shares after the date of exercise.</w:t>
      </w:r>
    </w:p>
    <w:p>
      <w:pPr>
        <w:spacing w:after="0" w:line="2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UMMARY OF</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LTERNATIVE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INIMUM</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AX</w:t>
      </w:r>
    </w:p>
    <w:p>
      <w:pPr>
        <w:spacing w:after="0" w:line="114" w:lineRule="exact"/>
        <w:rPr>
          <w:sz w:val="20"/>
          <w:szCs w:val="20"/>
          <w:color w:val="auto"/>
        </w:rPr>
      </w:pPr>
    </w:p>
    <w:p>
      <w:pPr>
        <w:jc w:val="both"/>
        <w:ind w:left="6" w:right="320"/>
        <w:spacing w:after="0" w:line="285" w:lineRule="auto"/>
        <w:rPr>
          <w:sz w:val="20"/>
          <w:szCs w:val="20"/>
          <w:color w:val="auto"/>
        </w:rPr>
      </w:pPr>
      <w:r>
        <w:rPr>
          <w:rFonts w:ascii="Times New Roman" w:cs="Times New Roman" w:eastAsia="Times New Roman" w:hAnsi="Times New Roman"/>
          <w:sz w:val="17"/>
          <w:szCs w:val="17"/>
          <w:color w:val="auto"/>
        </w:rPr>
        <w:t>The alternative minimum tax (AMT) must be paid if it exceeds your regular income tax. The AMT is equal to 26% of your alternative minimum tax base up to $175,000 and 28% of the excess over $175,000. (In the case of married individuals filing separately, the breakpoint is $87,500 rather than $175,000.) Your alternative minimum tax base is equal to your alternative minimum taxable income (AMTI) minus your exemption amount.</w:t>
      </w:r>
    </w:p>
    <w:p>
      <w:pPr>
        <w:spacing w:after="0" w:line="65" w:lineRule="exact"/>
        <w:rPr>
          <w:sz w:val="20"/>
          <w:szCs w:val="20"/>
          <w:color w:val="auto"/>
        </w:rPr>
      </w:pPr>
    </w:p>
    <w:p>
      <w:pPr>
        <w:ind w:left="426" w:right="40" w:hanging="426"/>
        <w:spacing w:after="0" w:line="277" w:lineRule="auto"/>
        <w:tabs>
          <w:tab w:leader="none" w:pos="42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native Minimum Taxable Income. Your AMTI is equal to your regular taxable income, subject to certain adjustments and increased by items of tax preference. Among the many adjustments made in computing AMTI are the following:</w:t>
      </w:r>
    </w:p>
    <w:p>
      <w:pPr>
        <w:spacing w:after="0" w:line="69" w:lineRule="exact"/>
        <w:rPr>
          <w:rFonts w:ascii="Times New Roman" w:cs="Times New Roman" w:eastAsia="Times New Roman" w:hAnsi="Times New Roman"/>
          <w:sz w:val="18"/>
          <w:szCs w:val="18"/>
          <w:color w:val="auto"/>
        </w:rPr>
      </w:pPr>
    </w:p>
    <w:p>
      <w:pPr>
        <w:ind w:left="966" w:hanging="539"/>
        <w:spacing w:after="0"/>
        <w:tabs>
          <w:tab w:leader="none" w:pos="966"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local income and property taxes are not allowed as a deduction.</w:t>
      </w:r>
    </w:p>
    <w:p>
      <w:pPr>
        <w:spacing w:after="0" w:line="126" w:lineRule="exact"/>
        <w:rPr>
          <w:rFonts w:ascii="Times New Roman" w:cs="Times New Roman" w:eastAsia="Times New Roman" w:hAnsi="Times New Roman"/>
          <w:sz w:val="18"/>
          <w:szCs w:val="18"/>
          <w:color w:val="auto"/>
        </w:rPr>
      </w:pPr>
    </w:p>
    <w:p>
      <w:pPr>
        <w:ind w:left="966" w:hanging="539"/>
        <w:spacing w:after="0"/>
        <w:tabs>
          <w:tab w:leader="none" w:pos="966"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 itemized deductions are not allowed.</w:t>
      </w:r>
    </w:p>
    <w:p>
      <w:pPr>
        <w:spacing w:after="0" w:line="126" w:lineRule="exact"/>
        <w:rPr>
          <w:rFonts w:ascii="Times New Roman" w:cs="Times New Roman" w:eastAsia="Times New Roman" w:hAnsi="Times New Roman"/>
          <w:sz w:val="18"/>
          <w:szCs w:val="18"/>
          <w:color w:val="auto"/>
        </w:rPr>
      </w:pPr>
    </w:p>
    <w:p>
      <w:pPr>
        <w:ind w:left="966" w:hanging="539"/>
        <w:spacing w:after="0" w:line="277" w:lineRule="auto"/>
        <w:tabs>
          <w:tab w:leader="none" w:pos="966"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expenses are not allowed as a deduction until they exceed 10% of adjusted gross income (as opposed to the 7.5% floor that applies to regular income taxes).</w:t>
      </w:r>
    </w:p>
    <w:p>
      <w:pPr>
        <w:spacing w:after="0" w:line="69" w:lineRule="exact"/>
        <w:rPr>
          <w:rFonts w:ascii="Times New Roman" w:cs="Times New Roman" w:eastAsia="Times New Roman" w:hAnsi="Times New Roman"/>
          <w:sz w:val="18"/>
          <w:szCs w:val="18"/>
          <w:color w:val="auto"/>
        </w:rPr>
      </w:pPr>
    </w:p>
    <w:p>
      <w:pPr>
        <w:ind w:left="966" w:hanging="539"/>
        <w:spacing w:after="0"/>
        <w:tabs>
          <w:tab w:leader="none" w:pos="966"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interest deductions are not allowed.</w:t>
      </w:r>
    </w:p>
    <w:p>
      <w:pPr>
        <w:spacing w:after="0" w:line="126" w:lineRule="exact"/>
        <w:rPr>
          <w:rFonts w:ascii="Times New Roman" w:cs="Times New Roman" w:eastAsia="Times New Roman" w:hAnsi="Times New Roman"/>
          <w:sz w:val="18"/>
          <w:szCs w:val="18"/>
          <w:color w:val="auto"/>
        </w:rPr>
      </w:pPr>
    </w:p>
    <w:p>
      <w:pPr>
        <w:ind w:left="966" w:hanging="539"/>
        <w:spacing w:after="0"/>
        <w:tabs>
          <w:tab w:leader="none" w:pos="966"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standard deduction and personal exemptions are not allowed.</w:t>
      </w:r>
    </w:p>
    <w:p>
      <w:pPr>
        <w:spacing w:after="0" w:line="126" w:lineRule="exact"/>
        <w:rPr>
          <w:rFonts w:ascii="Times New Roman" w:cs="Times New Roman" w:eastAsia="Times New Roman" w:hAnsi="Times New Roman"/>
          <w:sz w:val="18"/>
          <w:szCs w:val="18"/>
          <w:color w:val="auto"/>
        </w:rPr>
      </w:pPr>
    </w:p>
    <w:p>
      <w:pPr>
        <w:ind w:left="966" w:hanging="539"/>
        <w:spacing w:after="0"/>
        <w:tabs>
          <w:tab w:leader="none" w:pos="966"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 ISO is exercised, the spread is treated as if the option were an NSO. (See discussion below.)</w:t>
      </w:r>
    </w:p>
    <w:p>
      <w:pPr>
        <w:spacing w:after="0" w:line="15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6"/>
          </w:cols>
          <w:pgMar w:left="494" w:top="268" w:right="519" w:bottom="1440" w:gutter="0" w:footer="0" w:header="0"/>
        </w:sectPr>
      </w:pPr>
    </w:p>
    <w:bookmarkStart w:id="442" w:name="page443"/>
    <w:bookmarkEnd w:id="442"/>
    <w:p>
      <w:pPr>
        <w:ind w:left="426" w:right="500" w:hanging="426"/>
        <w:spacing w:after="0" w:line="277" w:lineRule="auto"/>
        <w:tabs>
          <w:tab w:leader="none" w:pos="42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Exemption Amount. Before AMT is calculated, AMTI is reduced by the exemption amount. Under current law, the exemption amount is as follows:</w:t>
      </w:r>
    </w:p>
    <w:p>
      <w:pPr>
        <w:spacing w:after="0" w:line="186" w:lineRule="exact"/>
        <w:rPr>
          <w:sz w:val="20"/>
          <w:szCs w:val="20"/>
          <w:color w:val="auto"/>
        </w:rPr>
      </w:pPr>
    </w:p>
    <w:tbl>
      <w:tblPr>
        <w:tblLayout w:type="fixed"/>
        <w:tblInd w:w="866" w:type="dxa"/>
        <w:tblCellMar>
          <w:top w:w="0" w:type="dxa"/>
          <w:left w:w="0" w:type="dxa"/>
          <w:bottom w:w="0" w:type="dxa"/>
          <w:right w:w="0" w:type="dxa"/>
        </w:tblCellMar>
      </w:tblPr>
      <w:tr>
        <w:trPr>
          <w:trHeight w:val="190"/>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6"/>
              </w:rPr>
              <w:t>Year:</w:t>
            </w:r>
          </w:p>
        </w:tc>
        <w:tc>
          <w:tcPr>
            <w:tcW w:w="4900" w:type="dxa"/>
            <w:vAlign w:val="bottom"/>
          </w:tcPr>
          <w:p>
            <w:pPr>
              <w:spacing w:after="0"/>
              <w:rPr>
                <w:sz w:val="16"/>
                <w:szCs w:val="16"/>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Joint Returns:</w:t>
            </w: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Single Returns:</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Separate Returns:</w:t>
            </w:r>
          </w:p>
        </w:tc>
      </w:tr>
      <w:tr>
        <w:trPr>
          <w:trHeight w:val="200"/>
        </w:trPr>
        <w:tc>
          <w:tcPr>
            <w:tcW w:w="522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2009</w:t>
            </w:r>
          </w:p>
        </w:tc>
        <w:tc>
          <w:tcPr>
            <w:tcW w:w="20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70,950</w:t>
            </w:r>
          </w:p>
        </w:tc>
        <w:tc>
          <w:tcPr>
            <w:tcW w:w="5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46,700</w:t>
            </w:r>
          </w:p>
        </w:tc>
        <w:tc>
          <w:tcPr>
            <w:tcW w:w="6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35,475</w:t>
            </w:r>
          </w:p>
        </w:tc>
        <w:tc>
          <w:tcPr>
            <w:tcW w:w="60" w:type="dxa"/>
            <w:vAlign w:val="bottom"/>
            <w:tcBorders>
              <w:top w:val="single" w:sz="8" w:color="CCEEFF"/>
            </w:tcBorders>
            <w:shd w:val="clear" w:color="auto" w:fill="CCEEFF"/>
          </w:tcPr>
          <w:p>
            <w:pPr>
              <w:spacing w:after="0"/>
              <w:rPr>
                <w:sz w:val="17"/>
                <w:szCs w:val="17"/>
                <w:color w:val="auto"/>
              </w:rPr>
            </w:pPr>
          </w:p>
        </w:tc>
      </w:tr>
      <w:tr>
        <w:trPr>
          <w:trHeight w:val="352"/>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2009</w:t>
            </w:r>
            <w:r>
              <w:rPr>
                <w:rFonts w:ascii="Times New Roman" w:cs="Times New Roman" w:eastAsia="Times New Roman" w:hAnsi="Times New Roman"/>
                <w:sz w:val="26"/>
                <w:szCs w:val="26"/>
                <w:color w:val="auto"/>
                <w:vertAlign w:val="superscript"/>
              </w:rPr>
              <w:t>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45,000</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33,750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22,500</w:t>
            </w:r>
          </w:p>
        </w:tc>
      </w:tr>
    </w:tbl>
    <w:p>
      <w:pPr>
        <w:spacing w:after="0" w:line="58"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The exemption amount is phased out by 25 cents for each $1 by which AMTI exceeds the following levels:</w:t>
      </w:r>
    </w:p>
    <w:p>
      <w:pPr>
        <w:spacing w:after="0" w:line="247" w:lineRule="exact"/>
        <w:rPr>
          <w:sz w:val="20"/>
          <w:szCs w:val="20"/>
          <w:color w:val="auto"/>
        </w:rPr>
      </w:pPr>
    </w:p>
    <w:p>
      <w:pPr>
        <w:ind w:left="866"/>
        <w:spacing w:after="0"/>
        <w:tabs>
          <w:tab w:leader="none" w:pos="4946" w:val="left"/>
          <w:tab w:leader="none" w:pos="8046" w:val="left"/>
        </w:tabs>
        <w:rPr>
          <w:sz w:val="20"/>
          <w:szCs w:val="20"/>
          <w:color w:val="auto"/>
        </w:rPr>
      </w:pPr>
      <w:r>
        <w:rPr>
          <w:rFonts w:ascii="Times New Roman" w:cs="Times New Roman" w:eastAsia="Times New Roman" w:hAnsi="Times New Roman"/>
          <w:sz w:val="18"/>
          <w:szCs w:val="18"/>
          <w:color w:val="auto"/>
        </w:rPr>
        <w:t>Joint Returns: $150,000</w:t>
      </w:r>
      <w:r>
        <w:rPr>
          <w:sz w:val="20"/>
          <w:szCs w:val="20"/>
          <w:color w:val="auto"/>
        </w:rPr>
        <w:tab/>
      </w:r>
      <w:r>
        <w:rPr>
          <w:rFonts w:ascii="Times New Roman" w:cs="Times New Roman" w:eastAsia="Times New Roman" w:hAnsi="Times New Roman"/>
          <w:sz w:val="18"/>
          <w:szCs w:val="18"/>
          <w:color w:val="auto"/>
        </w:rPr>
        <w:t>Single Returns: $112,500</w:t>
      </w:r>
      <w:r>
        <w:rPr>
          <w:sz w:val="20"/>
          <w:szCs w:val="20"/>
          <w:color w:val="auto"/>
        </w:rPr>
        <w:tab/>
      </w:r>
      <w:r>
        <w:rPr>
          <w:rFonts w:ascii="Times New Roman" w:cs="Times New Roman" w:eastAsia="Times New Roman" w:hAnsi="Times New Roman"/>
          <w:sz w:val="17"/>
          <w:szCs w:val="17"/>
          <w:color w:val="auto"/>
        </w:rPr>
        <w:t>Separate Returns: $75,000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-119380</wp:posOffset>
            </wp:positionV>
            <wp:extent cx="5810250" cy="135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62">
                      <a:extLst>
                        <a:ext uri="{28A0092B-C50C-407E-A947-70E740481C1C}"/>
                      </a:extLst>
                    </a:blip>
                    <a:srcRect/>
                    <a:stretch>
                      <a:fillRect/>
                    </a:stretch>
                  </pic:blipFill>
                  <pic:spPr bwMode="auto">
                    <a:xfrm>
                      <a:off x="0" y="0"/>
                      <a:ext cx="5810250" cy="135890"/>
                    </a:xfrm>
                    <a:prstGeom prst="rect">
                      <a:avLst/>
                    </a:prstGeom>
                    <a:noFill/>
                  </pic:spPr>
                </pic:pic>
              </a:graphicData>
            </a:graphic>
          </wp:anchor>
        </w:drawing>
      </w:r>
    </w:p>
    <w:p>
      <w:pPr>
        <w:spacing w:after="0" w:line="200" w:lineRule="exact"/>
        <w:rPr>
          <w:sz w:val="20"/>
          <w:szCs w:val="20"/>
          <w:color w:val="auto"/>
        </w:rPr>
      </w:pPr>
    </w:p>
    <w:p>
      <w:pPr>
        <w:ind w:left="426" w:right="280"/>
        <w:spacing w:after="0" w:line="277" w:lineRule="auto"/>
        <w:rPr>
          <w:sz w:val="20"/>
          <w:szCs w:val="20"/>
          <w:color w:val="auto"/>
        </w:rPr>
      </w:pPr>
      <w:r>
        <w:rPr>
          <w:rFonts w:ascii="Times New Roman" w:cs="Times New Roman" w:eastAsia="Times New Roman" w:hAnsi="Times New Roman"/>
          <w:sz w:val="18"/>
          <w:szCs w:val="18"/>
          <w:color w:val="auto"/>
        </w:rPr>
        <w:t>This means, for example, that the entire $70,950 exemption amount disappears for married individuals filing joint returns when AMTI reaches $433,800.</w:t>
      </w:r>
    </w:p>
    <w:p>
      <w:pPr>
        <w:spacing w:after="0" w:line="2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PPLICATION OF</w:t>
      </w:r>
      <w:r>
        <w:rPr>
          <w:rFonts w:ascii="Times New Roman" w:cs="Times New Roman" w:eastAsia="Times New Roman" w:hAnsi="Times New Roman"/>
          <w:sz w:val="18"/>
          <w:szCs w:val="18"/>
          <w:color w:val="auto"/>
        </w:rPr>
        <w:t xml:space="preserve"> AMT W</w:t>
      </w:r>
      <w:r>
        <w:rPr>
          <w:rFonts w:ascii="Times New Roman" w:cs="Times New Roman" w:eastAsia="Times New Roman" w:hAnsi="Times New Roman"/>
          <w:sz w:val="14"/>
          <w:szCs w:val="14"/>
          <w:color w:val="auto"/>
        </w:rPr>
        <w:t>HEN</w:t>
      </w:r>
      <w:r>
        <w:rPr>
          <w:rFonts w:ascii="Times New Roman" w:cs="Times New Roman" w:eastAsia="Times New Roman" w:hAnsi="Times New Roman"/>
          <w:sz w:val="18"/>
          <w:szCs w:val="18"/>
          <w:color w:val="auto"/>
        </w:rPr>
        <w:t xml:space="preserve"> ISO I</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XERCISED</w:t>
      </w:r>
    </w:p>
    <w:p>
      <w:pPr>
        <w:spacing w:after="0" w:line="114" w:lineRule="exact"/>
        <w:rPr>
          <w:sz w:val="20"/>
          <w:szCs w:val="20"/>
          <w:color w:val="auto"/>
        </w:rPr>
      </w:pPr>
    </w:p>
    <w:p>
      <w:pPr>
        <w:ind w:left="6" w:right="100"/>
        <w:spacing w:after="0" w:line="277" w:lineRule="auto"/>
        <w:rPr>
          <w:sz w:val="20"/>
          <w:szCs w:val="20"/>
          <w:color w:val="auto"/>
        </w:rPr>
      </w:pPr>
      <w:r>
        <w:rPr>
          <w:rFonts w:ascii="Times New Roman" w:cs="Times New Roman" w:eastAsia="Times New Roman" w:hAnsi="Times New Roman"/>
          <w:sz w:val="18"/>
          <w:szCs w:val="18"/>
          <w:color w:val="auto"/>
        </w:rPr>
        <w:t>As noted above, when an ISO is exercised, the spread is treated for AMT purposes as if the option were an NSO. In other words, the spread is included in AMTI at the time of exercise.</w:t>
      </w:r>
    </w:p>
    <w:p>
      <w:pPr>
        <w:spacing w:after="0" w:line="163" w:lineRule="exact"/>
        <w:rPr>
          <w:sz w:val="20"/>
          <w:szCs w:val="20"/>
          <w:color w:val="auto"/>
        </w:rPr>
      </w:pPr>
    </w:p>
    <w:p>
      <w:pPr>
        <w:ind w:left="6" w:right="40"/>
        <w:spacing w:after="0" w:line="273" w:lineRule="auto"/>
        <w:rPr>
          <w:sz w:val="20"/>
          <w:szCs w:val="20"/>
          <w:color w:val="auto"/>
        </w:rPr>
      </w:pPr>
      <w:r>
        <w:rPr>
          <w:rFonts w:ascii="Times New Roman" w:cs="Times New Roman" w:eastAsia="Times New Roman" w:hAnsi="Times New Roman"/>
          <w:sz w:val="18"/>
          <w:szCs w:val="18"/>
          <w:color w:val="auto"/>
        </w:rPr>
        <w:t>A special rule applies if you dispose of the Purchased Shares in the same year in which you exercised the ISO. If the amount you realize on the sale is less than the value of the stock at the time of exercise, then the amount includible in AMTI on account of the ISO exercise is limited to the gain realized on the sale.</w:t>
      </w:r>
      <w:r>
        <w:rPr>
          <w:rFonts w:ascii="Times New Roman" w:cs="Times New Roman" w:eastAsia="Times New Roman" w:hAnsi="Times New Roman"/>
          <w:sz w:val="26"/>
          <w:szCs w:val="26"/>
          <w:color w:val="auto"/>
          <w:vertAlign w:val="superscript"/>
        </w:rPr>
        <w:t>3</w:t>
      </w:r>
    </w:p>
    <w:p>
      <w:pPr>
        <w:spacing w:after="0" w:line="44" w:lineRule="exact"/>
        <w:rPr>
          <w:sz w:val="20"/>
          <w:szCs w:val="20"/>
          <w:color w:val="auto"/>
        </w:rPr>
      </w:pPr>
    </w:p>
    <w:p>
      <w:pPr>
        <w:ind w:left="6" w:right="80"/>
        <w:spacing w:after="0" w:line="262" w:lineRule="auto"/>
        <w:rPr>
          <w:sz w:val="20"/>
          <w:szCs w:val="20"/>
          <w:color w:val="auto"/>
        </w:rPr>
      </w:pPr>
      <w:r>
        <w:rPr>
          <w:rFonts w:ascii="Times New Roman" w:cs="Times New Roman" w:eastAsia="Times New Roman" w:hAnsi="Times New Roman"/>
          <w:sz w:val="18"/>
          <w:szCs w:val="18"/>
          <w:color w:val="auto"/>
        </w:rPr>
        <w:t>To the extent that your AMT is attributable to the spread on exercising an ISO (and certain other items), you may be able to apply the AMT that you paid as a credit against your income tax liability in future years. But the rules on calculating the available tax credits were amended frequently in recent years and have become extraordinarily complex. On this issue in particular, you must consult your own tax adviser.</w:t>
      </w:r>
    </w:p>
    <w:p>
      <w:pPr>
        <w:spacing w:after="0" w:line="177" w:lineRule="exact"/>
        <w:rPr>
          <w:sz w:val="20"/>
          <w:szCs w:val="20"/>
          <w:color w:val="auto"/>
        </w:rPr>
      </w:pPr>
    </w:p>
    <w:p>
      <w:pPr>
        <w:ind w:left="6" w:right="80"/>
        <w:spacing w:after="0" w:line="255" w:lineRule="auto"/>
        <w:rPr>
          <w:sz w:val="20"/>
          <w:szCs w:val="20"/>
          <w:color w:val="auto"/>
        </w:rPr>
      </w:pPr>
      <w:r>
        <w:rPr>
          <w:rFonts w:ascii="Times New Roman" w:cs="Times New Roman" w:eastAsia="Times New Roman" w:hAnsi="Times New Roman"/>
          <w:sz w:val="18"/>
          <w:szCs w:val="18"/>
          <w:color w:val="auto"/>
        </w:rPr>
        <w:t>When Purchased Shares are sold, your basis for purposes of computing the capital gain or loss under the AMT system is increased by the option spread that exists at the time of exercise. Again, an ISO is treated under the AMT system much like an NSO is treated under the regular tax system. But your basis in the ISO shares for purposes of computing gain or loss under the regular tax system is equal to the exercise price; it does not reflect any AMT that you pay on the spread at exercise. Therefore, if you pay AMT in the year of the ISO exercise and regular income tax in the year of selling the Purchased Shares, you could pay tax twice on the same gain (except to the extent that you can use the AMT credit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238125</wp:posOffset>
            </wp:positionV>
            <wp:extent cx="75501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63">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299" w:lineRule="exact"/>
        <w:rPr>
          <w:sz w:val="20"/>
          <w:szCs w:val="20"/>
          <w:color w:val="auto"/>
        </w:rPr>
      </w:pPr>
    </w:p>
    <w:p>
      <w:pPr>
        <w:ind w:left="426" w:hanging="426"/>
        <w:spacing w:after="0"/>
        <w:tabs>
          <w:tab w:leader="none" w:pos="426" w:val="left"/>
        </w:tabs>
        <w:numPr>
          <w:ilvl w:val="0"/>
          <w:numId w:val="23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assumes that Congress does not extend AMT relief, as it has done annually in prior years.</w:t>
      </w:r>
    </w:p>
    <w:p>
      <w:pPr>
        <w:spacing w:after="0" w:line="1" w:lineRule="exact"/>
        <w:rPr>
          <w:sz w:val="20"/>
          <w:szCs w:val="20"/>
          <w:color w:val="auto"/>
        </w:rPr>
      </w:pPr>
    </w:p>
    <w:p>
      <w:pPr>
        <w:ind w:left="426" w:hanging="426"/>
        <w:spacing w:after="0" w:line="197" w:lineRule="auto"/>
        <w:tabs>
          <w:tab w:leader="none" w:pos="426" w:val="left"/>
        </w:tabs>
        <w:numPr>
          <w:ilvl w:val="0"/>
          <w:numId w:val="23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is similar to the rule that applies under the regular tax system in the event of a disqualifying disposition of ISO stock. The amount of ordinary income that must be recognized in that case generally does not exceed the amount of the gain realized in the disposition.</w:t>
      </w:r>
    </w:p>
    <w:p>
      <w:pPr>
        <w:spacing w:after="0" w:line="130"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66"/>
          </w:cols>
          <w:pgMar w:left="494" w:top="268" w:right="539" w:bottom="1440" w:gutter="0" w:footer="0" w:header="0"/>
        </w:sectPr>
      </w:pPr>
    </w:p>
    <w:bookmarkStart w:id="443" w:name="page444"/>
    <w:bookmarkEnd w:id="44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409A </w:t>
      </w:r>
      <w:r>
        <w:rPr>
          <w:rFonts w:ascii="Times New Roman" w:cs="Times New Roman" w:eastAsia="Times New Roman" w:hAnsi="Times New Roman"/>
          <w:sz w:val="14"/>
          <w:szCs w:val="14"/>
          <w:color w:val="auto"/>
        </w:rPr>
        <w:t>OF THE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NTERNAL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EVENUE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ODE</w:t>
      </w:r>
    </w:p>
    <w:p>
      <w:pPr>
        <w:spacing w:after="0" w:line="11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preceding summary assumes that section 409A of the Internal Revenue Code does not apply to your option. In general, your option is exempt from section 409A if the exercise price per share is at least equal to the fair market value per share of the Company’s Common Stock at the time the option was granted by the Board of Directors. Since shares of Common Stock are not traded on an established securities market, the determination of their fair market value generally is made by the Board of Directors or by an independent appraisal firm retained by the Company. In either case, there is no guarantee that the Internal Revenue Service will agree with the valuation.</w:t>
      </w:r>
    </w:p>
    <w:p>
      <w:pPr>
        <w:spacing w:after="0" w:line="18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If your option were found to be subject to section 409A, then you would be required to recognize ordinary income whenever a portion of your option vests (i.e. becomes exercisable). The amount of ordinary income would be equal to the fair market value of the shares at the time of vesting minus the exercise price of the shares. This amount would also be subject to a 20% federal tax in addition to the federal income tax at your usual marginal rate for ordinary income.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ISCLAIMER</w:t>
      </w:r>
      <w:r>
        <w:rPr>
          <w:rFonts w:ascii="Times New Roman" w:cs="Times New Roman" w:eastAsia="Times New Roman" w:hAnsi="Times New Roman"/>
          <w:sz w:val="18"/>
          <w:szCs w:val="18"/>
          <w:color w:val="auto"/>
        </w:rPr>
        <w:t xml:space="preserve"> U</w:t>
      </w:r>
      <w:r>
        <w:rPr>
          <w:rFonts w:ascii="Times New Roman" w:cs="Times New Roman" w:eastAsia="Times New Roman" w:hAnsi="Times New Roman"/>
          <w:sz w:val="14"/>
          <w:szCs w:val="14"/>
          <w:color w:val="auto"/>
        </w:rPr>
        <w:t>NDER</w:t>
      </w:r>
      <w:r>
        <w:rPr>
          <w:rFonts w:ascii="Times New Roman" w:cs="Times New Roman" w:eastAsia="Times New Roman" w:hAnsi="Times New Roman"/>
          <w:sz w:val="18"/>
          <w:szCs w:val="18"/>
          <w:color w:val="auto"/>
        </w:rPr>
        <w:t xml:space="preserve"> IRS C</w:t>
      </w:r>
      <w:r>
        <w:rPr>
          <w:rFonts w:ascii="Times New Roman" w:cs="Times New Roman" w:eastAsia="Times New Roman" w:hAnsi="Times New Roman"/>
          <w:sz w:val="14"/>
          <w:szCs w:val="14"/>
          <w:color w:val="auto"/>
        </w:rPr>
        <w:t>IRCULAR</w:t>
      </w:r>
      <w:r>
        <w:rPr>
          <w:rFonts w:ascii="Times New Roman" w:cs="Times New Roman" w:eastAsia="Times New Roman" w:hAnsi="Times New Roman"/>
          <w:sz w:val="18"/>
          <w:szCs w:val="18"/>
          <w:color w:val="auto"/>
        </w:rPr>
        <w:t xml:space="preserve"> 230</w:t>
      </w:r>
    </w:p>
    <w:p>
      <w:pPr>
        <w:spacing w:after="0" w:line="220" w:lineRule="exact"/>
        <w:rPr>
          <w:sz w:val="20"/>
          <w:szCs w:val="20"/>
          <w:color w:val="auto"/>
        </w:rPr>
      </w:pPr>
    </w:p>
    <w:p>
      <w:pPr>
        <w:ind w:left="420"/>
        <w:spacing w:after="0" w:line="255" w:lineRule="auto"/>
        <w:rPr>
          <w:sz w:val="20"/>
          <w:szCs w:val="20"/>
          <w:color w:val="auto"/>
        </w:rPr>
      </w:pPr>
      <w:r>
        <w:rPr>
          <w:rFonts w:ascii="Times New Roman" w:cs="Times New Roman" w:eastAsia="Times New Roman" w:hAnsi="Times New Roman"/>
          <w:sz w:val="18"/>
          <w:szCs w:val="18"/>
          <w:color w:val="auto"/>
        </w:rPr>
        <w:t>To comply with IRS rules, you are hereby notified that the foregoing summary was not intended or written in order to be used, and it cannot be used by any taxpayer, for the purpose of avoiding penalties that may be imposed on the taxpayer. In addition, if the foregoing summary would otherwise be considered a “marketed opinion” under the IRS rules, you are hereby notified that the advice was written to support the promotion or marketing of the transactions or matters addressed by the summary. The tax consequences of options will vary depending on the specific circumstances of each taxpayer. Therefore, each taxpayer should seek advice from an independent tax adviser.</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60"/>
          </w:cols>
          <w:pgMar w:left="500" w:top="268" w:right="539" w:bottom="1440" w:gutter="0" w:footer="0" w:header="0"/>
        </w:sectPr>
      </w:pPr>
    </w:p>
    <w:bookmarkStart w:id="444" w:name="page445"/>
    <w:bookmarkEnd w:id="444"/>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2011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OTICE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ARLY</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Optionee has been granted the following option to purchase shares of the Common Stock of Omada Health, Inc.:</w:t>
      </w:r>
    </w:p>
    <w:p>
      <w:pPr>
        <w:sectPr>
          <w:pgSz w:w="11900" w:h="16838" w:orient="portrait"/>
          <w:cols w:equalWidth="0" w:num="1">
            <w:col w:w="10700"/>
          </w:cols>
          <w:pgMar w:left="500" w:top="264" w:right="699" w:bottom="1440" w:gutter="0" w:footer="0" w:header="0"/>
        </w:sectPr>
      </w:pPr>
    </w:p>
    <w:p>
      <w:pPr>
        <w:spacing w:after="0" w:line="2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Name of Optionee:</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Carta</w:t>
      </w:r>
    </w:p>
    <w:p>
      <w:pPr>
        <w:spacing w:after="0" w:line="114" w:lineRule="exact"/>
        <w:rPr>
          <w:sz w:val="20"/>
          <w:szCs w:val="20"/>
          <w:color w:val="auto"/>
        </w:rPr>
      </w:pPr>
    </w:p>
    <w:p>
      <w:pPr>
        <w:sectPr>
          <w:pgSz w:w="11900" w:h="16838" w:orient="portrait"/>
          <w:cols w:equalWidth="0" w:num="2">
            <w:col w:w="4920" w:space="720"/>
            <w:col w:w="5060"/>
          </w:cols>
          <w:pgMar w:left="500" w:top="264" w:right="699" w:bottom="1440" w:gutter="0" w:footer="0" w:header="0"/>
          <w:type w:val="continuous"/>
        </w:sectPr>
      </w:pPr>
    </w:p>
    <w:p>
      <w:pPr>
        <w:spacing w:after="0" w:line="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Total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See Carta</w:t>
      </w:r>
    </w:p>
    <w:p>
      <w:pPr>
        <w:spacing w:after="0" w:line="114" w:lineRule="exact"/>
        <w:rPr>
          <w:sz w:val="20"/>
          <w:szCs w:val="20"/>
          <w:color w:val="auto"/>
        </w:rPr>
      </w:pPr>
    </w:p>
    <w:p>
      <w:pPr>
        <w:sectPr>
          <w:pgSz w:w="11900" w:h="16838" w:orient="portrait"/>
          <w:cols w:equalWidth="0" w:num="2">
            <w:col w:w="4920" w:space="720"/>
            <w:col w:w="5060"/>
          </w:cols>
          <w:pgMar w:left="500" w:top="264" w:right="699" w:bottom="1440" w:gutter="0" w:footer="0" w:header="0"/>
          <w:type w:val="continuous"/>
        </w:sectPr>
      </w:pPr>
    </w:p>
    <w:p>
      <w:pPr>
        <w:spacing w:after="0" w:line="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Type of Option:</w:t>
      </w:r>
    </w:p>
    <w:p>
      <w:pPr>
        <w:spacing w:after="0" w:line="20" w:lineRule="exact"/>
        <w:rPr>
          <w:sz w:val="20"/>
          <w:szCs w:val="20"/>
          <w:color w:val="auto"/>
        </w:rPr>
      </w:pPr>
      <w:r>
        <w:rPr>
          <w:sz w:val="20"/>
          <w:szCs w:val="20"/>
          <w:color w:val="auto"/>
        </w:rPr>
        <w:br w:type="column"/>
      </w:r>
    </w:p>
    <w:p>
      <w:pPr>
        <w:jc w:val="center"/>
        <w:ind w:right="4340"/>
        <w:spacing w:after="0"/>
        <w:rPr>
          <w:sz w:val="20"/>
          <w:szCs w:val="20"/>
          <w:color w:val="auto"/>
        </w:rPr>
      </w:pPr>
      <w:r>
        <w:rPr>
          <w:rFonts w:ascii="Times New Roman" w:cs="Times New Roman" w:eastAsia="Times New Roman" w:hAnsi="Times New Roman"/>
          <w:sz w:val="18"/>
          <w:szCs w:val="18"/>
          <w:i w:val="1"/>
          <w:iCs w:val="1"/>
          <w:color w:val="auto"/>
        </w:rPr>
        <w:t>See Carta</w:t>
      </w:r>
    </w:p>
    <w:p>
      <w:pPr>
        <w:spacing w:after="0" w:line="114" w:lineRule="exact"/>
        <w:rPr>
          <w:sz w:val="20"/>
          <w:szCs w:val="20"/>
          <w:color w:val="auto"/>
        </w:rPr>
      </w:pPr>
    </w:p>
    <w:p>
      <w:pPr>
        <w:sectPr>
          <w:pgSz w:w="11900" w:h="16838" w:orient="portrait"/>
          <w:cols w:equalWidth="0" w:num="2">
            <w:col w:w="4920" w:space="720"/>
            <w:col w:w="5060"/>
          </w:cols>
          <w:pgMar w:left="500" w:top="264" w:right="699" w:bottom="1440" w:gutter="0" w:footer="0" w:header="0"/>
          <w:type w:val="continuous"/>
        </w:sectPr>
      </w:pPr>
    </w:p>
    <w:p>
      <w:pPr>
        <w:spacing w:after="0" w:line="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See Carta</w:t>
      </w:r>
    </w:p>
    <w:p>
      <w:pPr>
        <w:spacing w:after="0" w:line="114" w:lineRule="exact"/>
        <w:rPr>
          <w:sz w:val="20"/>
          <w:szCs w:val="20"/>
          <w:color w:val="auto"/>
        </w:rPr>
      </w:pPr>
    </w:p>
    <w:p>
      <w:pPr>
        <w:sectPr>
          <w:pgSz w:w="11900" w:h="16838" w:orient="portrait"/>
          <w:cols w:equalWidth="0" w:num="2">
            <w:col w:w="4920" w:space="720"/>
            <w:col w:w="5060"/>
          </w:cols>
          <w:pgMar w:left="500" w:top="264" w:right="699" w:bottom="1440" w:gutter="0" w:footer="0" w:header="0"/>
          <w:type w:val="continuous"/>
        </w:sectPr>
      </w:pPr>
    </w:p>
    <w:p>
      <w:pPr>
        <w:spacing w:after="0" w:line="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Date of Grant:</w:t>
      </w:r>
    </w:p>
    <w:p>
      <w:pPr>
        <w:spacing w:after="0" w:line="20" w:lineRule="exact"/>
        <w:rPr>
          <w:sz w:val="20"/>
          <w:szCs w:val="20"/>
          <w:color w:val="auto"/>
        </w:rPr>
      </w:pPr>
      <w:r>
        <w:rPr>
          <w:sz w:val="20"/>
          <w:szCs w:val="20"/>
          <w:color w:val="auto"/>
        </w:rPr>
        <w:br w:type="column"/>
      </w:r>
    </w:p>
    <w:p>
      <w:pPr>
        <w:jc w:val="center"/>
        <w:ind w:right="4340"/>
        <w:spacing w:after="0"/>
        <w:rPr>
          <w:sz w:val="20"/>
          <w:szCs w:val="20"/>
          <w:color w:val="auto"/>
        </w:rPr>
      </w:pPr>
      <w:r>
        <w:rPr>
          <w:rFonts w:ascii="Times New Roman" w:cs="Times New Roman" w:eastAsia="Times New Roman" w:hAnsi="Times New Roman"/>
          <w:sz w:val="18"/>
          <w:szCs w:val="18"/>
          <w:i w:val="1"/>
          <w:iCs w:val="1"/>
          <w:color w:val="auto"/>
        </w:rPr>
        <w:t>See Carta</w:t>
      </w:r>
    </w:p>
    <w:p>
      <w:pPr>
        <w:spacing w:after="0" w:line="114" w:lineRule="exact"/>
        <w:rPr>
          <w:sz w:val="20"/>
          <w:szCs w:val="20"/>
          <w:color w:val="auto"/>
        </w:rPr>
      </w:pPr>
    </w:p>
    <w:p>
      <w:pPr>
        <w:sectPr>
          <w:pgSz w:w="11900" w:h="16838" w:orient="portrait"/>
          <w:cols w:equalWidth="0" w:num="2">
            <w:col w:w="4920" w:space="720"/>
            <w:col w:w="5060"/>
          </w:cols>
          <w:pgMar w:left="500" w:top="264" w:right="699" w:bottom="1440" w:gutter="0" w:footer="0" w:header="0"/>
          <w:type w:val="continuous"/>
        </w:sectPr>
      </w:pPr>
    </w:p>
    <w:p>
      <w:pPr>
        <w:spacing w:after="0" w:line="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Date Exercisable:</w:t>
      </w:r>
    </w:p>
    <w:p>
      <w:pPr>
        <w:spacing w:after="0" w:line="20" w:lineRule="exact"/>
        <w:rPr>
          <w:sz w:val="20"/>
          <w:szCs w:val="20"/>
          <w:color w:val="auto"/>
        </w:rPr>
      </w:pPr>
      <w:r>
        <w:rPr>
          <w:sz w:val="20"/>
          <w:szCs w:val="20"/>
          <w:color w:val="auto"/>
        </w:rPr>
        <w:br w:type="column"/>
      </w:r>
    </w:p>
    <w:p>
      <w:pPr>
        <w:ind w:right="540"/>
        <w:spacing w:after="0" w:line="310" w:lineRule="auto"/>
        <w:rPr>
          <w:sz w:val="20"/>
          <w:szCs w:val="20"/>
          <w:color w:val="auto"/>
        </w:rPr>
      </w:pPr>
      <w:r>
        <w:rPr>
          <w:rFonts w:ascii="Times New Roman" w:cs="Times New Roman" w:eastAsia="Times New Roman" w:hAnsi="Times New Roman"/>
          <w:sz w:val="17"/>
          <w:szCs w:val="17"/>
          <w:i w:val="1"/>
          <w:iCs w:val="1"/>
          <w:color w:val="auto"/>
        </w:rPr>
        <w:t>See Carta</w:t>
      </w:r>
      <w:r>
        <w:rPr>
          <w:rFonts w:ascii="Times New Roman" w:cs="Times New Roman" w:eastAsia="Times New Roman" w:hAnsi="Times New Roman"/>
          <w:sz w:val="17"/>
          <w:szCs w:val="17"/>
          <w:color w:val="auto"/>
        </w:rPr>
        <w:t>. This Option is immediately exercisable for all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subject to the terms of the Stock Option Agreement</w:t>
      </w:r>
    </w:p>
    <w:p>
      <w:pPr>
        <w:spacing w:after="0" w:line="29" w:lineRule="exact"/>
        <w:rPr>
          <w:sz w:val="20"/>
          <w:szCs w:val="20"/>
          <w:color w:val="auto"/>
        </w:rPr>
      </w:pPr>
    </w:p>
    <w:p>
      <w:pPr>
        <w:sectPr>
          <w:pgSz w:w="11900" w:h="16838" w:orient="portrait"/>
          <w:cols w:equalWidth="0" w:num="2">
            <w:col w:w="4920" w:space="720"/>
            <w:col w:w="5060"/>
          </w:cols>
          <w:pgMar w:left="500" w:top="264" w:right="699" w:bottom="1440" w:gutter="0" w:footer="0" w:header="0"/>
          <w:type w:val="continuous"/>
        </w:sectPr>
      </w:pPr>
    </w:p>
    <w:p>
      <w:pPr>
        <w:spacing w:after="0" w:line="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See Carta</w:t>
      </w:r>
    </w:p>
    <w:p>
      <w:pPr>
        <w:spacing w:after="0" w:line="114" w:lineRule="exact"/>
        <w:rPr>
          <w:sz w:val="20"/>
          <w:szCs w:val="20"/>
          <w:color w:val="auto"/>
        </w:rPr>
      </w:pPr>
    </w:p>
    <w:p>
      <w:pPr>
        <w:sectPr>
          <w:pgSz w:w="11900" w:h="16838" w:orient="portrait"/>
          <w:cols w:equalWidth="0" w:num="2">
            <w:col w:w="4920" w:space="720"/>
            <w:col w:w="5060"/>
          </w:cols>
          <w:pgMar w:left="500" w:top="264" w:right="699" w:bottom="1440" w:gutter="0" w:footer="0" w:header="0"/>
          <w:type w:val="continuous"/>
        </w:sectPr>
      </w:pPr>
    </w:p>
    <w:p>
      <w:pPr>
        <w:spacing w:after="0" w:line="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Vesting Schedule:</w:t>
      </w:r>
    </w:p>
    <w:p>
      <w:pPr>
        <w:spacing w:after="0" w:line="20" w:lineRule="exact"/>
        <w:rPr>
          <w:sz w:val="20"/>
          <w:szCs w:val="20"/>
          <w:color w:val="auto"/>
        </w:rPr>
      </w:pPr>
      <w:r>
        <w:rPr>
          <w:sz w:val="20"/>
          <w:szCs w:val="20"/>
          <w:color w:val="auto"/>
        </w:rPr>
        <w:br w:type="column"/>
      </w:r>
    </w:p>
    <w:p>
      <w:pPr>
        <w:ind w:right="460"/>
        <w:spacing w:after="0" w:line="258" w:lineRule="auto"/>
        <w:rPr>
          <w:sz w:val="20"/>
          <w:szCs w:val="20"/>
          <w:color w:val="auto"/>
        </w:rPr>
      </w:pPr>
      <w:r>
        <w:rPr>
          <w:rFonts w:ascii="Times New Roman" w:cs="Times New Roman" w:eastAsia="Times New Roman" w:hAnsi="Times New Roman"/>
          <w:sz w:val="18"/>
          <w:szCs w:val="18"/>
          <w:i w:val="1"/>
          <w:iCs w:val="1"/>
          <w:color w:val="auto"/>
        </w:rPr>
        <w:t>See Carta</w:t>
      </w:r>
      <w:r>
        <w:rPr>
          <w:rFonts w:ascii="Times New Roman" w:cs="Times New Roman" w:eastAsia="Times New Roman" w:hAnsi="Times New Roman"/>
          <w:sz w:val="18"/>
          <w:szCs w:val="18"/>
          <w:color w:val="auto"/>
        </w:rPr>
        <w:t>. The date ten (10) years after the Date of Grant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above. This option expires earlier if the Optionee’s Service terminates earlier, as provided in Section 6 of the Stock Option Agreement.</w:t>
      </w:r>
    </w:p>
    <w:p>
      <w:pPr>
        <w:spacing w:after="0" w:line="181" w:lineRule="exact"/>
        <w:rPr>
          <w:sz w:val="20"/>
          <w:szCs w:val="20"/>
          <w:color w:val="auto"/>
        </w:rPr>
      </w:pPr>
    </w:p>
    <w:p>
      <w:pPr>
        <w:sectPr>
          <w:pgSz w:w="11900" w:h="16838" w:orient="portrait"/>
          <w:cols w:equalWidth="0" w:num="2">
            <w:col w:w="4920" w:space="720"/>
            <w:col w:w="5060"/>
          </w:cols>
          <w:pgMar w:left="500" w:top="264" w:right="699" w:bottom="1440" w:gutter="0" w:footer="0" w:header="0"/>
          <w:type w:val="continuous"/>
        </w:sectPr>
      </w:pPr>
    </w:p>
    <w:p>
      <w:pPr>
        <w:ind w:right="20"/>
        <w:spacing w:after="0" w:line="262" w:lineRule="auto"/>
        <w:rPr>
          <w:sz w:val="20"/>
          <w:szCs w:val="20"/>
          <w:color w:val="auto"/>
        </w:rPr>
      </w:pPr>
      <w:r>
        <w:rPr>
          <w:rFonts w:ascii="Times New Roman" w:cs="Times New Roman" w:eastAsia="Times New Roman" w:hAnsi="Times New Roman"/>
          <w:sz w:val="18"/>
          <w:szCs w:val="18"/>
          <w:color w:val="auto"/>
        </w:rPr>
        <w:t xml:space="preserve">By Optionee’s acceptance of this Option, the Optionee and the Company agree that this option is granted under, and governed by the terms and conditions of, the 2011 Stock Plan and the Stock Option Agreement. Both of these documents are attached to, and made a part of, this Notice of Stock Option Grant. </w:t>
      </w:r>
      <w:r>
        <w:rPr>
          <w:rFonts w:ascii="Times New Roman" w:cs="Times New Roman" w:eastAsia="Times New Roman" w:hAnsi="Times New Roman"/>
          <w:sz w:val="18"/>
          <w:szCs w:val="18"/>
          <w:b w:val="1"/>
          <w:bCs w:val="1"/>
          <w:color w:val="auto"/>
        </w:rPr>
        <w:t>Section 14 of the Stock Option Agreement includes important acknowledgements of the Optionee</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Execution and Delivery: </w:t>
      </w:r>
      <w:r>
        <w:rPr>
          <w:rFonts w:ascii="Times New Roman" w:cs="Times New Roman" w:eastAsia="Times New Roman" w:hAnsi="Times New Roman"/>
          <w:sz w:val="18"/>
          <w:szCs w:val="18"/>
          <w:color w:val="auto"/>
        </w:rPr>
        <w:t>This Grant Notice may be executed and delivered electronically whether via the Company’s intranet or the Internet site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party or via email or any other means of electronic delivery specified by the Company. By Optionee’s acceptance hereof (whether written, electronic or otherwise), Optionee agrees, to the fullest extent permitted by law, that in lieu of receiving documents in paper format, Optionee accepts the electronic delivery of any documents that the Company (or any third party the Company may designate), may deliver in connection with this grant (including the Plan, this Grant Notice, the Stock Option Agreement, the information described in Rules 701(e)(2), (3), (4) and (5) under the Securities Act (the “</w:t>
      </w:r>
      <w:r>
        <w:rPr>
          <w:rFonts w:ascii="Times New Roman" w:cs="Times New Roman" w:eastAsia="Times New Roman" w:hAnsi="Times New Roman"/>
          <w:sz w:val="18"/>
          <w:szCs w:val="18"/>
          <w:b w:val="1"/>
          <w:bCs w:val="1"/>
          <w:i w:val="1"/>
          <w:iCs w:val="1"/>
          <w:color w:val="auto"/>
        </w:rPr>
        <w:t>701 Disclosures</w:t>
      </w:r>
      <w:r>
        <w:rPr>
          <w:rFonts w:ascii="Times New Roman" w:cs="Times New Roman" w:eastAsia="Times New Roman" w:hAnsi="Times New Roman"/>
          <w:sz w:val="18"/>
          <w:szCs w:val="18"/>
          <w:color w:val="auto"/>
        </w:rPr>
        <w:t>”), account statements, or other communications or information) whether via the Company’s intranet or the Internet site of such third party or via email or such other means of electronic delivery specified by the Company.</w:t>
      </w:r>
    </w:p>
    <w:p>
      <w:pPr>
        <w:sectPr>
          <w:pgSz w:w="11900" w:h="16838" w:orient="portrait"/>
          <w:cols w:equalWidth="0" w:num="1">
            <w:col w:w="10700"/>
          </w:cols>
          <w:pgMar w:left="500" w:top="264" w:right="699" w:bottom="1440" w:gutter="0" w:footer="0" w:header="0"/>
          <w:type w:val="continuous"/>
        </w:sectPr>
      </w:pPr>
    </w:p>
    <w:bookmarkStart w:id="445" w:name="page446"/>
    <w:bookmarkEnd w:id="445"/>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OPTION GRANTED PURSUANT TO THIS AGREEMENT AND THE SHARES ISSUABLE UPON THE EXERCISE THEREOF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2011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GRANT OF OPTION.</w:t>
      </w:r>
    </w:p>
    <w:p>
      <w:pPr>
        <w:spacing w:after="0" w:line="114" w:lineRule="exact"/>
        <w:rPr>
          <w:sz w:val="20"/>
          <w:szCs w:val="20"/>
          <w:color w:val="auto"/>
        </w:rPr>
      </w:pPr>
    </w:p>
    <w:p>
      <w:pPr>
        <w:ind w:right="200" w:firstLine="981"/>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On the terms and conditions set forth in the Notice of Stock Option Grant and this Agreement, the Company grants to the Optionee on the Date of Grant the option to purchase at the Exercise Price the number of Shares set forth in the Notice of Stock Option Grant. The Exercise Price is agreed to be at least 100% of the Fair Market Value per Share on the Date of Grant (110% of Fair Market Value if this option is designated as an ISO in the Notice of Stock Option Grant and Section 3(b) of the Plan applies). This option is intended to be an ISO or an NSO, as provided in the Notice of Stock Option Grant.</w:t>
      </w:r>
    </w:p>
    <w:p>
      <w:pPr>
        <w:spacing w:after="0" w:line="178" w:lineRule="exact"/>
        <w:rPr>
          <w:sz w:val="20"/>
          <w:szCs w:val="20"/>
          <w:color w:val="auto"/>
        </w:rPr>
      </w:pPr>
    </w:p>
    <w:p>
      <w:pPr>
        <w:ind w:right="240" w:firstLine="981"/>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$100,000 Limitation</w:t>
      </w:r>
      <w:r>
        <w:rPr>
          <w:rFonts w:ascii="Times New Roman" w:cs="Times New Roman" w:eastAsia="Times New Roman" w:hAnsi="Times New Roman"/>
          <w:sz w:val="18"/>
          <w:szCs w:val="18"/>
          <w:color w:val="auto"/>
        </w:rPr>
        <w:t>. Even if this option is designated as an ISO in the Notice of Stock Option Grant, it shall be deemed to be an NSO to the extent (and only to the extent) required by the $100,000 annual limitation under Section 422(d) of the Code.</w:t>
      </w:r>
    </w:p>
    <w:p>
      <w:pPr>
        <w:spacing w:after="0" w:line="155" w:lineRule="exact"/>
        <w:rPr>
          <w:sz w:val="20"/>
          <w:szCs w:val="20"/>
          <w:color w:val="auto"/>
        </w:rPr>
      </w:pPr>
    </w:p>
    <w:p>
      <w:pPr>
        <w:ind w:right="280" w:firstLine="981"/>
        <w:spacing w:after="0" w:line="26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Stock Plan and Defined Terms</w:t>
      </w:r>
      <w:r>
        <w:rPr>
          <w:rFonts w:ascii="Times New Roman" w:cs="Times New Roman" w:eastAsia="Times New Roman" w:hAnsi="Times New Roman"/>
          <w:sz w:val="18"/>
          <w:szCs w:val="18"/>
          <w:color w:val="auto"/>
        </w:rPr>
        <w:t>. This option is granted pursuant to the Plan, a copy of which the Optionee acknowledges having received. The provisions of the Plan are incorporated into this Agreement by this reference. Capitalized terms are defined in Section 15 of this Agreement.</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RIGHT TO EXERCISE.</w:t>
      </w:r>
    </w:p>
    <w:p>
      <w:pPr>
        <w:spacing w:after="0" w:line="114" w:lineRule="exact"/>
        <w:rPr>
          <w:sz w:val="20"/>
          <w:szCs w:val="20"/>
          <w:color w:val="auto"/>
        </w:rPr>
      </w:pPr>
    </w:p>
    <w:p>
      <w:pPr>
        <w:ind w:firstLine="981"/>
        <w:spacing w:after="0" w:line="26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Exercisability</w:t>
      </w:r>
      <w:r>
        <w:rPr>
          <w:rFonts w:ascii="Times New Roman" w:cs="Times New Roman" w:eastAsia="Times New Roman" w:hAnsi="Times New Roman"/>
          <w:sz w:val="18"/>
          <w:szCs w:val="18"/>
          <w:color w:val="auto"/>
        </w:rPr>
        <w:t>. Subject to Subsection (b) below and the other conditions set forth in this Agreement, all or part of this option may be exercised prior to its expiration at the time or times set forth in the Notice of Stock Option Grant. Shares purchased by exercising this option may be subject to the Right of Repurchase under Section 7.</w:t>
      </w:r>
    </w:p>
    <w:p>
      <w:pPr>
        <w:spacing w:after="0" w:line="169" w:lineRule="exact"/>
        <w:rPr>
          <w:sz w:val="20"/>
          <w:szCs w:val="20"/>
          <w:color w:val="auto"/>
        </w:rPr>
      </w:pPr>
    </w:p>
    <w:p>
      <w:pPr>
        <w:ind w:firstLine="981"/>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Any other provision of this Agreement notwithstanding, no portion of this option shall be exercisable at any time prior to the approval of the Plan by the Company’s stockholders.</w:t>
      </w:r>
    </w:p>
    <w:p>
      <w:pPr>
        <w:sectPr>
          <w:pgSz w:w="11900" w:h="16838" w:orient="portrait"/>
          <w:cols w:equalWidth="0" w:num="1">
            <w:col w:w="10820"/>
          </w:cols>
          <w:pgMar w:left="500" w:top="264" w:right="579" w:bottom="1440" w:gutter="0" w:footer="0" w:header="0"/>
        </w:sectPr>
      </w:pPr>
    </w:p>
    <w:bookmarkStart w:id="446" w:name="page447"/>
    <w:bookmarkEnd w:id="446"/>
    <w:p>
      <w:pPr>
        <w:ind w:left="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3. NO TRANSFER OR ASSIGNMENT OF OPTION.</w:t>
      </w:r>
    </w:p>
    <w:p>
      <w:pPr>
        <w:spacing w:after="0" w:line="118" w:lineRule="exact"/>
        <w:rPr>
          <w:sz w:val="20"/>
          <w:szCs w:val="20"/>
          <w:color w:val="auto"/>
        </w:rPr>
      </w:pPr>
    </w:p>
    <w:p>
      <w:pPr>
        <w:jc w:val="both"/>
        <w:ind w:left="6" w:right="240" w:firstLine="981"/>
        <w:spacing w:after="0" w:line="308" w:lineRule="auto"/>
        <w:rPr>
          <w:sz w:val="20"/>
          <w:szCs w:val="20"/>
          <w:color w:val="auto"/>
        </w:rPr>
      </w:pPr>
      <w:r>
        <w:rPr>
          <w:rFonts w:ascii="Times New Roman" w:cs="Times New Roman" w:eastAsia="Times New Roman" w:hAnsi="Times New Roman"/>
          <w:sz w:val="17"/>
          <w:szCs w:val="17"/>
          <w:color w:val="auto"/>
        </w:rPr>
        <w:t>Except as otherwise provided in this Agreement, this option and the rights and privileges conferred hereby shall not be sold, pledged or otherwise transferred (whether by operation of law or otherwise) and shall not be subject to sale under execution, attachment, levy or similar process.</w:t>
      </w:r>
    </w:p>
    <w:p>
      <w:pPr>
        <w:spacing w:after="0" w:line="24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SECTION 4. EXERCISE PROCEDURES.</w:t>
      </w:r>
    </w:p>
    <w:p>
      <w:pPr>
        <w:spacing w:after="0" w:line="114" w:lineRule="exact"/>
        <w:rPr>
          <w:sz w:val="20"/>
          <w:szCs w:val="20"/>
          <w:color w:val="auto"/>
        </w:rPr>
      </w:pPr>
    </w:p>
    <w:p>
      <w:pPr>
        <w:ind w:left="6" w:right="40" w:firstLine="981"/>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Notice of Exercise</w:t>
      </w:r>
      <w:r>
        <w:rPr>
          <w:rFonts w:ascii="Times New Roman" w:cs="Times New Roman" w:eastAsia="Times New Roman" w:hAnsi="Times New Roman"/>
          <w:sz w:val="18"/>
          <w:szCs w:val="18"/>
          <w:color w:val="auto"/>
        </w:rPr>
        <w:t>. The Optionee or the Optionee’s representative may exercise this option by giving written notice to the Company pursuant to Section 13(c). The notice shall specify the election to exercise this option, the number of Shares for which it is being exercised and the form of payment. The person exercising this option shall sign the notice. In the event that this option is being exercised by the representative of the Optionee, the notice shall be accompanied by proof (satisfactory to the Company) of the representative’s right to exercise this option. The Optionee or the Optionee’s representative shall deliver to the Company, at the time of giving the notice, payment in a form permissible under Section 5 for the full amount of the Purchase Price. In the event of a partial exercise of this option, Shares shall be deemed to have been purchased in the order in which they vest in accordance with the Notice of Stock Option Grant.</w:t>
      </w:r>
    </w:p>
    <w:p>
      <w:pPr>
        <w:spacing w:after="0" w:line="182" w:lineRule="exact"/>
        <w:rPr>
          <w:sz w:val="20"/>
          <w:szCs w:val="20"/>
          <w:color w:val="auto"/>
        </w:rPr>
      </w:pPr>
    </w:p>
    <w:p>
      <w:pPr>
        <w:ind w:left="6" w:right="400" w:firstLine="981"/>
        <w:spacing w:after="0" w:line="276"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b w:val="1"/>
          <w:bCs w:val="1"/>
          <w:color w:val="auto"/>
        </w:rPr>
        <w:t>Issuance of Shares</w:t>
      </w:r>
      <w:r>
        <w:rPr>
          <w:rFonts w:ascii="Times New Roman" w:cs="Times New Roman" w:eastAsia="Times New Roman" w:hAnsi="Times New Roman"/>
          <w:sz w:val="17"/>
          <w:szCs w:val="17"/>
          <w:color w:val="auto"/>
        </w:rPr>
        <w:t>. After receiving a proper notice of exercise, the Company shall cause to be issued one or more certificates evidencing the Shares for which this option has been exercised. Such Shares shall be registered (i) in the name of the person exercising this option,</w:t>
      </w:r>
    </w:p>
    <w:p>
      <w:pPr>
        <w:spacing w:after="0" w:line="1" w:lineRule="exact"/>
        <w:rPr>
          <w:sz w:val="20"/>
          <w:szCs w:val="20"/>
          <w:color w:val="auto"/>
        </w:rPr>
      </w:pPr>
    </w:p>
    <w:p>
      <w:pPr>
        <w:ind w:left="6" w:right="440" w:hanging="6"/>
        <w:spacing w:after="0" w:line="250" w:lineRule="auto"/>
        <w:tabs>
          <w:tab w:leader="none" w:pos="26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names of such person and his or her spouse as community property or as joint tenants with the right of survivorship or (iii) with the Company’s consent, in the name of a revocable trust. In the case of Restricted Shares, the Company shall cause such certificates to be deposited in escrow under Section 7(c). In the case of other Shares, the Company shall cause such certificates to be delivered to or upon the order of the person exercising this option.</w:t>
      </w:r>
    </w:p>
    <w:p>
      <w:pPr>
        <w:spacing w:after="0" w:line="183" w:lineRule="exact"/>
        <w:rPr>
          <w:sz w:val="20"/>
          <w:szCs w:val="20"/>
          <w:color w:val="auto"/>
        </w:rPr>
      </w:pPr>
    </w:p>
    <w:p>
      <w:pPr>
        <w:ind w:left="6" w:firstLine="981"/>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Withholding Taxes</w:t>
      </w:r>
      <w:r>
        <w:rPr>
          <w:rFonts w:ascii="Times New Roman" w:cs="Times New Roman" w:eastAsia="Times New Roman" w:hAnsi="Times New Roman"/>
          <w:sz w:val="18"/>
          <w:szCs w:val="18"/>
          <w:color w:val="auto"/>
        </w:rPr>
        <w:t>. In the event that the Company determines that it is required to withhold any tax as a result of the exercise of this option, the Optionee, as a condition to the exercise of this option, shall make arrangements satisfactory to the Company to enable it to satisfy all withholding requirements. The Optionee shall also make arrangements satisfactory to the Company to enable it to satisfy any withholding requirements that may arise in connection with the vesting or disposition of Shares purchased by exercising this option.</w:t>
      </w:r>
    </w:p>
    <w:p>
      <w:pPr>
        <w:spacing w:after="0" w:line="28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SECTION 5. PAYMENT FOR STOCK.</w:t>
      </w:r>
    </w:p>
    <w:p>
      <w:pPr>
        <w:spacing w:after="0" w:line="114" w:lineRule="exact"/>
        <w:rPr>
          <w:sz w:val="20"/>
          <w:szCs w:val="20"/>
          <w:color w:val="auto"/>
        </w:rPr>
      </w:pPr>
    </w:p>
    <w:p>
      <w:pPr>
        <w:ind w:left="1226" w:hanging="245"/>
        <w:spacing w:after="0"/>
        <w:tabs>
          <w:tab w:leader="none" w:pos="122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Cash</w:t>
      </w:r>
      <w:r>
        <w:rPr>
          <w:rFonts w:ascii="Times New Roman" w:cs="Times New Roman" w:eastAsia="Times New Roman" w:hAnsi="Times New Roman"/>
          <w:sz w:val="18"/>
          <w:szCs w:val="18"/>
          <w:color w:val="auto"/>
        </w:rPr>
        <w:t>. All or part of the Purchase Price may be paid in cash or cash equivalents.</w:t>
      </w:r>
    </w:p>
    <w:p>
      <w:pPr>
        <w:spacing w:after="0" w:line="220" w:lineRule="exact"/>
        <w:rPr>
          <w:rFonts w:ascii="Times New Roman" w:cs="Times New Roman" w:eastAsia="Times New Roman" w:hAnsi="Times New Roman"/>
          <w:sz w:val="18"/>
          <w:szCs w:val="18"/>
          <w:color w:val="auto"/>
        </w:rPr>
      </w:pPr>
    </w:p>
    <w:p>
      <w:pPr>
        <w:ind w:left="6" w:right="140" w:firstLine="975"/>
        <w:spacing w:after="0" w:line="265" w:lineRule="auto"/>
        <w:tabs>
          <w:tab w:leader="none" w:pos="123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Surrender of Stock</w:t>
      </w:r>
      <w:r>
        <w:rPr>
          <w:rFonts w:ascii="Times New Roman" w:cs="Times New Roman" w:eastAsia="Times New Roman" w:hAnsi="Times New Roman"/>
          <w:sz w:val="18"/>
          <w:szCs w:val="18"/>
          <w:color w:val="auto"/>
        </w:rPr>
        <w:t>. At the discretion of the Board of Directors, all or any part of the Purchase Price may be paid by surrendering,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attesting to the ownership of, Shares that are already owned by the Optionee. Such Shares shall be surrendered to the Company in good form for transfer and shall be valued at their Fair Market Value as of the date when this option is exercised.</w:t>
      </w:r>
    </w:p>
    <w:p>
      <w:pPr>
        <w:spacing w:after="0" w:line="107"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66"/>
          </w:cols>
          <w:pgMar w:left="494" w:top="264" w:right="539" w:bottom="1440" w:gutter="0" w:footer="0" w:header="0"/>
        </w:sectPr>
      </w:pPr>
    </w:p>
    <w:bookmarkStart w:id="447" w:name="page448"/>
    <w:bookmarkEnd w:id="447"/>
    <w:p>
      <w:pPr>
        <w:ind w:firstLine="981"/>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  </w:t>
      </w:r>
      <w:r>
        <w:rPr>
          <w:rFonts w:ascii="Times New Roman" w:cs="Times New Roman" w:eastAsia="Times New Roman" w:hAnsi="Times New Roman"/>
          <w:sz w:val="18"/>
          <w:szCs w:val="18"/>
          <w:b w:val="1"/>
          <w:bCs w:val="1"/>
          <w:color w:val="auto"/>
        </w:rPr>
        <w:t>Exercise/Sale</w:t>
      </w:r>
      <w:r>
        <w:rPr>
          <w:rFonts w:ascii="Times New Roman" w:cs="Times New Roman" w:eastAsia="Times New Roman" w:hAnsi="Times New Roman"/>
          <w:sz w:val="18"/>
          <w:szCs w:val="18"/>
          <w:color w:val="auto"/>
        </w:rPr>
        <w:t>. All or part of the Purchase Price and any withholding taxes may be paid by the delivery (on a form prescribed by the Company) of an irrevocable direction to a securities broker approved by the Company to sell Shares and to deliver all or part of the sales proceeds to the Company. However, payment pursuant to this Subsection (c) shall be permitted only if (i) Stock then is publicly traded and (ii) such payment does not violate applicable law.</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TERM AND EXPIRATION.</w:t>
      </w:r>
    </w:p>
    <w:p>
      <w:pPr>
        <w:spacing w:after="0" w:line="114" w:lineRule="exact"/>
        <w:rPr>
          <w:sz w:val="20"/>
          <w:szCs w:val="20"/>
          <w:color w:val="auto"/>
        </w:rPr>
      </w:pPr>
    </w:p>
    <w:p>
      <w:pPr>
        <w:ind w:right="120" w:firstLine="981"/>
        <w:spacing w:after="0" w:line="26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Basic Term</w:t>
      </w:r>
      <w:r>
        <w:rPr>
          <w:rFonts w:ascii="Times New Roman" w:cs="Times New Roman" w:eastAsia="Times New Roman" w:hAnsi="Times New Roman"/>
          <w:sz w:val="18"/>
          <w:szCs w:val="18"/>
          <w:color w:val="auto"/>
        </w:rPr>
        <w:t>. This option shall in any event expire on the expiration date set forth in the Notice of Stock Option Grant, which date is 10 years after the Date of Grant (five years after the Date of Grant if this option is designated as an ISO in the Notice of Stock Option Grant and Section 3(b) of the Plan applies).</w:t>
      </w:r>
    </w:p>
    <w:p>
      <w:pPr>
        <w:spacing w:after="0" w:line="169" w:lineRule="exact"/>
        <w:rPr>
          <w:sz w:val="20"/>
          <w:szCs w:val="20"/>
          <w:color w:val="auto"/>
        </w:rPr>
      </w:pPr>
    </w:p>
    <w:p>
      <w:pPr>
        <w:ind w:right="240" w:firstLine="981"/>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Termination of Service (Except by Death)</w:t>
      </w:r>
      <w:r>
        <w:rPr>
          <w:rFonts w:ascii="Times New Roman" w:cs="Times New Roman" w:eastAsia="Times New Roman" w:hAnsi="Times New Roman"/>
          <w:sz w:val="18"/>
          <w:szCs w:val="18"/>
          <w:color w:val="auto"/>
        </w:rPr>
        <w:t>. If the Optionee’s Service terminates for any reason other than death, then this option shall expire on the earliest of the following occasions: above;</w:t>
      </w:r>
    </w:p>
    <w:p>
      <w:pPr>
        <w:spacing w:after="0" w:line="5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The expiration date determined pursuant to Subsection (a) above;</w:t>
      </w:r>
    </w:p>
    <w:p>
      <w:pPr>
        <w:sectPr>
          <w:pgSz w:w="11900" w:h="16838" w:orient="portrait"/>
          <w:cols w:equalWidth="0" w:num="1">
            <w:col w:w="10860"/>
          </w:cols>
          <w:pgMar w:left="500" w:top="264" w:right="539" w:bottom="1440" w:gutter="0" w:footer="0" w:header="0"/>
        </w:sectPr>
      </w:pPr>
    </w:p>
    <w:p>
      <w:pPr>
        <w:spacing w:after="0" w:line="11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2"/>
          <w:szCs w:val="12"/>
          <w:color w:val="auto"/>
        </w:rPr>
        <w:t>(ii)  </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date three months after the termination of the Optionee’s Service for any reason other than Disability; or</w:t>
      </w:r>
    </w:p>
    <w:p>
      <w:pPr>
        <w:spacing w:after="0" w:line="125" w:lineRule="exact"/>
        <w:rPr>
          <w:sz w:val="20"/>
          <w:szCs w:val="20"/>
          <w:color w:val="auto"/>
        </w:rPr>
      </w:pPr>
    </w:p>
    <w:p>
      <w:pPr>
        <w:sectPr>
          <w:pgSz w:w="11900" w:h="16838" w:orient="portrait"/>
          <w:cols w:equalWidth="0" w:num="2">
            <w:col w:w="1680" w:space="120"/>
            <w:col w:w="9060"/>
          </w:cols>
          <w:pgMar w:left="500" w:top="264" w:right="53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2"/>
          <w:szCs w:val="12"/>
          <w:color w:val="auto"/>
        </w:rPr>
        <w:t>(iii)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date six months after the termination of the Optionee’s Service by reason of Disability.</w:t>
      </w:r>
    </w:p>
    <w:p>
      <w:pPr>
        <w:spacing w:after="0" w:line="125" w:lineRule="exact"/>
        <w:rPr>
          <w:sz w:val="20"/>
          <w:szCs w:val="20"/>
          <w:color w:val="auto"/>
        </w:rPr>
      </w:pPr>
    </w:p>
    <w:p>
      <w:pPr>
        <w:sectPr>
          <w:pgSz w:w="11900" w:h="16838" w:orient="portrait"/>
          <w:cols w:equalWidth="0" w:num="2">
            <w:col w:w="1720" w:space="140"/>
            <w:col w:w="9000"/>
          </w:cols>
          <w:pgMar w:left="500" w:top="264" w:right="539" w:bottom="1440" w:gutter="0" w:footer="0" w:header="0"/>
          <w:type w:val="continuous"/>
        </w:sectPr>
      </w:pPr>
    </w:p>
    <w:p>
      <w:pPr>
        <w:ind w:left="420" w:right="460" w:firstLine="942"/>
        <w:spacing w:after="0" w:line="277" w:lineRule="auto"/>
        <w:rPr>
          <w:sz w:val="20"/>
          <w:szCs w:val="20"/>
          <w:color w:val="auto"/>
        </w:rPr>
      </w:pPr>
      <w:r>
        <w:rPr>
          <w:rFonts w:ascii="Times New Roman" w:cs="Times New Roman" w:eastAsia="Times New Roman" w:hAnsi="Times New Roman"/>
          <w:sz w:val="18"/>
          <w:szCs w:val="18"/>
          <w:color w:val="auto"/>
        </w:rPr>
        <w:t>(iv)   If the Optionee had completed three (3) years of employment or more, the date two (2) years after the termination of the Optionee’s Service for any reason other than Disability or for Cause.</w:t>
      </w:r>
    </w:p>
    <w:p>
      <w:pPr>
        <w:spacing w:after="0" w:line="57" w:lineRule="exact"/>
        <w:rPr>
          <w:sz w:val="20"/>
          <w:szCs w:val="20"/>
          <w:color w:val="auto"/>
        </w:rPr>
      </w:pPr>
    </w:p>
    <w:p>
      <w:pPr>
        <w:ind w:left="420" w:right="480" w:firstLine="942"/>
        <w:spacing w:after="0" w:line="277" w:lineRule="auto"/>
        <w:rPr>
          <w:sz w:val="20"/>
          <w:szCs w:val="20"/>
          <w:color w:val="auto"/>
        </w:rPr>
      </w:pPr>
      <w:r>
        <w:rPr>
          <w:rFonts w:ascii="Times New Roman" w:cs="Times New Roman" w:eastAsia="Times New Roman" w:hAnsi="Times New Roman"/>
          <w:sz w:val="18"/>
          <w:szCs w:val="18"/>
          <w:color w:val="auto"/>
        </w:rPr>
        <w:t>(v)   If the Optionee had completed four (4) years of employment or more, the date three (3) years after the termination of the Optionee’s Service for any reason other than Disability or for Cause.</w:t>
      </w:r>
    </w:p>
    <w:p>
      <w:pPr>
        <w:spacing w:after="0" w:line="57" w:lineRule="exact"/>
        <w:rPr>
          <w:sz w:val="20"/>
          <w:szCs w:val="20"/>
          <w:color w:val="auto"/>
        </w:rPr>
      </w:pPr>
    </w:p>
    <w:p>
      <w:pPr>
        <w:ind w:left="1420" w:right="460"/>
        <w:spacing w:after="0" w:line="277" w:lineRule="auto"/>
        <w:rPr>
          <w:sz w:val="20"/>
          <w:szCs w:val="20"/>
          <w:color w:val="auto"/>
        </w:rPr>
      </w:pPr>
      <w:r>
        <w:rPr>
          <w:rFonts w:ascii="Times New Roman" w:cs="Times New Roman" w:eastAsia="Times New Roman" w:hAnsi="Times New Roman"/>
          <w:sz w:val="18"/>
          <w:szCs w:val="18"/>
          <w:color w:val="auto"/>
        </w:rPr>
        <w:t>(vi)   If the Optionee had completed five (5) years of employment or more, the date four (4) years after the termination of the Optionee’s Service for any reason other than Disability or for Cause.</w:t>
      </w:r>
    </w:p>
    <w:p>
      <w:pPr>
        <w:spacing w:after="0" w:line="5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(vii)    If the Optionee had completed less than three (3) years of employment, and Optionee’s employment was terminated in</w:t>
      </w:r>
    </w:p>
    <w:p>
      <w:pPr>
        <w:sectPr>
          <w:pgSz w:w="11900" w:h="16838" w:orient="portrait"/>
          <w:cols w:equalWidth="0" w:num="1">
            <w:col w:w="10860"/>
          </w:cols>
          <w:pgMar w:left="500" w:top="264" w:right="539" w:bottom="1440" w:gutter="0" w:footer="0" w:header="0"/>
          <w:type w:val="continuous"/>
        </w:sectPr>
      </w:pPr>
    </w:p>
    <w:p>
      <w:pPr>
        <w:spacing w:after="0" w:line="37" w:lineRule="exact"/>
        <w:rPr>
          <w:sz w:val="20"/>
          <w:szCs w:val="20"/>
          <w:color w:val="auto"/>
        </w:rPr>
      </w:pPr>
    </w:p>
    <w:p>
      <w:pPr>
        <w:ind w:left="420" w:right="100"/>
        <w:spacing w:after="0" w:line="255" w:lineRule="auto"/>
        <w:rPr>
          <w:sz w:val="20"/>
          <w:szCs w:val="20"/>
          <w:color w:val="auto"/>
        </w:rPr>
      </w:pPr>
      <w:r>
        <w:rPr>
          <w:rFonts w:ascii="Times New Roman" w:cs="Times New Roman" w:eastAsia="Times New Roman" w:hAnsi="Times New Roman"/>
          <w:sz w:val="18"/>
          <w:szCs w:val="18"/>
          <w:color w:val="auto"/>
        </w:rPr>
        <w:t>connection with a reduction in force as determined by the Company, then the date one (1) year after the termination of the Optionee’s Service for any reason other than Disability or for Cause.</w:t>
      </w:r>
    </w:p>
    <w:p>
      <w:pPr>
        <w:spacing w:after="0" w:line="18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The Optionee may exercise all or part of this option at any time before its expiration under the preceding sentence, but only to the extent that this option is exercisable for vested Shares on or before the date when the Optionee’s Service terminates. When the Optionee’s Service</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60"/>
          </w:cols>
          <w:pgMar w:left="500" w:top="264" w:right="539" w:bottom="1440" w:gutter="0" w:footer="0" w:header="0"/>
          <w:type w:val="continuous"/>
        </w:sectPr>
      </w:pPr>
    </w:p>
    <w:bookmarkStart w:id="448" w:name="page449"/>
    <w:bookmarkEnd w:id="44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terminates, this option shall expire immediately with respect to the number of Shares for which this option is not yet exercisable and with respect to any Restricted Shares.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was exercisable for vested Shares on or before the date when the Optionee’s Service terminated.</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Death of the Optionee</w:t>
      </w:r>
      <w:r>
        <w:rPr>
          <w:rFonts w:ascii="Times New Roman" w:cs="Times New Roman" w:eastAsia="Times New Roman" w:hAnsi="Times New Roman"/>
          <w:sz w:val="18"/>
          <w:szCs w:val="18"/>
          <w:color w:val="auto"/>
        </w:rPr>
        <w:t>. If the Optionee dies while in Service, then this option shall expire on the earlier of the following dates:</w:t>
      </w:r>
    </w:p>
    <w:p>
      <w:pPr>
        <w:sectPr>
          <w:pgSz w:w="11900" w:h="16838" w:orient="portrait"/>
          <w:cols w:equalWidth="0" w:num="1">
            <w:col w:w="10840"/>
          </w:cols>
          <w:pgMar w:left="500" w:top="268" w:right="559" w:bottom="1440" w:gutter="0" w:footer="0" w:header="0"/>
        </w:sectPr>
      </w:pPr>
    </w:p>
    <w:p>
      <w:pPr>
        <w:spacing w:after="0" w:line="11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0"/>
          <w:szCs w:val="10"/>
          <w:color w:val="auto"/>
        </w:rPr>
        <w:t>(i)  </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expiration date determined pursuant to Subsection (a) above; or</w:t>
      </w:r>
    </w:p>
    <w:p>
      <w:pPr>
        <w:spacing w:after="0" w:line="125" w:lineRule="exact"/>
        <w:rPr>
          <w:sz w:val="20"/>
          <w:szCs w:val="20"/>
          <w:color w:val="auto"/>
        </w:rPr>
      </w:pPr>
    </w:p>
    <w:p>
      <w:pPr>
        <w:sectPr>
          <w:pgSz w:w="11900" w:h="16838" w:orient="portrait"/>
          <w:cols w:equalWidth="0" w:num="2">
            <w:col w:w="1660" w:space="140"/>
            <w:col w:w="9040"/>
          </w:cols>
          <w:pgMar w:left="500" w:top="268" w:right="55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2"/>
          <w:szCs w:val="12"/>
          <w:color w:val="auto"/>
        </w:rPr>
        <w:t>(ii)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date 12 months after the Optionee’s death.</w:t>
      </w:r>
    </w:p>
    <w:p>
      <w:pPr>
        <w:spacing w:after="0" w:line="200" w:lineRule="exact"/>
        <w:rPr>
          <w:sz w:val="20"/>
          <w:szCs w:val="20"/>
          <w:color w:val="auto"/>
        </w:rPr>
      </w:pPr>
    </w:p>
    <w:p>
      <w:pPr>
        <w:sectPr>
          <w:pgSz w:w="11900" w:h="16838" w:orient="portrait"/>
          <w:cols w:equalWidth="0" w:num="2">
            <w:col w:w="1680" w:space="120"/>
            <w:col w:w="9040"/>
          </w:cols>
          <w:pgMar w:left="500" w:top="268" w:right="559" w:bottom="1440" w:gutter="0" w:footer="0" w:header="0"/>
          <w:type w:val="continuous"/>
        </w:sectPr>
      </w:pPr>
    </w:p>
    <w:p>
      <w:pPr>
        <w:spacing w:after="0" w:line="3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is exercisable for vested Shares on or before the date of the Optionee’s death. When the Optionee dies, this option shall expire immediately with respect to the number of Shares for which this option is not yet exercisable and with respect to any Restricted Shares.</w:t>
      </w:r>
    </w:p>
    <w:p>
      <w:pPr>
        <w:spacing w:after="0" w:line="178" w:lineRule="exact"/>
        <w:rPr>
          <w:sz w:val="20"/>
          <w:szCs w:val="20"/>
          <w:color w:val="auto"/>
        </w:rPr>
      </w:pPr>
    </w:p>
    <w:p>
      <w:pPr>
        <w:ind w:right="20" w:firstLine="981"/>
        <w:spacing w:after="0" w:line="253"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Part-Time Employment and Leaves of Absence</w:t>
      </w:r>
      <w:r>
        <w:rPr>
          <w:rFonts w:ascii="Times New Roman" w:cs="Times New Roman" w:eastAsia="Times New Roman" w:hAnsi="Times New Roman"/>
          <w:sz w:val="18"/>
          <w:szCs w:val="18"/>
          <w:color w:val="auto"/>
        </w:rPr>
        <w:t xml:space="preserve">. If the Optionee commences working on a part-time basis, then the Company may adjust the vesting schedule set forth in the Notice of Stock Option Grant. If the Optionee goes on a leave of absence, then the Company may adjust the vesting schedule set forth in the Notice of Stock Option Grant in accordance with the Company’s leave of absence policy or the terms of such leave. Except as provided in the preceding sentence, Service shall be deemed to continue for any purpose under this Agreement while the Optionee is on a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leave of absence, if (i) such leave was approved by the Company in writing and (ii) continued crediting of Service for such purpose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expressly required by the terms of such leave or by applicable law (as determined by the Company). Service shall be deemed to terminate when such leave ends, unless the Optionee immediately returns to active work.</w:t>
      </w:r>
    </w:p>
    <w:p>
      <w:pPr>
        <w:spacing w:after="0" w:line="182" w:lineRule="exact"/>
        <w:rPr>
          <w:sz w:val="20"/>
          <w:szCs w:val="20"/>
          <w:color w:val="auto"/>
        </w:rPr>
      </w:pPr>
    </w:p>
    <w:p>
      <w:pPr>
        <w:ind w:right="300" w:firstLine="981"/>
        <w:spacing w:after="0" w:line="28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Notice Concerning ISO Treatment</w:t>
      </w:r>
      <w:r>
        <w:rPr>
          <w:rFonts w:ascii="Times New Roman" w:cs="Times New Roman" w:eastAsia="Times New Roman" w:hAnsi="Times New Roman"/>
          <w:sz w:val="18"/>
          <w:szCs w:val="18"/>
          <w:color w:val="auto"/>
        </w:rPr>
        <w:t>. Even if this option is designated as an ISO in the Notice of Stock Option Grant, it ceases to qualify for favorable tax treatment as an ISO to the extent that it is exercised:</w:t>
      </w:r>
    </w:p>
    <w:p>
      <w:pPr>
        <w:spacing w:after="0" w:line="52" w:lineRule="exact"/>
        <w:rPr>
          <w:sz w:val="20"/>
          <w:szCs w:val="20"/>
          <w:color w:val="auto"/>
        </w:rPr>
      </w:pPr>
    </w:p>
    <w:p>
      <w:pPr>
        <w:ind w:left="420" w:right="680" w:firstLine="942"/>
        <w:spacing w:after="0" w:line="277" w:lineRule="auto"/>
        <w:rPr>
          <w:sz w:val="20"/>
          <w:szCs w:val="20"/>
          <w:color w:val="auto"/>
        </w:rPr>
      </w:pPr>
      <w:r>
        <w:rPr>
          <w:rFonts w:ascii="Times New Roman" w:cs="Times New Roman" w:eastAsia="Times New Roman" w:hAnsi="Times New Roman"/>
          <w:sz w:val="18"/>
          <w:szCs w:val="18"/>
          <w:color w:val="auto"/>
        </w:rPr>
        <w:t>(i)   More than three months after the date when the Optionee ceases to be an Employee for any reason other than death or permanent and total disability (as defined in Section 22(e)(3) of the Code);</w:t>
      </w:r>
    </w:p>
    <w:p>
      <w:pPr>
        <w:spacing w:after="0" w:line="57" w:lineRule="exact"/>
        <w:rPr>
          <w:sz w:val="20"/>
          <w:szCs w:val="20"/>
          <w:color w:val="auto"/>
        </w:rPr>
      </w:pPr>
    </w:p>
    <w:p>
      <w:pPr>
        <w:ind w:left="420" w:right="180" w:firstLine="942"/>
        <w:spacing w:after="0" w:line="277" w:lineRule="auto"/>
        <w:rPr>
          <w:sz w:val="20"/>
          <w:szCs w:val="20"/>
          <w:color w:val="auto"/>
        </w:rPr>
      </w:pPr>
      <w:r>
        <w:rPr>
          <w:rFonts w:ascii="Times New Roman" w:cs="Times New Roman" w:eastAsia="Times New Roman" w:hAnsi="Times New Roman"/>
          <w:sz w:val="18"/>
          <w:szCs w:val="18"/>
          <w:color w:val="auto"/>
        </w:rPr>
        <w:t>(ii)   More than 12 months after the date when the Optionee ceases to be an Employee by reason of permanent and total disability (as defined in Section 22(e)(3) of the Code); or</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40"/>
          </w:cols>
          <w:pgMar w:left="500" w:top="268" w:right="559" w:bottom="1440" w:gutter="0" w:footer="0" w:header="0"/>
          <w:type w:val="continuous"/>
        </w:sectPr>
      </w:pPr>
    </w:p>
    <w:bookmarkStart w:id="449" w:name="page450"/>
    <w:bookmarkEnd w:id="449"/>
    <w:p>
      <w:pPr>
        <w:ind w:left="420" w:right="280" w:firstLine="942"/>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(iii)   More than three months after the date when the Optionee has been on a leave of absence for 90 days, unless the Optionee’s reemployment rights following such leave were guaranteed by statute or by contract.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RIGHT OF REPURCHASE.</w:t>
      </w:r>
    </w:p>
    <w:p>
      <w:pPr>
        <w:spacing w:after="0" w:line="114" w:lineRule="exact"/>
        <w:rPr>
          <w:sz w:val="20"/>
          <w:szCs w:val="20"/>
          <w:color w:val="auto"/>
        </w:rPr>
      </w:pPr>
    </w:p>
    <w:p>
      <w:pPr>
        <w:ind w:right="40" w:firstLine="981"/>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Scope of Repurchase Right</w:t>
      </w:r>
      <w:r>
        <w:rPr>
          <w:rFonts w:ascii="Times New Roman" w:cs="Times New Roman" w:eastAsia="Times New Roman" w:hAnsi="Times New Roman"/>
          <w:sz w:val="18"/>
          <w:szCs w:val="18"/>
          <w:color w:val="auto"/>
        </w:rPr>
        <w:t>. Until they vest in accordance with the Notice of Stock Option Grant and Subsection (b) below, the Shares acquired under this Agreement shall be Restricted Shares and shall be subject to the Company’s Right of Repurchase. The Company, however, may decline to exercise its Right of Repurchase or may exercise its Right of Repurchase only with respect to a portion of the Restricted Shares. The Company may exercise its Right of Repurchase only during the Repurchase Period following the termination of the Optionee’s Service, but the Right of Repurchase may be exercised automatically under Subsection (d) below. If the Right of Repurchase is exercised, the Company shall pay the Optionee an amount equal to the lower of (i) the Exercise Price of each Restricted Share being repurchased or (ii) the Fair Market Value of such Restricted Share at the time the Right of Repurchase is exercised.</w:t>
      </w:r>
    </w:p>
    <w:p>
      <w:pPr>
        <w:spacing w:after="0" w:line="182" w:lineRule="exact"/>
        <w:rPr>
          <w:sz w:val="20"/>
          <w:szCs w:val="20"/>
          <w:color w:val="auto"/>
        </w:rPr>
      </w:pPr>
    </w:p>
    <w:p>
      <w:pPr>
        <w:ind w:right="520" w:firstLine="981"/>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Lapse of Repurchase Right</w:t>
      </w:r>
      <w:r>
        <w:rPr>
          <w:rFonts w:ascii="Times New Roman" w:cs="Times New Roman" w:eastAsia="Times New Roman" w:hAnsi="Times New Roman"/>
          <w:sz w:val="18"/>
          <w:szCs w:val="18"/>
          <w:color w:val="auto"/>
        </w:rPr>
        <w:t>. The Right of Repurchase shall lapse with respect to the Restricted Shares in accordance with the vesting schedule set forth in the Notice of Stock Option Grant.</w:t>
      </w:r>
    </w:p>
    <w:p>
      <w:pPr>
        <w:spacing w:after="0" w:line="155" w:lineRule="exact"/>
        <w:rPr>
          <w:sz w:val="20"/>
          <w:szCs w:val="20"/>
          <w:color w:val="auto"/>
        </w:rPr>
      </w:pPr>
    </w:p>
    <w:p>
      <w:pPr>
        <w:ind w:firstLine="981"/>
        <w:spacing w:after="0" w:line="269"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b w:val="1"/>
          <w:bCs w:val="1"/>
          <w:color w:val="auto"/>
        </w:rPr>
        <w:t>Escrow</w:t>
      </w:r>
      <w:r>
        <w:rPr>
          <w:rFonts w:ascii="Times New Roman" w:cs="Times New Roman" w:eastAsia="Times New Roman" w:hAnsi="Times New Roman"/>
          <w:sz w:val="17"/>
          <w:szCs w:val="17"/>
          <w:color w:val="auto"/>
        </w:rPr>
        <w:t>. Upon issuance, the certificate(s) for Restricted Shares shall be deposited in escrow with the Company to be held in accordance with the provisions of this Agreement. Any additional or exchanged securities or other property described in Subsection (f) below shall immediately be delivered to the Company to be held in escrow. All ordinary cash dividends on Restricted Shares (or on other securities held in escrow) shall be paid directly to the Optionee and shall not be held in escrow. Restricted Shares, together with any other assets held in escrow under this Agreement, shall be (i) surrendered to the Company for repurchase upon exercise of the Right of Repurchase or the Right of First Refusal or (ii) released to the Optionee upon his or her request to the extent that the Shares have ceased to be Restricted Shares (but not more frequently than once every six months). In any event, all Shares that have ceased to be Restricted Shares, together with any other vested assets held in escrow under this Agreement, shall be released within 90 days after the earlier of (i) the termination of the Optionee’s Service or (ii) the lapse of the Right of First Refusal.</w:t>
      </w:r>
    </w:p>
    <w:p>
      <w:pPr>
        <w:spacing w:after="0" w:line="171" w:lineRule="exact"/>
        <w:rPr>
          <w:sz w:val="20"/>
          <w:szCs w:val="20"/>
          <w:color w:val="auto"/>
        </w:rPr>
      </w:pPr>
    </w:p>
    <w:p>
      <w:pPr>
        <w:ind w:right="120" w:firstLine="981"/>
        <w:spacing w:after="0" w:line="254"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Exercise of Repurchase Right</w:t>
      </w:r>
      <w:r>
        <w:rPr>
          <w:rFonts w:ascii="Times New Roman" w:cs="Times New Roman" w:eastAsia="Times New Roman" w:hAnsi="Times New Roman"/>
          <w:sz w:val="18"/>
          <w:szCs w:val="18"/>
          <w:color w:val="auto"/>
        </w:rPr>
        <w:t>. The Company shall be deemed to have exercised its Right of Repurchase automatically for all Restricted Shares as of the commencement of the Repurchase Period, unless the Company during the Repurchase Period notifies the holder of the Restricted Shares pursuant to Section 13(c) that it will not exercise its Right of Repurchase for some or all of the Restricted Shares. The Company shall pay to the holder of the Restricted Shares the purchase price determined under Subsection (a) above for the Restricted Shares being repurchased. Payment shall be made in cash or cash equivalents and/or by canceling indebtedness to the Company incurred by the Optionee in the purchase of the Restricted Shares. The certificate(s) representing the Restricted Shares being repurchased shall be delivered to the Company.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500" w:top="268" w:right="499" w:bottom="1440" w:gutter="0" w:footer="0" w:header="0"/>
        </w:sectPr>
      </w:pPr>
    </w:p>
    <w:bookmarkStart w:id="450" w:name="page451"/>
    <w:bookmarkEnd w:id="450"/>
    <w:p>
      <w:pPr>
        <w:ind w:right="120" w:firstLine="98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(e)  </w:t>
      </w:r>
      <w:r>
        <w:rPr>
          <w:rFonts w:ascii="Times New Roman" w:cs="Times New Roman" w:eastAsia="Times New Roman" w:hAnsi="Times New Roman"/>
          <w:sz w:val="18"/>
          <w:szCs w:val="18"/>
          <w:b w:val="1"/>
          <w:bCs w:val="1"/>
          <w:color w:val="auto"/>
        </w:rPr>
        <w:t>Termination of Rights as Stockholder</w:t>
      </w:r>
      <w:r>
        <w:rPr>
          <w:rFonts w:ascii="Times New Roman" w:cs="Times New Roman" w:eastAsia="Times New Roman" w:hAnsi="Times New Roman"/>
          <w:sz w:val="18"/>
          <w:szCs w:val="18"/>
          <w:color w:val="auto"/>
        </w:rPr>
        <w:t>. If the Right of Repurchase is exercised in accordance with this Section 7 and the Company makes available the consideration for the Restricted Shares being repurchased, then the person from whom the Restricted Shares are repurchased shall no longer have any rights as a holder of the Restricted Shares (other than the right to receive payment of such consideration). Such Restricted Shares shall be deemed to have been repurchased pursuant to this Section 7, whether or not the certificate(s) for such Restricted Shares have been delivered to the Company or the consideration for such Restricted Shares has been accepted.</w:t>
      </w:r>
    </w:p>
    <w:p>
      <w:pPr>
        <w:spacing w:after="0" w:line="178" w:lineRule="exact"/>
        <w:rPr>
          <w:sz w:val="20"/>
          <w:szCs w:val="20"/>
          <w:color w:val="auto"/>
        </w:rPr>
      </w:pPr>
    </w:p>
    <w:p>
      <w:pPr>
        <w:ind w:firstLine="981"/>
        <w:spacing w:after="0" w:line="25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Additional or Exchanged Securities and Property</w:t>
      </w:r>
      <w:r>
        <w:rPr>
          <w:rFonts w:ascii="Times New Roman" w:cs="Times New Roman" w:eastAsia="Times New Roman" w:hAnsi="Times New Roman"/>
          <w:sz w:val="18"/>
          <w:szCs w:val="18"/>
          <w:color w:val="auto"/>
        </w:rPr>
        <w:t>. In the event of a merger or consolidation of the Company with or into another entity,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Restricted Shares shall immediately be subject to the Right of Repurchase. Appropriate adjustments to reflect the exchange or distribution of such securities or property shall be made to the number and/or class of the Restricted Shares. Appropriate adjustments shall also be made to the price per share to be paid upon the exercise of the Right of Repurchase, provided that the aggregate purchase price payable for the Restricted Shares shall remain the same. In the event of a merger or consolidation of the Company with or into another entity or any other corporate reorganization, the Right of Repurchase may be exercised by the Company’s successor.</w:t>
      </w:r>
    </w:p>
    <w:p>
      <w:pPr>
        <w:spacing w:after="0" w:line="181" w:lineRule="exact"/>
        <w:rPr>
          <w:sz w:val="20"/>
          <w:szCs w:val="20"/>
          <w:color w:val="auto"/>
        </w:rPr>
      </w:pPr>
    </w:p>
    <w:p>
      <w:pPr>
        <w:ind w:right="100" w:firstLine="981"/>
        <w:spacing w:after="0" w:line="254"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Transfer of Restricted Shares</w:t>
      </w:r>
      <w:r>
        <w:rPr>
          <w:rFonts w:ascii="Times New Roman" w:cs="Times New Roman" w:eastAsia="Times New Roman" w:hAnsi="Times New Roman"/>
          <w:sz w:val="18"/>
          <w:szCs w:val="18"/>
          <w:color w:val="auto"/>
        </w:rPr>
        <w:t>. The Optionee shall not transfer, assign, encumber or otherwise dispose of any Restricted Shares without the Company’s written consent, except as provided in the following sentence. The Optionee may transfer Restricted Shares to one or more members of 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Restricted Shares, then this Agreement shall apply to the Transferee to the same extent as to the Optionee.</w:t>
      </w:r>
    </w:p>
    <w:p>
      <w:pPr>
        <w:spacing w:after="0" w:line="182" w:lineRule="exact"/>
        <w:rPr>
          <w:sz w:val="20"/>
          <w:szCs w:val="20"/>
          <w:color w:val="auto"/>
        </w:rPr>
      </w:pPr>
    </w:p>
    <w:p>
      <w:pPr>
        <w:jc w:val="both"/>
        <w:ind w:right="280" w:firstLine="981"/>
        <w:spacing w:after="0" w:line="265"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b w:val="1"/>
          <w:bCs w:val="1"/>
          <w:color w:val="auto"/>
        </w:rPr>
        <w:t>Assignment of Repurchase Right</w:t>
      </w:r>
      <w:r>
        <w:rPr>
          <w:rFonts w:ascii="Times New Roman" w:cs="Times New Roman" w:eastAsia="Times New Roman" w:hAnsi="Times New Roman"/>
          <w:sz w:val="18"/>
          <w:szCs w:val="18"/>
          <w:color w:val="auto"/>
        </w:rPr>
        <w:t>. The Board of Directors may freely assign the Company’s Right of Repurchase, in whole or in part. Any person who accepts an assignment of the Right of Repurchase from the Company shall assume all of the Company’s rights and obligations under this Section 7.</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RIGHT OF FIRST REFUSAL.</w:t>
      </w:r>
    </w:p>
    <w:p>
      <w:pPr>
        <w:spacing w:after="0" w:line="114" w:lineRule="exact"/>
        <w:rPr>
          <w:sz w:val="20"/>
          <w:szCs w:val="20"/>
          <w:color w:val="auto"/>
        </w:rPr>
      </w:pPr>
    </w:p>
    <w:p>
      <w:pPr>
        <w:ind w:right="240" w:firstLine="981"/>
        <w:spacing w:after="0" w:line="259"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In the event that the Optionee proposes to sell, pledge or otherwise transfer to a third party any Shares acquired under this Agreement, or any interest in such Shares, the Company shall have the Right of First Refusal with respect to all (and not less than all) of such Shares. If the Optionee desires to transfer Shares acquired under this Agreement, the Optionee shall give a written Transfer Notice to the Company describing fully the proposed transfer, including the number of Shares proposed to be transferred, the proposed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500" w:top="264" w:right="519" w:bottom="1440" w:gutter="0" w:footer="0" w:header="0"/>
        </w:sectPr>
      </w:pPr>
    </w:p>
    <w:bookmarkStart w:id="451" w:name="page452"/>
    <w:bookmarkEnd w:id="45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transfer price, the name and address of the proposed Transferee and proof satisfactory to the Company that the proposed sale or transfer will not violate any applicable federal, State or foreign securities laws. The Transfer Notice shall be signed both by the Optionee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183" w:lineRule="exact"/>
        <w:rPr>
          <w:sz w:val="20"/>
          <w:szCs w:val="20"/>
          <w:color w:val="auto"/>
        </w:rPr>
      </w:pPr>
    </w:p>
    <w:p>
      <w:pPr>
        <w:ind w:firstLine="981"/>
        <w:spacing w:after="0" w:line="25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Transfer of Shares</w:t>
      </w:r>
      <w:r>
        <w:rPr>
          <w:rFonts w:ascii="Times New Roman" w:cs="Times New Roman" w:eastAsia="Times New Roman" w:hAnsi="Times New Roman"/>
          <w:sz w:val="18"/>
          <w:szCs w:val="18"/>
          <w:color w:val="auto"/>
        </w:rPr>
        <w:t>. If the Company fails to exercise its Right of First Refusal within 30 days after the date when it received the Transfer Notice, the Optionee may, not later than 90 days following receipt of the Transfer Notice by the Company, conclude a transfer of the Shares subject to the Transfer Notice on the terms and conditions described in the Transfer Notice, provided that any such sale is made in compliance with applicable federal, State and foreign securities laws and not in violation of any other contractual restrictions to which the Optionee is bound. Any proposed transfer on terms and conditions different from those described in the Transfer Notice, as well as any subsequent proposed transfer by the Optionee, shall again be subject to the Right of First Refusal and shall require compliance with the procedure described in Subsection (a)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spacing w:after="0" w:line="184" w:lineRule="exact"/>
        <w:rPr>
          <w:sz w:val="20"/>
          <w:szCs w:val="20"/>
          <w:color w:val="auto"/>
        </w:rPr>
      </w:pPr>
    </w:p>
    <w:p>
      <w:pPr>
        <w:ind w:right="40" w:firstLine="981"/>
        <w:spacing w:after="0" w:line="25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Additional or Exchanged Securities and Property</w:t>
      </w:r>
      <w:r>
        <w:rPr>
          <w:rFonts w:ascii="Times New Roman" w:cs="Times New Roman" w:eastAsia="Times New Roman" w:hAnsi="Times New Roman"/>
          <w:sz w:val="18"/>
          <w:szCs w:val="18"/>
          <w:color w:val="auto"/>
        </w:rPr>
        <w:t>. In the event of a merger or consolidation of the Company with or into another entity,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8 shall immediately be subject to the Right of First Refusal. Appropriate adjustments to reflect the exchange or distribution of such securities or property shall be made to the number and/or class of the Shares subject to this Section 8.</w:t>
      </w:r>
    </w:p>
    <w:p>
      <w:pPr>
        <w:spacing w:after="0" w:line="182" w:lineRule="exact"/>
        <w:rPr>
          <w:sz w:val="20"/>
          <w:szCs w:val="20"/>
          <w:color w:val="auto"/>
        </w:rPr>
      </w:pPr>
    </w:p>
    <w:p>
      <w:pPr>
        <w:ind w:right="20" w:firstLine="981"/>
        <w:spacing w:after="0" w:line="265"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Termination of Right of First Refusal</w:t>
      </w:r>
      <w:r>
        <w:rPr>
          <w:rFonts w:ascii="Times New Roman" w:cs="Times New Roman" w:eastAsia="Times New Roman" w:hAnsi="Times New Roman"/>
          <w:sz w:val="18"/>
          <w:szCs w:val="18"/>
          <w:color w:val="auto"/>
        </w:rPr>
        <w:t>. Any other provision of this Section 8 notwithstanding, in the event that the Stock is readily tradable on an established securities market when the Optionee desires to transfer Shares, the Company shall have no Right of First Refusal, and the Optionee shall have no obligation to comply with the procedures prescribed by Subsections (a) and (b) above.</w:t>
      </w:r>
    </w:p>
    <w:p>
      <w:pPr>
        <w:spacing w:after="0" w:line="169" w:lineRule="exact"/>
        <w:rPr>
          <w:sz w:val="20"/>
          <w:szCs w:val="20"/>
          <w:color w:val="auto"/>
        </w:rPr>
      </w:pPr>
    </w:p>
    <w:p>
      <w:pPr>
        <w:ind w:right="60" w:firstLine="981"/>
        <w:spacing w:after="0" w:line="28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Permitted Transfers</w:t>
      </w:r>
      <w:r>
        <w:rPr>
          <w:rFonts w:ascii="Times New Roman" w:cs="Times New Roman" w:eastAsia="Times New Roman" w:hAnsi="Times New Roman"/>
          <w:sz w:val="18"/>
          <w:szCs w:val="18"/>
          <w:color w:val="auto"/>
        </w:rPr>
        <w:t>. This Section 8 shall not apply to (i) a transfer by beneficiary designation, will or intestate succession or (ii) a transfer to one or more members of</w:t>
      </w:r>
    </w:p>
    <w:p>
      <w:pPr>
        <w:spacing w:after="0" w:line="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80"/>
          </w:cols>
          <w:pgMar w:left="500" w:top="268" w:right="619" w:bottom="1440" w:gutter="0" w:footer="0" w:header="0"/>
        </w:sectPr>
      </w:pPr>
    </w:p>
    <w:bookmarkStart w:id="452" w:name="page453"/>
    <w:bookmarkEnd w:id="452"/>
    <w:p>
      <w:pPr>
        <w:ind w:right="2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Shares acquired under this Agreement, either under this Subsection (e) or after the Company has failed to exercise the Right of First Refusal, then this Agreement shall apply to the Transferee to the same extent as to the Optionee.</w:t>
      </w:r>
    </w:p>
    <w:p>
      <w:pPr>
        <w:spacing w:after="0" w:line="178" w:lineRule="exact"/>
        <w:rPr>
          <w:sz w:val="20"/>
          <w:szCs w:val="20"/>
          <w:color w:val="auto"/>
        </w:rPr>
      </w:pPr>
    </w:p>
    <w:p>
      <w:pPr>
        <w:ind w:right="40" w:firstLine="981"/>
        <w:spacing w:after="0" w:line="25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Termination of Rights as Stockholder</w:t>
      </w:r>
      <w:r>
        <w:rPr>
          <w:rFonts w:ascii="Times New Roman" w:cs="Times New Roman" w:eastAsia="Times New Roman" w:hAnsi="Times New Roman"/>
          <w:sz w:val="18"/>
          <w:szCs w:val="18"/>
          <w:color w:val="auto"/>
        </w:rPr>
        <w:t>. If the Company makes available, at the time and place and in the amount and form provided in this Agreement, the consideration for the Shares to be purchased in accordance with this Section 8,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178" w:lineRule="exact"/>
        <w:rPr>
          <w:sz w:val="20"/>
          <w:szCs w:val="20"/>
          <w:color w:val="auto"/>
        </w:rPr>
      </w:pPr>
    </w:p>
    <w:p>
      <w:pPr>
        <w:jc w:val="both"/>
        <w:ind w:firstLine="981"/>
        <w:spacing w:after="0" w:line="265"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Assignment of Right of First Refusal</w:t>
      </w:r>
      <w:r>
        <w:rPr>
          <w:rFonts w:ascii="Times New Roman" w:cs="Times New Roman" w:eastAsia="Times New Roman" w:hAnsi="Times New Roman"/>
          <w:sz w:val="18"/>
          <w:szCs w:val="18"/>
          <w:color w:val="auto"/>
        </w:rPr>
        <w:t>. The Board of Directors may freely assign the Company’s Right of First Refusal, in whole or in part. Any person who accepts an assignment of the Right of First Refusal from the Company shall assume all of the Company’s rights and obligations under this Section 8.</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LEGALITY OF INITIAL ISSUANCE.</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 Shares shall be issued upon the exercise of this option unless and until the Company has determined that:</w:t>
      </w:r>
    </w:p>
    <w:p>
      <w:pPr>
        <w:spacing w:after="0" w:line="220" w:lineRule="exact"/>
        <w:rPr>
          <w:sz w:val="20"/>
          <w:szCs w:val="20"/>
          <w:color w:val="auto"/>
        </w:rPr>
      </w:pPr>
    </w:p>
    <w:p>
      <w:pPr>
        <w:ind w:left="420" w:right="220" w:firstLine="942"/>
        <w:spacing w:after="0" w:line="277" w:lineRule="auto"/>
        <w:rPr>
          <w:sz w:val="20"/>
          <w:szCs w:val="20"/>
          <w:color w:val="auto"/>
        </w:rPr>
      </w:pPr>
      <w:r>
        <w:rPr>
          <w:rFonts w:ascii="Times New Roman" w:cs="Times New Roman" w:eastAsia="Times New Roman" w:hAnsi="Times New Roman"/>
          <w:sz w:val="18"/>
          <w:szCs w:val="18"/>
          <w:color w:val="auto"/>
        </w:rPr>
        <w:t>(a)  It and the Optionee have taken any actions required to register the Shares under the Securities Act or to perfect an exemption from the registration requirements thereof;</w:t>
      </w:r>
    </w:p>
    <w:p>
      <w:pPr>
        <w:spacing w:after="0" w:line="16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(b)   Any applicable listing requirement of any stock exchange or other securities market on which Stock is listed has been satisfied;</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and</w:t>
      </w:r>
    </w:p>
    <w:p>
      <w:pPr>
        <w:spacing w:after="0" w:line="20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   Any other applicable provision of federal, State or foreign law has been satisfied.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NO REGISTRATION RIGHTS.</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The Company may, but shall not be obligated to, register or qualify the sale of Shares under the Securities Act or any other applicable law.</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not be obligated to take any affirmative action in order to cause the sale of Shares under this Agreement to comply with any law.</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RESTRICTIONS ON TRANSFER OF SHARES.</w:t>
      </w:r>
    </w:p>
    <w:p>
      <w:pPr>
        <w:spacing w:after="0" w:line="114" w:lineRule="exact"/>
        <w:rPr>
          <w:sz w:val="20"/>
          <w:szCs w:val="20"/>
          <w:color w:val="auto"/>
        </w:rPr>
      </w:pPr>
    </w:p>
    <w:p>
      <w:pPr>
        <w:ind w:right="240" w:firstLine="981"/>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Securities Law Restrictions</w:t>
      </w:r>
      <w:r>
        <w:rPr>
          <w:rFonts w:ascii="Times New Roman" w:cs="Times New Roman" w:eastAsia="Times New Roman" w:hAnsi="Times New Roman"/>
          <w:sz w:val="18"/>
          <w:szCs w:val="18"/>
          <w:color w:val="auto"/>
        </w:rPr>
        <w:t>. Regardless of whether the offering and sale of Shares under the Plan have been registered under the Securities Act or have been registered or</w:t>
      </w:r>
    </w:p>
    <w:p>
      <w:pPr>
        <w:spacing w:after="0" w:line="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60"/>
          </w:cols>
          <w:pgMar w:left="500" w:top="268" w:right="539" w:bottom="1440" w:gutter="0" w:footer="0" w:header="0"/>
        </w:sectPr>
      </w:pPr>
    </w:p>
    <w:bookmarkStart w:id="453" w:name="page454"/>
    <w:bookmarkEnd w:id="453"/>
    <w:p>
      <w:pPr>
        <w:jc w:val="both"/>
        <w:ind w:right="3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qualified under the securities laws of any State, the Company at its discretion may impose restrictions upon the sale, pledge or other transfer of such Shares (including the placement of appropriate legends on stock certificates or the imposition of stop-transfer instructions) if, in the judgment of the Company, such restrictions are necessary or desirable in order to achieve compliance with the Securities Act, the securities laws of any State or any other law.</w:t>
      </w:r>
    </w:p>
    <w:p>
      <w:pPr>
        <w:spacing w:after="0" w:line="178" w:lineRule="exact"/>
        <w:rPr>
          <w:sz w:val="20"/>
          <w:szCs w:val="20"/>
          <w:color w:val="auto"/>
        </w:rPr>
      </w:pPr>
    </w:p>
    <w:p>
      <w:pPr>
        <w:ind w:firstLine="981"/>
        <w:spacing w:after="0" w:line="249"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Market Stand-Off</w:t>
      </w:r>
      <w:r>
        <w:rPr>
          <w:rFonts w:ascii="Times New Roman" w:cs="Times New Roman" w:eastAsia="Times New Roman" w:hAnsi="Times New Roman"/>
          <w:sz w:val="18"/>
          <w:szCs w:val="18"/>
          <w:color w:val="auto"/>
        </w:rPr>
        <w:t>. In connection with any underwritten public offering by the Company of its equity securities pursuant to an effective registration statement filed under the Securities Act, including the Company’s initial public offering, the Optionee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“Market Stand-Off”)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Subsection (b). This Subsection (b) shall not apply to Shares registered in the public offering under the Securities Act.</w:t>
      </w:r>
    </w:p>
    <w:p>
      <w:pPr>
        <w:spacing w:after="0" w:line="196" w:lineRule="exact"/>
        <w:rPr>
          <w:sz w:val="20"/>
          <w:szCs w:val="20"/>
          <w:color w:val="auto"/>
        </w:rPr>
      </w:pPr>
    </w:p>
    <w:p>
      <w:pPr>
        <w:ind w:right="180" w:firstLine="981"/>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Investment Intent at Grant</w:t>
      </w:r>
      <w:r>
        <w:rPr>
          <w:rFonts w:ascii="Times New Roman" w:cs="Times New Roman" w:eastAsia="Times New Roman" w:hAnsi="Times New Roman"/>
          <w:sz w:val="18"/>
          <w:szCs w:val="18"/>
          <w:color w:val="auto"/>
        </w:rPr>
        <w:t>. The Optionee represents and agrees that the Shares to be acquired upon exercising this option will be acquired for investment, and not with a view to the sale or distribution thereof.</w:t>
      </w:r>
    </w:p>
    <w:p>
      <w:pPr>
        <w:spacing w:after="0" w:line="155" w:lineRule="exact"/>
        <w:rPr>
          <w:sz w:val="20"/>
          <w:szCs w:val="20"/>
          <w:color w:val="auto"/>
        </w:rPr>
      </w:pPr>
    </w:p>
    <w:p>
      <w:pPr>
        <w:jc w:val="both"/>
        <w:ind w:right="120" w:firstLine="981"/>
        <w:spacing w:after="0" w:line="259"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Investment Intent at Exercise</w:t>
      </w:r>
      <w:r>
        <w:rPr>
          <w:rFonts w:ascii="Times New Roman" w:cs="Times New Roman" w:eastAsia="Times New Roman" w:hAnsi="Times New Roman"/>
          <w:sz w:val="18"/>
          <w:szCs w:val="18"/>
          <w:color w:val="auto"/>
        </w:rPr>
        <w:t>. In the event that the sale of Shares under the Plan is not registered under the Securities Act but an exemption is available that requires an investment representation or other representation, the Optionee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500" w:top="268" w:right="519" w:bottom="1440" w:gutter="0" w:footer="0" w:header="0"/>
        </w:sectPr>
      </w:pPr>
    </w:p>
    <w:bookmarkStart w:id="454" w:name="page455"/>
    <w:bookmarkEnd w:id="45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(e)   </w:t>
      </w:r>
      <w:r>
        <w:rPr>
          <w:rFonts w:ascii="Times New Roman" w:cs="Times New Roman" w:eastAsia="Times New Roman" w:hAnsi="Times New Roman"/>
          <w:sz w:val="18"/>
          <w:szCs w:val="18"/>
          <w:b w:val="1"/>
          <w:bCs w:val="1"/>
          <w:color w:val="auto"/>
        </w:rPr>
        <w:t>Legends</w:t>
      </w:r>
      <w:r>
        <w:rPr>
          <w:rFonts w:ascii="Times New Roman" w:cs="Times New Roman" w:eastAsia="Times New Roman" w:hAnsi="Times New Roman"/>
          <w:sz w:val="18"/>
          <w:szCs w:val="18"/>
          <w:color w:val="auto"/>
        </w:rPr>
        <w:t>. All certificates evidencing Shares purchased under this Agreement shall bear the following legend:</w:t>
      </w:r>
    </w:p>
    <w:p>
      <w:pPr>
        <w:spacing w:after="0" w:line="118" w:lineRule="exact"/>
        <w:rPr>
          <w:sz w:val="20"/>
          <w:szCs w:val="20"/>
          <w:color w:val="auto"/>
        </w:rPr>
      </w:pPr>
    </w:p>
    <w:p>
      <w:pPr>
        <w:ind w:left="420" w:right="140"/>
        <w:spacing w:after="0" w:line="271" w:lineRule="auto"/>
        <w:rPr>
          <w:sz w:val="20"/>
          <w:szCs w:val="20"/>
          <w:color w:val="auto"/>
        </w:rPr>
      </w:pPr>
      <w:r>
        <w:rPr>
          <w:rFonts w:ascii="Times New Roman" w:cs="Times New Roman" w:eastAsia="Times New Roman" w:hAnsi="Times New Roman"/>
          <w:sz w:val="17"/>
          <w:szCs w:val="17"/>
          <w:color w:val="auto"/>
        </w:rPr>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 TRANSFER OF THE SHARES AND CERTAIN REPURCHASE RIGHTS UPON TERMINATION OF SERVICE WITH THE COMPANY. THE SECRETARY OF THE COMPANY WILL UPON WRITTEN REQUEST FURNISH A COPY OF SUCH AGREEMENT TO THE HOLDER HEREOF WITHOUT CHARGE.”</w:t>
      </w:r>
    </w:p>
    <w:p>
      <w:pPr>
        <w:spacing w:after="0" w:line="172" w:lineRule="exact"/>
        <w:rPr>
          <w:sz w:val="20"/>
          <w:szCs w:val="20"/>
          <w:color w:val="auto"/>
        </w:rPr>
      </w:pPr>
    </w:p>
    <w:p>
      <w:pPr>
        <w:ind w:right="600"/>
        <w:spacing w:after="0" w:line="277" w:lineRule="auto"/>
        <w:rPr>
          <w:sz w:val="20"/>
          <w:szCs w:val="20"/>
          <w:color w:val="auto"/>
        </w:rPr>
      </w:pPr>
      <w:r>
        <w:rPr>
          <w:rFonts w:ascii="Times New Roman" w:cs="Times New Roman" w:eastAsia="Times New Roman" w:hAnsi="Times New Roman"/>
          <w:sz w:val="18"/>
          <w:szCs w:val="18"/>
          <w:color w:val="auto"/>
        </w:rPr>
        <w:t>All certificates evidencing Shares purchased under this Agreement in an unregistered transaction shall bear the following legend (and such other restrictive legends as are required or deemed advisable under the provisions of any applicable law):</w:t>
      </w:r>
    </w:p>
    <w:p>
      <w:pPr>
        <w:spacing w:after="0" w:line="163" w:lineRule="exact"/>
        <w:rPr>
          <w:sz w:val="20"/>
          <w:szCs w:val="20"/>
          <w:color w:val="auto"/>
        </w:rPr>
      </w:pPr>
    </w:p>
    <w:p>
      <w:pPr>
        <w:ind w:left="420" w:right="220"/>
        <w:spacing w:after="0" w:line="257" w:lineRule="auto"/>
        <w:rPr>
          <w:sz w:val="20"/>
          <w:szCs w:val="20"/>
          <w:color w:val="auto"/>
        </w:rPr>
      </w:pPr>
      <w:r>
        <w:rPr>
          <w:rFonts w:ascii="Times New Roman" w:cs="Times New Roman" w:eastAsia="Times New Roman" w:hAnsi="Times New Roman"/>
          <w:sz w:val="18"/>
          <w:szCs w:val="18"/>
          <w:color w:val="auto"/>
        </w:rPr>
        <w:t>“THE SHARES REPRESENTED HEREBY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178" w:lineRule="exact"/>
        <w:rPr>
          <w:sz w:val="20"/>
          <w:szCs w:val="20"/>
          <w:color w:val="auto"/>
        </w:rPr>
      </w:pPr>
    </w:p>
    <w:p>
      <w:pPr>
        <w:jc w:val="both"/>
        <w:ind w:right="80" w:firstLine="981"/>
        <w:spacing w:after="0" w:line="265"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Removal of Legends</w:t>
      </w:r>
      <w:r>
        <w:rPr>
          <w:rFonts w:ascii="Times New Roman" w:cs="Times New Roman" w:eastAsia="Times New Roman" w:hAnsi="Times New Roman"/>
          <w:sz w:val="18"/>
          <w:szCs w:val="18"/>
          <w:color w:val="auto"/>
        </w:rPr>
        <w:t>. If, in the opinion of the Company and its counsel, any legend placed on a stock certificate representing Shares sold under this Agreement is no longer required, the holder of such certificate shall be entitled to exchange such certificate for a certificate representing the same number of Shares but without such legend.</w:t>
      </w:r>
    </w:p>
    <w:p>
      <w:pPr>
        <w:spacing w:after="0" w:line="169" w:lineRule="exact"/>
        <w:rPr>
          <w:sz w:val="20"/>
          <w:szCs w:val="20"/>
          <w:color w:val="auto"/>
        </w:rPr>
      </w:pPr>
    </w:p>
    <w:p>
      <w:pPr>
        <w:ind w:firstLine="981"/>
        <w:spacing w:after="0" w:line="282"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Any determination by the Company and its counsel in connection with any of the matters set forth in this Section 11 shall be conclusive and binding on the Optionee and all other persons.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ADJUSTMENT OF SHARES.</w:t>
      </w:r>
    </w:p>
    <w:p>
      <w:pPr>
        <w:spacing w:after="0" w:line="118" w:lineRule="exact"/>
        <w:rPr>
          <w:sz w:val="20"/>
          <w:szCs w:val="20"/>
          <w:color w:val="auto"/>
        </w:rPr>
      </w:pPr>
    </w:p>
    <w:p>
      <w:pPr>
        <w:ind w:right="20" w:firstLine="981"/>
        <w:spacing w:after="0" w:line="257" w:lineRule="auto"/>
        <w:rPr>
          <w:sz w:val="20"/>
          <w:szCs w:val="20"/>
          <w:color w:val="auto"/>
        </w:rPr>
      </w:pPr>
      <w:r>
        <w:rPr>
          <w:rFonts w:ascii="Times New Roman" w:cs="Times New Roman" w:eastAsia="Times New Roman" w:hAnsi="Times New Roman"/>
          <w:sz w:val="18"/>
          <w:szCs w:val="18"/>
          <w:color w:val="auto"/>
        </w:rPr>
        <w:t>In the event of any transaction described in Section 8(a) of the Plan, the terms of this option (including, without limitation, the number and kind of Shares subject to this option and the Exercise Price) shall be adjusted as set forth in Section 8(a) of the Plan. In the event that the Company is a party to a merger or consolidation or in the event of a sale of all or substantially all of the Company’s stock or assets, this option shall be subject to the treatment provided by the Board of Directors in its sole discretion, as provided in Section 8(b) of the Plan.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 MISCELLANEOUS PROVISIONS.</w:t>
      </w:r>
    </w:p>
    <w:p>
      <w:pPr>
        <w:spacing w:after="0" w:line="114" w:lineRule="exact"/>
        <w:rPr>
          <w:sz w:val="20"/>
          <w:szCs w:val="20"/>
          <w:color w:val="auto"/>
        </w:rPr>
      </w:pPr>
    </w:p>
    <w:p>
      <w:pPr>
        <w:ind w:right="140" w:firstLine="981"/>
        <w:spacing w:after="0" w:line="26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Rights as a Stockholder</w:t>
      </w:r>
      <w:r>
        <w:rPr>
          <w:rFonts w:ascii="Times New Roman" w:cs="Times New Roman" w:eastAsia="Times New Roman" w:hAnsi="Times New Roman"/>
          <w:sz w:val="18"/>
          <w:szCs w:val="18"/>
          <w:color w:val="auto"/>
        </w:rPr>
        <w:t>. Neither the Optionee nor the Optionee’s representative shall have any rights as a stockholder with respect to any Shares subject to this option until the Optionee or the Optionee’s representative becomes entitled to receive such Shares by filing a notice of exercise and paying the Purchase Price pursuant to Sections 4 and 5.</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500" w:top="264" w:right="519" w:bottom="1440" w:gutter="0" w:footer="0" w:header="0"/>
        </w:sectPr>
      </w:pPr>
    </w:p>
    <w:bookmarkStart w:id="455" w:name="page456"/>
    <w:bookmarkEnd w:id="455"/>
    <w:p>
      <w:pPr>
        <w:ind w:right="220" w:firstLine="981"/>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7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(b)  </w:t>
      </w:r>
      <w:r>
        <w:rPr>
          <w:rFonts w:ascii="Times New Roman" w:cs="Times New Roman" w:eastAsia="Times New Roman" w:hAnsi="Times New Roman"/>
          <w:sz w:val="18"/>
          <w:szCs w:val="18"/>
          <w:b w:val="1"/>
          <w:bCs w:val="1"/>
          <w:color w:val="auto"/>
        </w:rPr>
        <w:t>No Retention Rights</w:t>
      </w:r>
      <w:r>
        <w:rPr>
          <w:rFonts w:ascii="Times New Roman" w:cs="Times New Roman" w:eastAsia="Times New Roman" w:hAnsi="Times New Roman"/>
          <w:sz w:val="18"/>
          <w:szCs w:val="18"/>
          <w:color w:val="auto"/>
        </w:rPr>
        <w:t>. Nothing in this option or in the Plan shall confer upon the Optionee any right to continue in Service for any period of specific duration or interfere with or otherwise restrict in any way the rights of the Company (or any Parent or Subsidiary employing or retaining the Optionee) or of the Optionee, which rights are hereby expressly reserved by each, to terminate his or her Service at any time and for any reason, with or without cause.</w:t>
      </w:r>
    </w:p>
    <w:p>
      <w:pPr>
        <w:spacing w:after="0" w:line="68" w:lineRule="exact"/>
        <w:rPr>
          <w:sz w:val="20"/>
          <w:szCs w:val="20"/>
          <w:color w:val="auto"/>
        </w:rPr>
      </w:pPr>
    </w:p>
    <w:p>
      <w:pPr>
        <w:ind w:right="160" w:firstLine="981"/>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Any notice required by the terms of this Agreement shall be given in writing. It shall be deemed effective upon (i) personal delivery, (ii) deposit with the United States Postal Service, by registered or certified mail, with postage and fees prepaid or (iii) deposit with Federal Express Corporation, with shipping charges prepaid. Notice shall be addressed to the Company at its principal executive office and to the Optionee at the address that he or she most recently provided to the Company in accordance with this Subsection (c).</w:t>
      </w:r>
    </w:p>
    <w:p>
      <w:pPr>
        <w:spacing w:after="0" w:line="68" w:lineRule="exact"/>
        <w:rPr>
          <w:sz w:val="20"/>
          <w:szCs w:val="20"/>
          <w:color w:val="auto"/>
        </w:rPr>
      </w:pPr>
    </w:p>
    <w:p>
      <w:pPr>
        <w:ind w:right="300" w:firstLine="981"/>
        <w:spacing w:after="0" w:line="259"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Modifications and Waivers</w:t>
      </w:r>
      <w:r>
        <w:rPr>
          <w:rFonts w:ascii="Times New Roman" w:cs="Times New Roman" w:eastAsia="Times New Roman" w:hAnsi="Times New Roman"/>
          <w:sz w:val="18"/>
          <w:szCs w:val="18"/>
          <w:color w:val="auto"/>
        </w:rPr>
        <w:t>. No provision of this Agreement shall be modified, waived or discharged unless the modification, waiver or discharge is agreed to in writing and signed by the Optionee and by an authorized officer of the Company (other than the Optionee).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68" w:lineRule="exact"/>
        <w:rPr>
          <w:sz w:val="20"/>
          <w:szCs w:val="20"/>
          <w:color w:val="auto"/>
        </w:rPr>
      </w:pPr>
    </w:p>
    <w:p>
      <w:pPr>
        <w:ind w:right="40" w:firstLine="981"/>
        <w:spacing w:after="0" w:line="265"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The Notice of Stock Option Grant, this Agreement and the Plan constitute the entire contract between the parties hereto with regard to the subject matter hereof. They supersede any other agreements, representations or understandings (whether oral or written and whether express or implied) that relate to the subject matter hereof.</w:t>
      </w:r>
    </w:p>
    <w:p>
      <w:pPr>
        <w:spacing w:after="0" w:line="62" w:lineRule="exact"/>
        <w:rPr>
          <w:sz w:val="20"/>
          <w:szCs w:val="20"/>
          <w:color w:val="auto"/>
        </w:rPr>
      </w:pPr>
    </w:p>
    <w:p>
      <w:pPr>
        <w:ind w:right="140" w:firstLine="981"/>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Choice of Law</w:t>
      </w:r>
      <w:r>
        <w:rPr>
          <w:rFonts w:ascii="Times New Roman" w:cs="Times New Roman" w:eastAsia="Times New Roman" w:hAnsi="Times New Roman"/>
          <w:sz w:val="18"/>
          <w:szCs w:val="18"/>
          <w:color w:val="auto"/>
        </w:rPr>
        <w:t>. This Agreement shall be governed by, and construed in accordance with, the laws of the State of Delaware, as such laws are applied to contracts entered into and performed in such State.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 ACKNOWLEDGEMENTS OF THE OPTIONEE.</w:t>
      </w:r>
    </w:p>
    <w:p>
      <w:pPr>
        <w:spacing w:after="0" w:line="114" w:lineRule="exact"/>
        <w:rPr>
          <w:sz w:val="20"/>
          <w:szCs w:val="20"/>
          <w:color w:val="auto"/>
        </w:rPr>
      </w:pPr>
    </w:p>
    <w:p>
      <w:pPr>
        <w:ind w:firstLine="981"/>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Tax Consequences</w:t>
      </w:r>
      <w:r>
        <w:rPr>
          <w:rFonts w:ascii="Times New Roman" w:cs="Times New Roman" w:eastAsia="Times New Roman" w:hAnsi="Times New Roman"/>
          <w:sz w:val="18"/>
          <w:szCs w:val="18"/>
          <w:color w:val="auto"/>
        </w:rPr>
        <w:t>. The Optionee agrees that the Company does not have a duty to design or administer the Plan or its other compensation programs in a manner that minimizes the Optionee’s tax liabilities. The Optionee shall not make any claim against the Company or its Board of Directors, officers or employees related to tax liabilities arising from this option or the Optionee’s other compensation. In particular, the Optionee acknowledges that this option is exempt from Section 409A of the Code only if the Exercise Price is at least equal to the Fair Market Value per Share on the Date of Grant. Since Shares are not traded on an established securities market, the determination of their Fair Market Value is made by the Board of Directors or by an independent valuation firm retained by the Company. The Optionee acknowledges that there is no guarantee in either case that the Internal Revenue Service will agree with the valuation, and the Optionee shall not make any claim against the Company or its Board of Directors, officers or employees in the event that the Internal Revenue Service asserts that the valuation was too low.</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60"/>
          </w:cols>
          <w:pgMar w:left="500" w:top="263" w:right="539" w:bottom="1440" w:gutter="0" w:footer="0" w:header="0"/>
        </w:sectPr>
      </w:pPr>
    </w:p>
    <w:bookmarkStart w:id="456" w:name="page457"/>
    <w:bookmarkEnd w:id="456"/>
    <w:p>
      <w:pPr>
        <w:ind w:firstLine="98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7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(b)  </w:t>
      </w:r>
      <w:r>
        <w:rPr>
          <w:rFonts w:ascii="Times New Roman" w:cs="Times New Roman" w:eastAsia="Times New Roman" w:hAnsi="Times New Roman"/>
          <w:sz w:val="18"/>
          <w:szCs w:val="18"/>
          <w:b w:val="1"/>
          <w:bCs w:val="1"/>
          <w:color w:val="auto"/>
        </w:rPr>
        <w:t>Electronic Delivery of Documents</w:t>
      </w:r>
      <w:r>
        <w:rPr>
          <w:rFonts w:ascii="Times New Roman" w:cs="Times New Roman" w:eastAsia="Times New Roman" w:hAnsi="Times New Roman"/>
          <w:sz w:val="18"/>
          <w:szCs w:val="18"/>
          <w:color w:val="auto"/>
        </w:rPr>
        <w:t>. The Optionee agrees to accept by email all documents relating to the Company, the Plan or this option and all other documents that the Company is required to deliver to its security holders (including, without limitation, disclosures that may be required by the Securities and Exchange Commission). The Optionee also agrees that the Company may deliver these documents by posting them on a website maintained by the Company or by a third party under contract with the Company. If the Company posts these documents on a website, it shall notify the Optionee by email of their availability. The Optionee acknowledges that he or she may incur costs in connection with electronic delivery, including the cost of accessing the internet and printing fees, and that an interruption of internet access may interfere with his or her ability to access the documents. This consent shall remain in effect until this option expires or until the Optionee gives the Company written notice that it should deliver paper documents.</w:t>
      </w:r>
    </w:p>
    <w:p>
      <w:pPr>
        <w:spacing w:after="0" w:line="78" w:lineRule="exact"/>
        <w:rPr>
          <w:sz w:val="20"/>
          <w:szCs w:val="20"/>
          <w:color w:val="auto"/>
        </w:rPr>
      </w:pPr>
    </w:p>
    <w:p>
      <w:pPr>
        <w:ind w:right="20" w:firstLine="981"/>
        <w:spacing w:after="0" w:line="25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No Notice of Expiration Date</w:t>
      </w:r>
      <w:r>
        <w:rPr>
          <w:rFonts w:ascii="Times New Roman" w:cs="Times New Roman" w:eastAsia="Times New Roman" w:hAnsi="Times New Roman"/>
          <w:sz w:val="18"/>
          <w:szCs w:val="18"/>
          <w:color w:val="auto"/>
        </w:rPr>
        <w:t>. The Optionee agrees that the Company and its officers, employees, attorneys and agents do not have any obligation to notify him or her prior to the expiration of this option pursuant to Section 6, regardless of whether this option will expire at the end of its full term or on an earlier date related to the termination of the Optionee’s Service. The Optionee further agrees that he or she has the sole responsibility for monitoring the expiration of this option and for exercising this option, if at all, before it expires. This Subsection (c) shall supersede any contrary representation that may have been made, orally or in writing, by the Company or by an officer, employee, attorney or agent of the Company.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15. DEFINITIONS.</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mean this Stock Option Agreement.</w:t>
      </w:r>
    </w:p>
    <w:p>
      <w:pPr>
        <w:spacing w:after="0" w:line="220" w:lineRule="exact"/>
        <w:rPr>
          <w:sz w:val="20"/>
          <w:szCs w:val="20"/>
          <w:color w:val="auto"/>
        </w:rPr>
      </w:pPr>
    </w:p>
    <w:p>
      <w:pPr>
        <w:ind w:right="260" w:firstLine="981"/>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shall mean the Board of Directors of the Company, as constituted from time to time or, if a Committee has been appointed, such Committee.</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shall mean the Internal Revenue Code of 1986, as amended.</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shall mean a committee of the Board of Directors, as described in Section 2 of the Plan.</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mean Omada Health, Inc., a Delaware corporation.</w:t>
      </w:r>
    </w:p>
    <w:p>
      <w:pPr>
        <w:spacing w:after="0" w:line="220" w:lineRule="exact"/>
        <w:rPr>
          <w:sz w:val="20"/>
          <w:szCs w:val="20"/>
          <w:color w:val="auto"/>
        </w:rPr>
      </w:pPr>
    </w:p>
    <w:p>
      <w:pPr>
        <w:ind w:right="360" w:firstLine="981"/>
        <w:spacing w:after="0" w:line="28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shall mean a person who performs bona fide services for the Company, a Parent or a Subsidiary as a consultant or advisor, excluding Employees and Outside Directors.</w:t>
      </w:r>
    </w:p>
    <w:p>
      <w:pPr>
        <w:spacing w:after="0" w:line="155" w:lineRule="exact"/>
        <w:rPr>
          <w:sz w:val="20"/>
          <w:szCs w:val="20"/>
          <w:color w:val="auto"/>
        </w:rPr>
      </w:pPr>
    </w:p>
    <w:p>
      <w:pPr>
        <w:ind w:right="200" w:firstLine="981"/>
        <w:spacing w:after="0" w:line="28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shall mean the date of grant specified in the Notice of Stock Option Grant, which date shall be the later of (i) the date on which the Board of Directors resolved to grant this option or (ii) the first day of the Optionee’s Service.</w:t>
      </w:r>
    </w:p>
    <w:p>
      <w:pPr>
        <w:spacing w:after="0" w:line="155" w:lineRule="exact"/>
        <w:rPr>
          <w:sz w:val="20"/>
          <w:szCs w:val="20"/>
          <w:color w:val="auto"/>
        </w:rPr>
      </w:pPr>
    </w:p>
    <w:p>
      <w:pPr>
        <w:ind w:right="680" w:firstLine="981"/>
        <w:spacing w:after="0" w:line="28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shall mean that the Optionee is unable to engage in any substantial gainful activity by reason of any medically determinable physical or mental impairment.</w:t>
      </w:r>
    </w:p>
    <w:p>
      <w:pPr>
        <w:spacing w:after="0" w:line="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20"/>
          </w:cols>
          <w:pgMar w:left="500" w:top="263" w:right="579" w:bottom="1440" w:gutter="0" w:footer="0" w:header="0"/>
        </w:sectPr>
      </w:pPr>
    </w:p>
    <w:bookmarkStart w:id="457" w:name="page458"/>
    <w:bookmarkEnd w:id="45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shall mean any individual who is a common-law employee of the Company, a Parent or a Subsidiary.</w:t>
      </w:r>
    </w:p>
    <w:p>
      <w:pPr>
        <w:spacing w:after="0" w:line="220" w:lineRule="exact"/>
        <w:rPr>
          <w:sz w:val="20"/>
          <w:szCs w:val="20"/>
          <w:color w:val="auto"/>
        </w:rPr>
      </w:pPr>
    </w:p>
    <w:p>
      <w:pPr>
        <w:ind w:right="460" w:firstLine="981"/>
        <w:spacing w:after="0" w:line="282"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shall mean the amount for which one Share may be purchased upon exercise of this option, as specified in the Notice of Stock Option Grant.</w:t>
      </w:r>
    </w:p>
    <w:p>
      <w:pPr>
        <w:spacing w:after="0" w:line="155" w:lineRule="exact"/>
        <w:rPr>
          <w:sz w:val="20"/>
          <w:szCs w:val="20"/>
          <w:color w:val="auto"/>
        </w:rPr>
      </w:pPr>
    </w:p>
    <w:p>
      <w:pPr>
        <w:ind w:right="500" w:firstLine="981"/>
        <w:spacing w:after="0" w:line="282"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shall mean the fair market value of a Share, as determined by the Board of Directors in good faith. Such determination shall be conclusive and binding on all persons.</w:t>
      </w:r>
    </w:p>
    <w:p>
      <w:pPr>
        <w:spacing w:after="0" w:line="155" w:lineRule="exact"/>
        <w:rPr>
          <w:sz w:val="20"/>
          <w:szCs w:val="20"/>
          <w:color w:val="auto"/>
        </w:rPr>
      </w:pPr>
    </w:p>
    <w:p>
      <w:pPr>
        <w:ind w:right="320" w:firstLine="981"/>
        <w:spacing w:after="0" w:line="282"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b w:val="1"/>
          <w:bCs w:val="1"/>
          <w:color w:val="auto"/>
        </w:rPr>
        <w:t>Immediate Family</w:t>
      </w:r>
      <w:r>
        <w:rPr>
          <w:rFonts w:ascii="Times New Roman" w:cs="Times New Roman" w:eastAsia="Times New Roman" w:hAnsi="Times New Roman"/>
          <w:sz w:val="18"/>
          <w:szCs w:val="18"/>
          <w:color w:val="auto"/>
        </w:rPr>
        <w:t>” shall mean any child, stepchild, grandchild, parent, stepparent, grandparent, spouse, sibling, mother-in-law, father-in-law, son-in-law, daughter-in- law, brother-in-law or sister-in-law and shall include adoptive relationships.</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ISO</w:t>
      </w:r>
      <w:r>
        <w:rPr>
          <w:rFonts w:ascii="Times New Roman" w:cs="Times New Roman" w:eastAsia="Times New Roman" w:hAnsi="Times New Roman"/>
          <w:sz w:val="18"/>
          <w:szCs w:val="18"/>
          <w:color w:val="auto"/>
        </w:rPr>
        <w:t>” shall mean an employee incentive stock option described in Section 422(b) of the Code.</w:t>
      </w:r>
    </w:p>
    <w:p>
      <w:pPr>
        <w:sectPr>
          <w:pgSz w:w="11900" w:h="16838" w:orient="portrait"/>
          <w:cols w:equalWidth="0" w:num="1">
            <w:col w:w="10880"/>
          </w:cols>
          <w:pgMar w:left="500" w:top="264" w:right="519" w:bottom="1440" w:gutter="0" w:footer="0" w:header="0"/>
        </w:sectPr>
      </w:pPr>
    </w:p>
    <w:p>
      <w:pPr>
        <w:spacing w:after="0" w:line="2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(n)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Notice of Stock Option Grant</w:t>
      </w:r>
      <w:r>
        <w:rPr>
          <w:rFonts w:ascii="Times New Roman" w:cs="Times New Roman" w:eastAsia="Times New Roman" w:hAnsi="Times New Roman"/>
          <w:sz w:val="17"/>
          <w:szCs w:val="17"/>
          <w:color w:val="auto"/>
        </w:rPr>
        <w:t>” shall mean the document so entitled to which this Agreement is attached.</w:t>
      </w:r>
    </w:p>
    <w:p>
      <w:pPr>
        <w:spacing w:after="0" w:line="215" w:lineRule="exact"/>
        <w:rPr>
          <w:sz w:val="20"/>
          <w:szCs w:val="20"/>
          <w:color w:val="auto"/>
        </w:rPr>
      </w:pPr>
    </w:p>
    <w:p>
      <w:pPr>
        <w:sectPr>
          <w:pgSz w:w="11900" w:h="16838" w:orient="portrait"/>
          <w:cols w:equalWidth="0" w:num="2">
            <w:col w:w="1220" w:space="140"/>
            <w:col w:w="9520"/>
          </w:cols>
          <w:pgMar w:left="500" w:top="264" w:right="519" w:bottom="1440" w:gutter="0" w:footer="0" w:header="0"/>
          <w:type w:val="continuous"/>
        </w:sectPr>
      </w:pP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(o)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NSO</w:t>
      </w:r>
      <w:r>
        <w:rPr>
          <w:rFonts w:ascii="Times New Roman" w:cs="Times New Roman" w:eastAsia="Times New Roman" w:hAnsi="Times New Roman"/>
          <w:sz w:val="17"/>
          <w:szCs w:val="17"/>
          <w:color w:val="auto"/>
        </w:rPr>
        <w:t>” shall mean a stock option not described in Section 422(b) or 423(b) of the Code.</w:t>
      </w:r>
    </w:p>
    <w:p>
      <w:pPr>
        <w:spacing w:after="0" w:line="215" w:lineRule="exact"/>
        <w:rPr>
          <w:sz w:val="20"/>
          <w:szCs w:val="20"/>
          <w:color w:val="auto"/>
        </w:rPr>
      </w:pPr>
    </w:p>
    <w:p>
      <w:pPr>
        <w:sectPr>
          <w:pgSz w:w="11900" w:h="16838" w:orient="portrait"/>
          <w:cols w:equalWidth="0" w:num="2">
            <w:col w:w="1220" w:space="140"/>
            <w:col w:w="9520"/>
          </w:cols>
          <w:pgMar w:left="500" w:top="264" w:right="519" w:bottom="1440" w:gutter="0" w:footer="0" w:header="0"/>
          <w:type w:val="continuous"/>
        </w:sectPr>
      </w:pP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2"/>
          <w:szCs w:val="12"/>
          <w:color w:val="auto"/>
        </w:rPr>
        <w:t>(p)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Optionee</w:t>
      </w:r>
      <w:r>
        <w:rPr>
          <w:rFonts w:ascii="Times New Roman" w:cs="Times New Roman" w:eastAsia="Times New Roman" w:hAnsi="Times New Roman"/>
          <w:sz w:val="17"/>
          <w:szCs w:val="17"/>
          <w:color w:val="auto"/>
        </w:rPr>
        <w:t>” shall mean the person named in the Notice of Stock Option Grant.</w:t>
      </w:r>
    </w:p>
    <w:p>
      <w:pPr>
        <w:spacing w:after="0" w:line="200" w:lineRule="exact"/>
        <w:rPr>
          <w:sz w:val="20"/>
          <w:szCs w:val="20"/>
          <w:color w:val="auto"/>
        </w:rPr>
      </w:pPr>
    </w:p>
    <w:p>
      <w:pPr>
        <w:sectPr>
          <w:pgSz w:w="11900" w:h="16838" w:orient="portrait"/>
          <w:cols w:equalWidth="0" w:num="2">
            <w:col w:w="1280" w:space="120"/>
            <w:col w:w="9480"/>
          </w:cols>
          <w:pgMar w:left="500" w:top="264" w:right="519" w:bottom="1440" w:gutter="0" w:footer="0" w:header="0"/>
          <w:type w:val="continuous"/>
        </w:sectPr>
      </w:pPr>
    </w:p>
    <w:p>
      <w:pPr>
        <w:spacing w:after="0" w:line="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2"/>
          <w:szCs w:val="12"/>
          <w:color w:val="auto"/>
        </w:rPr>
        <w:t>(q)  </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Outside Director</w:t>
      </w:r>
      <w:r>
        <w:rPr>
          <w:rFonts w:ascii="Times New Roman" w:cs="Times New Roman" w:eastAsia="Times New Roman" w:hAnsi="Times New Roman"/>
          <w:sz w:val="17"/>
          <w:szCs w:val="17"/>
          <w:color w:val="auto"/>
        </w:rPr>
        <w:t>” shall mean a member of the Board of Directors who is not an Employee.</w:t>
      </w:r>
    </w:p>
    <w:p>
      <w:pPr>
        <w:spacing w:after="0" w:line="200" w:lineRule="exact"/>
        <w:rPr>
          <w:sz w:val="20"/>
          <w:szCs w:val="20"/>
          <w:color w:val="auto"/>
        </w:rPr>
      </w:pPr>
    </w:p>
    <w:p>
      <w:pPr>
        <w:sectPr>
          <w:pgSz w:w="11900" w:h="16838" w:orient="portrait"/>
          <w:cols w:equalWidth="0" w:num="2">
            <w:col w:w="1280" w:space="120"/>
            <w:col w:w="9480"/>
          </w:cols>
          <w:pgMar w:left="500" w:top="264" w:right="519" w:bottom="1440" w:gutter="0" w:footer="0" w:header="0"/>
          <w:type w:val="continuous"/>
        </w:sectPr>
      </w:pPr>
    </w:p>
    <w:p>
      <w:pPr>
        <w:spacing w:after="0" w:line="32" w:lineRule="exact"/>
        <w:rPr>
          <w:sz w:val="20"/>
          <w:szCs w:val="20"/>
          <w:color w:val="auto"/>
        </w:rPr>
      </w:pPr>
    </w:p>
    <w:p>
      <w:pPr>
        <w:ind w:firstLine="981"/>
        <w:spacing w:after="0" w:line="265"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shall mean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w:t>
      </w:r>
    </w:p>
    <w:p>
      <w:pPr>
        <w:spacing w:after="0" w:line="1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shall mean the Omada Health, Inc. 2011 Stock Plan, as in effect on the Date of Grant.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shall mean the Exercise Price multiplied by the number of Shares with respect to which this option is being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w:t>
      </w:r>
    </w:p>
    <w:p>
      <w:pPr>
        <w:spacing w:after="0" w:line="198" w:lineRule="exact"/>
        <w:rPr>
          <w:sz w:val="20"/>
          <w:szCs w:val="20"/>
          <w:color w:val="auto"/>
        </w:rPr>
      </w:pPr>
    </w:p>
    <w:p>
      <w:pPr>
        <w:ind w:right="140" w:firstLine="981"/>
        <w:spacing w:after="0" w:line="282"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b w:val="1"/>
          <w:bCs w:val="1"/>
          <w:color w:val="auto"/>
        </w:rPr>
        <w:t>Repurchase Period</w:t>
      </w:r>
      <w:r>
        <w:rPr>
          <w:rFonts w:ascii="Times New Roman" w:cs="Times New Roman" w:eastAsia="Times New Roman" w:hAnsi="Times New Roman"/>
          <w:sz w:val="18"/>
          <w:szCs w:val="18"/>
          <w:color w:val="auto"/>
        </w:rPr>
        <w:t>” shall mean a period of 90 consecutive days commencing on the date when the Optionee’s Service terminates for any reason, including (without limitation) death or disability.</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color w:val="auto"/>
        </w:rPr>
        <w:t>Restricted Share</w:t>
      </w:r>
      <w:r>
        <w:rPr>
          <w:rFonts w:ascii="Times New Roman" w:cs="Times New Roman" w:eastAsia="Times New Roman" w:hAnsi="Times New Roman"/>
          <w:sz w:val="18"/>
          <w:szCs w:val="18"/>
          <w:color w:val="auto"/>
        </w:rPr>
        <w:t>” shall mean a Share that is subject to the Right of Repurchase.</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80"/>
          </w:cols>
          <w:pgMar w:left="500" w:top="264" w:right="519" w:bottom="1440" w:gutter="0" w:footer="0" w:header="0"/>
          <w:type w:val="continuous"/>
        </w:sectPr>
      </w:pPr>
    </w:p>
    <w:bookmarkStart w:id="458" w:name="page459"/>
    <w:bookmarkEnd w:id="45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   “</w:t>
      </w: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shall mean the Company’s right of first refusal described in Section 8.</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b w:val="1"/>
          <w:bCs w:val="1"/>
          <w:color w:val="auto"/>
        </w:rPr>
        <w:t>Right of Repurchase</w:t>
      </w:r>
      <w:r>
        <w:rPr>
          <w:rFonts w:ascii="Times New Roman" w:cs="Times New Roman" w:eastAsia="Times New Roman" w:hAnsi="Times New Roman"/>
          <w:sz w:val="18"/>
          <w:szCs w:val="18"/>
          <w:color w:val="auto"/>
        </w:rPr>
        <w:t>” shall mean the Company’s right of repurchase described in Section 7.</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b w:val="1"/>
          <w:bCs w:val="1"/>
          <w:color w:val="auto"/>
        </w:rPr>
        <w:t>Service</w:t>
      </w:r>
      <w:r>
        <w:rPr>
          <w:rFonts w:ascii="Times New Roman" w:cs="Times New Roman" w:eastAsia="Times New Roman" w:hAnsi="Times New Roman"/>
          <w:sz w:val="18"/>
          <w:szCs w:val="18"/>
          <w:color w:val="auto"/>
        </w:rPr>
        <w:t>” shall mean service as an Employee, Outside Director or Consultant.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shall mean one share of Stock, as adjusted in accordance with Section 8 of the Plan (if applicable).</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shall mean the Common Stock of the Company.</w:t>
      </w:r>
    </w:p>
    <w:p>
      <w:pPr>
        <w:spacing w:after="0" w:line="220" w:lineRule="exact"/>
        <w:rPr>
          <w:sz w:val="20"/>
          <w:szCs w:val="20"/>
          <w:color w:val="auto"/>
        </w:rPr>
      </w:pPr>
    </w:p>
    <w:p>
      <w:pPr>
        <w:ind w:firstLine="981"/>
        <w:spacing w:after="0" w:line="265" w:lineRule="auto"/>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shall mean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w:t>
      </w:r>
    </w:p>
    <w:p>
      <w:pPr>
        <w:spacing w:after="0" w:line="1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shall mean any person to whom the Optionee has directly or indirectly transferred any Share acquired under this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(ee)   “</w:t>
      </w:r>
      <w:r>
        <w:rPr>
          <w:rFonts w:ascii="Times New Roman" w:cs="Times New Roman" w:eastAsia="Times New Roman" w:hAnsi="Times New Roman"/>
          <w:sz w:val="18"/>
          <w:szCs w:val="18"/>
          <w:b w:val="1"/>
          <w:bCs w:val="1"/>
          <w:color w:val="auto"/>
        </w:rPr>
        <w:t>Transfer Notice</w:t>
      </w:r>
      <w:r>
        <w:rPr>
          <w:rFonts w:ascii="Times New Roman" w:cs="Times New Roman" w:eastAsia="Times New Roman" w:hAnsi="Times New Roman"/>
          <w:sz w:val="18"/>
          <w:szCs w:val="18"/>
          <w:color w:val="auto"/>
        </w:rPr>
        <w:t>” shall mean the notice of a proposed transfer of Shares described in Section 8.</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80"/>
          </w:cols>
          <w:pgMar w:left="500" w:top="264" w:right="819" w:bottom="1440" w:gutter="0" w:footer="0" w:header="0"/>
        </w:sectPr>
      </w:pPr>
    </w:p>
    <w:bookmarkStart w:id="459" w:name="page460"/>
    <w:bookmarkEnd w:id="459"/>
    <w:p>
      <w:pPr>
        <w:jc w:val="center"/>
        <w:ind w:right="-185"/>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80">
                      <a:extLst>
                        <a:ext uri="{28A0092B-C50C-407E-A947-70E740481C1C}"/>
                      </a:extLst>
                    </a:blip>
                    <a:srcRect/>
                    <a:stretch>
                      <a:fillRect/>
                    </a:stretch>
                  </pic:blipFill>
                  <pic:spPr bwMode="auto">
                    <a:xfrm>
                      <a:off x="0" y="0"/>
                      <a:ext cx="7176135" cy="37465"/>
                    </a:xfrm>
                    <a:prstGeom prst="rect">
                      <a:avLst/>
                    </a:prstGeom>
                    <a:noFill/>
                  </pic:spPr>
                </pic:pic>
              </a:graphicData>
            </a:graphic>
          </wp:anchor>
        </w:drawing>
        <w:t>O</w:t>
      </w:r>
      <w:r>
        <w:rPr>
          <w:rFonts w:ascii="Times New Roman" w:cs="Times New Roman" w:eastAsia="Times New Roman" w:hAnsi="Times New Roman"/>
          <w:sz w:val="14"/>
          <w:szCs w:val="14"/>
          <w:color w:val="auto"/>
        </w:rPr>
        <w:t>MADA</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EALTH</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 2011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LAN</w:t>
      </w:r>
    </w:p>
    <w:p>
      <w:pPr>
        <w:spacing w:after="0" w:line="26" w:lineRule="exact"/>
        <w:rPr>
          <w:sz w:val="20"/>
          <w:szCs w:val="20"/>
          <w:color w:val="auto"/>
        </w:rPr>
      </w:pPr>
    </w:p>
    <w:p>
      <w:pPr>
        <w:jc w:val="center"/>
        <w:ind w:right="-185"/>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OTICE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PTION</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XERCISE</w:t>
      </w:r>
    </w:p>
    <w:p>
      <w:pPr>
        <w:spacing w:after="0" w:line="202" w:lineRule="exact"/>
        <w:rPr>
          <w:sz w:val="20"/>
          <w:szCs w:val="20"/>
          <w:color w:val="auto"/>
        </w:rPr>
      </w:pPr>
    </w:p>
    <w:p>
      <w:pPr>
        <w:ind w:left="106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Y</w:t>
      </w:r>
      <w:r>
        <w:rPr>
          <w:rFonts w:ascii="Times New Roman" w:cs="Times New Roman" w:eastAsia="Times New Roman" w:hAnsi="Times New Roman"/>
          <w:sz w:val="14"/>
          <w:szCs w:val="14"/>
          <w:color w:val="auto"/>
        </w:rPr>
        <w:t>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u w:val="single" w:color="auto"/>
          <w:color w:val="auto"/>
        </w:rPr>
        <w:t>MUST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SIGN THIS</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OTICE ON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r>
        <w:rPr>
          <w:rFonts w:ascii="Times New Roman" w:cs="Times New Roman" w:eastAsia="Times New Roman" w:hAnsi="Times New Roman"/>
          <w:sz w:val="18"/>
          <w:szCs w:val="18"/>
          <w:color w:val="auto"/>
        </w:rPr>
        <w:t xml:space="preserve"> 3 </w:t>
      </w:r>
      <w:r>
        <w:rPr>
          <w:rFonts w:ascii="Times New Roman" w:cs="Times New Roman" w:eastAsia="Times New Roman" w:hAnsi="Times New Roman"/>
          <w:sz w:val="14"/>
          <w:szCs w:val="14"/>
          <w:color w:val="auto"/>
        </w:rPr>
        <w:t>BEFORE SUBMITTING IT TO</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MADA</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EALTH</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 (</w:t>
      </w:r>
      <w:r>
        <w:rPr>
          <w:rFonts w:ascii="Times New Roman" w:cs="Times New Roman" w:eastAsia="Times New Roman" w:hAnsi="Times New Roman"/>
          <w:sz w:val="14"/>
          <w:szCs w:val="14"/>
          <w:color w:val="auto"/>
        </w:rPr>
        <w:t>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PTIONEE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NFORMATION</w:t>
      </w:r>
      <w:r>
        <w:rPr>
          <w:rFonts w:ascii="Times New Roman" w:cs="Times New Roman" w:eastAsia="Times New Roman" w:hAnsi="Times New Roman"/>
          <w:sz w:val="18"/>
          <w:szCs w:val="18"/>
          <w:color w:val="auto"/>
        </w:rPr>
        <w:t>:</w:t>
      </w:r>
    </w:p>
    <w:p>
      <w:pPr>
        <w:spacing w:after="0" w:line="312"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See Carta</w:t>
            </w:r>
          </w:p>
        </w:tc>
        <w:tc>
          <w:tcPr>
            <w:tcW w:w="328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w w:val="97"/>
              </w:rPr>
              <w:t>Social Security Number: See Carta 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26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See Carta</w:t>
            </w:r>
          </w:p>
        </w:tc>
        <w:tc>
          <w:tcPr>
            <w:tcW w:w="328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w w:val="95"/>
              </w:rPr>
              <w:t>Employee Number:       See Carta 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1"/>
        </w:trPr>
        <w:tc>
          <w:tcPr>
            <w:tcW w:w="900" w:type="dxa"/>
            <w:vAlign w:val="bottom"/>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5"/>
        </w:trPr>
        <w:tc>
          <w:tcPr>
            <w:tcW w:w="3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PTION</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NFORMATION</w:t>
            </w:r>
            <w:r>
              <w:rPr>
                <w:rFonts w:ascii="Times New Roman" w:cs="Times New Roman" w:eastAsia="Times New Roman" w:hAnsi="Times New Roman"/>
                <w:sz w:val="18"/>
                <w:szCs w:val="18"/>
                <w:color w:val="auto"/>
              </w:rPr>
              <w:t>:</w:t>
            </w: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3"/>
        </w:trPr>
        <w:tc>
          <w:tcPr>
            <w:tcW w:w="3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Date of Grant: See Carta</w:t>
            </w: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4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w w:val="97"/>
              </w:rPr>
              <w:t>Type of Stock Option:</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60" w:type="dxa"/>
            <w:vAlign w:val="bottom"/>
            <w:gridSpan w:val="3"/>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3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Exercise Price per Share: See Carta</w:t>
            </w:r>
          </w:p>
        </w:tc>
        <w:tc>
          <w:tcPr>
            <w:tcW w:w="1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See Carta</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
        </w:trPr>
        <w:tc>
          <w:tcPr>
            <w:tcW w:w="1840" w:type="dxa"/>
            <w:vAlign w:val="bottom"/>
            <w:gridSpan w:val="5"/>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5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Total number of shares of Common Stock of Omada Health, Inc.</w:t>
            </w:r>
          </w:p>
        </w:tc>
        <w:tc>
          <w:tcPr>
            <w:tcW w:w="21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2"/>
        </w:trPr>
        <w:tc>
          <w:tcPr>
            <w:tcW w:w="3940" w:type="dxa"/>
            <w:vAlign w:val="bottom"/>
            <w:gridSpan w:val="9"/>
          </w:tcPr>
          <w:p>
            <w:pPr>
              <w:spacing w:after="0" w:line="192" w:lineRule="exact"/>
              <w:rPr>
                <w:sz w:val="20"/>
                <w:szCs w:val="20"/>
                <w:color w:val="auto"/>
              </w:rPr>
            </w:pPr>
            <w:r>
              <w:rPr>
                <w:rFonts w:ascii="Times New Roman" w:cs="Times New Roman" w:eastAsia="Times New Roman" w:hAnsi="Times New Roman"/>
                <w:sz w:val="18"/>
                <w:szCs w:val="18"/>
                <w:color w:val="auto"/>
              </w:rPr>
              <w:t>(the “Company”) covered by the option: See Carta</w:t>
            </w:r>
          </w:p>
        </w:tc>
        <w:tc>
          <w:tcPr>
            <w:tcW w:w="1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XERCISE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NFORMATION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Number of shares of Common Stock of the Company for which the option is being exercised now:</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               . (These shares are referred to below as the “Purchased Shares.”)</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 xml:space="preserve">Total Exercise Price for the Purchased Shares: $    </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Form of payment [check all that apply*]:</w:t>
      </w:r>
    </w:p>
    <w:p>
      <w:pPr>
        <w:spacing w:after="0" w:line="127" w:lineRule="exact"/>
        <w:rPr>
          <w:sz w:val="20"/>
          <w:szCs w:val="20"/>
          <w:color w:val="auto"/>
        </w:rPr>
      </w:pPr>
    </w:p>
    <w:p>
      <w:pPr>
        <w:ind w:left="426" w:hanging="426"/>
        <w:spacing w:after="0"/>
        <w:tabs>
          <w:tab w:leader="none" w:pos="426" w:val="left"/>
        </w:tabs>
        <w:numPr>
          <w:ilvl w:val="0"/>
          <w:numId w:val="24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for $      , payable to “Omada Health, Inc.”</w:t>
      </w:r>
    </w:p>
    <w:p>
      <w:pPr>
        <w:spacing w:after="0" w:line="86" w:lineRule="exact"/>
        <w:rPr>
          <w:sz w:val="20"/>
          <w:szCs w:val="20"/>
          <w:color w:val="auto"/>
        </w:rPr>
      </w:pPr>
    </w:p>
    <w:p>
      <w:pPr>
        <w:ind w:left="6"/>
        <w:spacing w:after="0"/>
        <w:tabs>
          <w:tab w:leader="none" w:pos="406" w:val="left"/>
          <w:tab w:leader="none" w:pos="2406"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Certificate(s) for           </w:t>
      </w:r>
      <w:r>
        <w:rPr>
          <w:sz w:val="20"/>
          <w:szCs w:val="20"/>
          <w:color w:val="auto"/>
        </w:rPr>
        <w:tab/>
      </w:r>
      <w:r>
        <w:rPr>
          <w:rFonts w:ascii="Times New Roman" w:cs="Times New Roman" w:eastAsia="Times New Roman" w:hAnsi="Times New Roman"/>
          <w:sz w:val="17"/>
          <w:szCs w:val="17"/>
          <w:color w:val="auto"/>
        </w:rPr>
        <w:t>shares of Common Stock of the Company. These shares will be valued as of the date this notice is received by the</w:t>
      </w:r>
    </w:p>
    <w:p>
      <w:pPr>
        <w:spacing w:after="0" w:line="67"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Company. [Requires Company consent.]</w:t>
      </w:r>
    </w:p>
    <w:p>
      <w:pPr>
        <w:spacing w:after="0" w:line="73" w:lineRule="exact"/>
        <w:rPr>
          <w:sz w:val="20"/>
          <w:szCs w:val="20"/>
          <w:color w:val="auto"/>
        </w:rPr>
      </w:pPr>
    </w:p>
    <w:p>
      <w:pPr>
        <w:ind w:left="6"/>
        <w:spacing w:after="0"/>
        <w:tabs>
          <w:tab w:leader="none" w:pos="406" w:val="left"/>
          <w:tab w:leader="none" w:pos="3086"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Attestation Form covering           </w:t>
      </w:r>
      <w:r>
        <w:rPr>
          <w:sz w:val="20"/>
          <w:szCs w:val="20"/>
          <w:color w:val="auto"/>
        </w:rPr>
        <w:tab/>
      </w:r>
      <w:r>
        <w:rPr>
          <w:rFonts w:ascii="Times New Roman" w:cs="Times New Roman" w:eastAsia="Times New Roman" w:hAnsi="Times New Roman"/>
          <w:sz w:val="17"/>
          <w:szCs w:val="17"/>
          <w:color w:val="auto"/>
        </w:rPr>
        <w:t>shares of Common Stock of the Company. These shares will be valued as of the date this notice is received</w:t>
      </w:r>
    </w:p>
    <w:p>
      <w:pPr>
        <w:spacing w:after="0" w:line="61"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by the Company. [Requires Company consent.]</w:t>
      </w:r>
    </w:p>
    <w:p>
      <w:pPr>
        <w:spacing w:after="0" w:line="107" w:lineRule="exact"/>
        <w:rPr>
          <w:sz w:val="20"/>
          <w:szCs w:val="20"/>
          <w:color w:val="auto"/>
        </w:rPr>
      </w:pPr>
    </w:p>
    <w:p>
      <w:pPr>
        <w:ind w:left="426" w:hanging="426"/>
        <w:spacing w:after="0"/>
        <w:tabs>
          <w:tab w:leader="none" w:pos="426" w:val="left"/>
        </w:tabs>
        <w:numPr>
          <w:ilvl w:val="0"/>
          <w:numId w:val="24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ACH</w:t>
      </w:r>
    </w:p>
    <w:p>
      <w:pPr>
        <w:spacing w:after="0" w:line="24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  If you are a non-U.S. Optionee, please see the Company for permitted forms of payment.</w:t>
      </w:r>
    </w:p>
    <w:p>
      <w:pPr>
        <w:sectPr>
          <w:pgSz w:w="11900" w:h="16838" w:orient="portrait"/>
          <w:cols w:equalWidth="0" w:num="1">
            <w:col w:w="10726"/>
          </w:cols>
          <w:pgMar w:left="494" w:top="267" w:right="679" w:bottom="1440" w:gutter="0" w:footer="0" w:header="0"/>
        </w:sectPr>
      </w:pPr>
    </w:p>
    <w:bookmarkStart w:id="460" w:name="page461"/>
    <w:bookmarkEnd w:id="460"/>
    <w:p>
      <w:pPr>
        <w:ind w:left="6" w:right="460"/>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81">
                      <a:extLst>
                        <a:ext uri="{28A0092B-C50C-407E-A947-70E740481C1C}"/>
                      </a:extLst>
                    </a:blip>
                    <a:srcRect/>
                    <a:stretch>
                      <a:fillRect/>
                    </a:stretch>
                  </pic:blipFill>
                  <pic:spPr bwMode="auto">
                    <a:xfrm>
                      <a:off x="0" y="0"/>
                      <a:ext cx="7176135" cy="37465"/>
                    </a:xfrm>
                    <a:prstGeom prst="rect">
                      <a:avLst/>
                    </a:prstGeom>
                    <a:noFill/>
                  </pic:spPr>
                </pic:pic>
              </a:graphicData>
            </a:graphic>
          </wp:anchor>
        </w:drawing>
        <w:t>Name(s) in which the Purchased Shares should be registered [please review the attached explanation of the available forms of ownership, and then check one box]:</w:t>
      </w:r>
    </w:p>
    <w:p>
      <w:pPr>
        <w:spacing w:after="0" w:line="29" w:lineRule="exact"/>
        <w:rPr>
          <w:sz w:val="20"/>
          <w:szCs w:val="20"/>
          <w:color w:val="auto"/>
        </w:rPr>
      </w:pPr>
    </w:p>
    <w:tbl>
      <w:tblPr>
        <w:tblLayout w:type="fixed"/>
        <w:tblInd w:w="6" w:type="dxa"/>
        <w:tblCellMar>
          <w:top w:w="0" w:type="dxa"/>
          <w:left w:w="0" w:type="dxa"/>
          <w:bottom w:w="0" w:type="dxa"/>
          <w:right w:w="0" w:type="dxa"/>
        </w:tblCellMar>
      </w:tblPr>
      <w:tr>
        <w:trPr>
          <w:trHeight w:val="301"/>
        </w:trPr>
        <w:tc>
          <w:tcPr>
            <w:tcW w:w="510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 my name only</w:t>
            </w:r>
          </w:p>
        </w:tc>
        <w:tc>
          <w:tcPr>
            <w:tcW w:w="8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510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 the names of my spouse and myself as community property</w:t>
            </w:r>
          </w:p>
        </w:tc>
        <w:tc>
          <w:tcPr>
            <w:tcW w:w="58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My spouse’s name (if applicable):</w:t>
            </w:r>
          </w:p>
        </w:tc>
        <w:tc>
          <w:tcPr>
            <w:tcW w:w="0" w:type="dxa"/>
            <w:vAlign w:val="bottom"/>
          </w:tcPr>
          <w:p>
            <w:pPr>
              <w:spacing w:after="0"/>
              <w:rPr>
                <w:sz w:val="1"/>
                <w:szCs w:val="1"/>
                <w:color w:val="auto"/>
              </w:rPr>
            </w:pPr>
          </w:p>
        </w:tc>
      </w:tr>
      <w:tr>
        <w:trPr>
          <w:trHeight w:val="292"/>
        </w:trPr>
        <w:tc>
          <w:tcPr>
            <w:tcW w:w="510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 the names of my spouse and myself as community property</w:t>
            </w:r>
          </w:p>
        </w:tc>
        <w:tc>
          <w:tcPr>
            <w:tcW w:w="5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3"/>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with the right of survivorship</w:t>
            </w:r>
          </w:p>
        </w:tc>
        <w:tc>
          <w:tcPr>
            <w:tcW w:w="800" w:type="dxa"/>
            <w:vAlign w:val="bottom"/>
          </w:tcPr>
          <w:p>
            <w:pPr>
              <w:spacing w:after="0"/>
              <w:rPr>
                <w:sz w:val="18"/>
                <w:szCs w:val="18"/>
                <w:color w:val="auto"/>
              </w:rPr>
            </w:pPr>
          </w:p>
        </w:tc>
        <w:tc>
          <w:tcPr>
            <w:tcW w:w="5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10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 the names of my spouse and myself as joint tenants with the</w:t>
            </w:r>
          </w:p>
        </w:tc>
        <w:tc>
          <w:tcPr>
            <w:tcW w:w="8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 of survivorship</w:t>
            </w:r>
          </w:p>
        </w:tc>
        <w:tc>
          <w:tcPr>
            <w:tcW w:w="80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5100" w:type="dxa"/>
            <w:vAlign w:val="bottom"/>
          </w:tcPr>
          <w:p>
            <w:pPr>
              <w:spacing w:after="0" w:line="207" w:lineRule="exact"/>
              <w:rPr>
                <w:sz w:val="20"/>
                <w:szCs w:val="20"/>
                <w:color w:val="auto"/>
              </w:rPr>
            </w:pP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 xml:space="preserve">    In the name of an eligible revocable trust [requires Stock Transfer</w:t>
            </w:r>
          </w:p>
        </w:tc>
        <w:tc>
          <w:tcPr>
            <w:tcW w:w="58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Full legal name of revocable trust:</w:t>
            </w:r>
          </w:p>
        </w:tc>
        <w:tc>
          <w:tcPr>
            <w:tcW w:w="0" w:type="dxa"/>
            <w:vAlign w:val="bottom"/>
          </w:tcPr>
          <w:p>
            <w:pPr>
              <w:spacing w:after="0"/>
              <w:rPr>
                <w:sz w:val="1"/>
                <w:szCs w:val="1"/>
                <w:color w:val="auto"/>
              </w:rPr>
            </w:pPr>
          </w:p>
        </w:tc>
      </w:tr>
      <w:tr>
        <w:trPr>
          <w:trHeight w:val="205"/>
        </w:trPr>
        <w:tc>
          <w:tcPr>
            <w:tcW w:w="5100" w:type="dxa"/>
            <w:vAlign w:val="bottom"/>
          </w:tcPr>
          <w:p>
            <w:pPr>
              <w:ind w:left="360"/>
              <w:spacing w:after="0" w:line="206" w:lineRule="exact"/>
              <w:rPr>
                <w:sz w:val="20"/>
                <w:szCs w:val="20"/>
                <w:color w:val="auto"/>
              </w:rPr>
            </w:pPr>
            <w:r>
              <w:rPr>
                <w:rFonts w:ascii="Times New Roman" w:cs="Times New Roman" w:eastAsia="Times New Roman" w:hAnsi="Times New Roman"/>
                <w:sz w:val="18"/>
                <w:szCs w:val="18"/>
                <w:color w:val="auto"/>
              </w:rPr>
              <w:t>Agreement]</w:t>
            </w:r>
          </w:p>
        </w:tc>
        <w:tc>
          <w:tcPr>
            <w:tcW w:w="800" w:type="dxa"/>
            <w:vAlign w:val="bottom"/>
          </w:tcPr>
          <w:p>
            <w:pPr>
              <w:spacing w:after="0"/>
              <w:rPr>
                <w:sz w:val="17"/>
                <w:szCs w:val="17"/>
                <w:color w:val="auto"/>
              </w:rPr>
            </w:pPr>
          </w:p>
        </w:tc>
        <w:tc>
          <w:tcPr>
            <w:tcW w:w="5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certificate for the Purchased Shares should be sent to the</w:t>
            </w:r>
          </w:p>
        </w:tc>
        <w:tc>
          <w:tcPr>
            <w:tcW w:w="800" w:type="dxa"/>
            <w:vAlign w:val="bottom"/>
          </w:tcPr>
          <w:p>
            <w:pPr>
              <w:spacing w:after="0"/>
              <w:rPr>
                <w:sz w:val="19"/>
                <w:szCs w:val="19"/>
                <w:color w:val="auto"/>
              </w:rPr>
            </w:pPr>
          </w:p>
        </w:tc>
        <w:tc>
          <w:tcPr>
            <w:tcW w:w="5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0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5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1"/>
        </w:trPr>
        <w:tc>
          <w:tcPr>
            <w:tcW w:w="5100" w:type="dxa"/>
            <w:vAlign w:val="bottom"/>
            <w:vMerge w:val="continue"/>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following address:</w:t>
            </w:r>
          </w:p>
        </w:tc>
        <w:tc>
          <w:tcPr>
            <w:tcW w:w="800" w:type="dxa"/>
            <w:vAlign w:val="bottom"/>
            <w:tcBorders>
              <w:bottom w:val="single" w:sz="8" w:color="auto"/>
            </w:tcBorders>
          </w:tcPr>
          <w:p>
            <w:pPr>
              <w:spacing w:after="0"/>
              <w:rPr>
                <w:sz w:val="18"/>
                <w:szCs w:val="18"/>
                <w:color w:val="auto"/>
              </w:rPr>
            </w:pPr>
          </w:p>
        </w:tc>
        <w:tc>
          <w:tcPr>
            <w:tcW w:w="5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CKNOWLEDGMENTS OF THE</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PTIONEE</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both"/>
        <w:ind w:left="426" w:right="60" w:hanging="426"/>
        <w:spacing w:after="0" w:line="262" w:lineRule="auto"/>
        <w:tabs>
          <w:tab w:leader="none" w:pos="42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represent and warrant to the Company that I am acquiring and will hold the Purchased Shares for investment for my account only, and not with a view to, or for resale in connection with, any “distribution” of the Purchased Shares within the meaning of the Securities Act of 1933, as amended (the “Securities Act”).</w:t>
      </w:r>
    </w:p>
    <w:p>
      <w:pPr>
        <w:spacing w:after="0" w:line="83" w:lineRule="exact"/>
        <w:rPr>
          <w:rFonts w:ascii="Times New Roman" w:cs="Times New Roman" w:eastAsia="Times New Roman" w:hAnsi="Times New Roman"/>
          <w:sz w:val="18"/>
          <w:szCs w:val="18"/>
          <w:color w:val="auto"/>
        </w:rPr>
      </w:pPr>
    </w:p>
    <w:p>
      <w:pPr>
        <w:jc w:val="both"/>
        <w:ind w:left="426" w:right="120" w:hanging="426"/>
        <w:spacing w:after="0" w:line="262" w:lineRule="auto"/>
        <w:tabs>
          <w:tab w:leader="none" w:pos="42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the Purchased Shares have not been registered under the Securities Act by reason of a specific exemption therefrom and that the Purchased Shares must be held indefinitely, unless they are subsequently registered under the Securities Act or I obtain an opinion of counsel (in form and substance satisfactory to the Company and its counsel) that registration is not required.</w:t>
      </w:r>
    </w:p>
    <w:p>
      <w:pPr>
        <w:spacing w:after="0" w:line="83"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the Company is under no obligation to register the Purchased Shares.</w:t>
      </w:r>
    </w:p>
    <w:p>
      <w:pPr>
        <w:spacing w:after="0" w:line="126" w:lineRule="exact"/>
        <w:rPr>
          <w:rFonts w:ascii="Times New Roman" w:cs="Times New Roman" w:eastAsia="Times New Roman" w:hAnsi="Times New Roman"/>
          <w:sz w:val="18"/>
          <w:szCs w:val="18"/>
          <w:color w:val="auto"/>
        </w:rPr>
      </w:pPr>
    </w:p>
    <w:p>
      <w:pPr>
        <w:ind w:left="426" w:right="20" w:hanging="426"/>
        <w:spacing w:after="0" w:line="253" w:lineRule="auto"/>
        <w:tabs>
          <w:tab w:leader="none" w:pos="42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aware of the adoption by the Securities and Exchange Commission of Rule 144 under the Securities Act, which permits limited public resales of securities acquired in a non-public offering, subject to the satisfaction of certain conditions. These conditions may include (without limitation) that certain current public information about the issuer be available, that the resale occur only after a holding period required by Rule 144 has been satisfied, that the sale occur through an unsolicited “broker’s transaction” and that the amount of securities being sold during any three-month period not exceed specified limitations. I understand that the conditions for resale set forth in Rule 144 have not been satisfied and that the Company is not required to take action to satisfy any conditions applicable to it.</w:t>
      </w:r>
    </w:p>
    <w:p>
      <w:pPr>
        <w:spacing w:after="0" w:line="93" w:lineRule="exact"/>
        <w:rPr>
          <w:rFonts w:ascii="Times New Roman" w:cs="Times New Roman" w:eastAsia="Times New Roman" w:hAnsi="Times New Roman"/>
          <w:sz w:val="18"/>
          <w:szCs w:val="18"/>
          <w:color w:val="auto"/>
        </w:rPr>
      </w:pPr>
    </w:p>
    <w:p>
      <w:pPr>
        <w:ind w:left="426" w:right="80" w:hanging="426"/>
        <w:spacing w:after="0" w:line="277" w:lineRule="auto"/>
        <w:tabs>
          <w:tab w:leader="none" w:pos="42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will not sell, transfer or otherwise dispose of the Purchased Shares in violation of the Securities Act, the Securities Exchange Act of 1934, or the rules promulgated thereunder, including Rule 144 under the Securities Act.</w:t>
      </w:r>
    </w:p>
    <w:p>
      <w:pPr>
        <w:spacing w:after="0" w:line="69" w:lineRule="exact"/>
        <w:rPr>
          <w:rFonts w:ascii="Times New Roman" w:cs="Times New Roman" w:eastAsia="Times New Roman" w:hAnsi="Times New Roman"/>
          <w:sz w:val="18"/>
          <w:szCs w:val="18"/>
          <w:color w:val="auto"/>
        </w:rPr>
      </w:pPr>
    </w:p>
    <w:p>
      <w:pPr>
        <w:jc w:val="both"/>
        <w:ind w:left="426" w:right="100" w:hanging="426"/>
        <w:spacing w:after="0" w:line="262" w:lineRule="auto"/>
        <w:tabs>
          <w:tab w:leader="none" w:pos="42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 have received and had access to such information as I consider necessary or appropriate for deciding whether to invest in the Purchased Shares and that I had an opportunity to ask questions and receive answers from the Company regarding the terms and conditions of the issuance of the Purchased Shares.</w:t>
      </w:r>
    </w:p>
    <w:p>
      <w:pPr>
        <w:spacing w:after="0" w:line="11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6"/>
          </w:cols>
          <w:pgMar w:left="494" w:top="267" w:right="499" w:bottom="1440" w:gutter="0" w:footer="0" w:header="0"/>
        </w:sectPr>
      </w:pPr>
    </w:p>
    <w:bookmarkStart w:id="461" w:name="page462"/>
    <w:bookmarkEnd w:id="461"/>
    <w:p>
      <w:pPr>
        <w:ind w:left="426" w:right="160" w:hanging="426"/>
        <w:spacing w:after="0" w:line="262" w:lineRule="auto"/>
        <w:tabs>
          <w:tab w:leader="none" w:pos="42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83" w:lineRule="exact"/>
        <w:rPr>
          <w:rFonts w:ascii="Times New Roman" w:cs="Times New Roman" w:eastAsia="Times New Roman" w:hAnsi="Times New Roman"/>
          <w:sz w:val="18"/>
          <w:szCs w:val="18"/>
          <w:color w:val="auto"/>
        </w:rPr>
      </w:pPr>
    </w:p>
    <w:p>
      <w:pPr>
        <w:ind w:left="426" w:right="40" w:hanging="426"/>
        <w:spacing w:after="0" w:line="277" w:lineRule="auto"/>
        <w:tabs>
          <w:tab w:leader="none" w:pos="42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the Purchased Shares remain subject to the Company’s right of first refusal and the market stand-off (sometimes referred to as the “lock-up”), all in accordance with the applicable Notice of Stock Option Grant and Stock Option Agreement.</w:t>
      </w:r>
    </w:p>
    <w:p>
      <w:pPr>
        <w:spacing w:after="0" w:line="69" w:lineRule="exact"/>
        <w:rPr>
          <w:rFonts w:ascii="Times New Roman" w:cs="Times New Roman" w:eastAsia="Times New Roman" w:hAnsi="Times New Roman"/>
          <w:sz w:val="18"/>
          <w:szCs w:val="18"/>
          <w:color w:val="auto"/>
        </w:rPr>
      </w:pPr>
    </w:p>
    <w:p>
      <w:pPr>
        <w:ind w:left="426" w:right="720" w:hanging="426"/>
        <w:spacing w:after="0" w:line="277" w:lineRule="auto"/>
        <w:tabs>
          <w:tab w:leader="none" w:pos="42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 am acquiring the Purchased Shares subject to all other terms of the Notice of Stock Option Grant and Stock Option Agreement.</w:t>
      </w:r>
    </w:p>
    <w:p>
      <w:pPr>
        <w:spacing w:after="0" w:line="69" w:lineRule="exact"/>
        <w:rPr>
          <w:rFonts w:ascii="Times New Roman" w:cs="Times New Roman" w:eastAsia="Times New Roman" w:hAnsi="Times New Roman"/>
          <w:sz w:val="18"/>
          <w:szCs w:val="18"/>
          <w:color w:val="auto"/>
        </w:rPr>
      </w:pPr>
    </w:p>
    <w:p>
      <w:pPr>
        <w:ind w:left="426" w:hanging="426"/>
        <w:spacing w:after="0" w:line="253" w:lineRule="auto"/>
        <w:tabs>
          <w:tab w:leader="none" w:pos="42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 have received a copy of the Company’s explanation of the forms of ownership available for my Purchased Shares. I acknowledge that the Company has encouraged me to consult my own adviser to determine the form of ownership that is appropriate for me. In the event that I choose to transfer my Purchased Shares to a trust, I agree to sign a Stock Transfer Agreement. In the event that I choose to transfer my Purchased Shares to a trust that does not satisfy the requirements described in the attached explanation (i.e.,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93" w:lineRule="exact"/>
        <w:rPr>
          <w:rFonts w:ascii="Times New Roman" w:cs="Times New Roman" w:eastAsia="Times New Roman" w:hAnsi="Times New Roman"/>
          <w:sz w:val="18"/>
          <w:szCs w:val="18"/>
          <w:color w:val="auto"/>
        </w:rPr>
      </w:pPr>
    </w:p>
    <w:p>
      <w:pPr>
        <w:ind w:left="426" w:right="400" w:hanging="426"/>
        <w:spacing w:after="0" w:line="262" w:lineRule="auto"/>
        <w:tabs>
          <w:tab w:leader="none" w:pos="42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 have received a copy of the Company’s explanation of the federal income tax consequences of an option exercise. I acknowledge that the Company has encouraged me to consult my own adviser to determine the tax consequences of acquiring the Purchased Shares at this time.</w:t>
      </w:r>
    </w:p>
    <w:p>
      <w:pPr>
        <w:spacing w:after="0" w:line="83" w:lineRule="exact"/>
        <w:rPr>
          <w:rFonts w:ascii="Times New Roman" w:cs="Times New Roman" w:eastAsia="Times New Roman" w:hAnsi="Times New Roman"/>
          <w:sz w:val="18"/>
          <w:szCs w:val="18"/>
          <w:color w:val="auto"/>
        </w:rPr>
      </w:pPr>
    </w:p>
    <w:p>
      <w:pPr>
        <w:ind w:left="426" w:right="100" w:hanging="426"/>
        <w:spacing w:after="0" w:line="251" w:lineRule="auto"/>
        <w:tabs>
          <w:tab w:leader="none" w:pos="42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the Company does not have a duty to design or administer the 2011 Stock Plan or its other compensation programs in a manner that minimizes my tax liabilities. I will not make any claim against the Company or its Board of Directors, officers or employees related to tax liabilities arising from my options or my other compensation. In particular, I acknowledge that my options are exempt from section 409A of the Internal Revenue Code only if the exercise price per share is at least equal to the fair market value per share of the Company’s Common Stock at the time the option was granted by the Company’s Board of Directors. Since shares of the Company’s Common Stock are not traded on an established securities market, the determination of their fair market value was made by the Company’s Board of Directors or by an independent valuation firm retained by the Company. I acknowledge that there is no guarantee in either case that the Internal Revenue Service will agree with the valuation, and I will not make any claim against the Company or its Board of Directors, officers or employees in the event that the Internal Revenue Service asserts that the valuation was too low.</w:t>
      </w:r>
    </w:p>
    <w:p>
      <w:pPr>
        <w:spacing w:after="0" w:line="95"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to seek the consent of my spouse to the extent required by the Company to enforce the foregoing.</w:t>
      </w:r>
    </w:p>
    <w:p>
      <w:pPr>
        <w:spacing w:after="0" w:line="247" w:lineRule="exact"/>
        <w:rPr>
          <w:sz w:val="20"/>
          <w:szCs w:val="20"/>
          <w:color w:val="auto"/>
        </w:rPr>
      </w:pPr>
    </w:p>
    <w:tbl>
      <w:tblPr>
        <w:tblLayout w:type="fixed"/>
        <w:tblInd w:w="6" w:type="dxa"/>
        <w:tblCellMar>
          <w:top w:w="0" w:type="dxa"/>
          <w:left w:w="0" w:type="dxa"/>
          <w:bottom w:w="0" w:type="dxa"/>
          <w:right w:w="0" w:type="dxa"/>
        </w:tblCellMar>
      </w:tblPr>
      <w:tr>
        <w:trPr>
          <w:trHeight w:val="23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w:t>
            </w: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D</w:t>
            </w:r>
            <w:r>
              <w:rPr>
                <w:rFonts w:ascii="Times New Roman" w:cs="Times New Roman" w:eastAsia="Times New Roman" w:hAnsi="Times New Roman"/>
                <w:sz w:val="14"/>
                <w:szCs w:val="14"/>
                <w:color w:val="auto"/>
              </w:rPr>
              <w:t>ATE</w:t>
            </w:r>
            <w:r>
              <w:rPr>
                <w:rFonts w:ascii="Times New Roman" w:cs="Times New Roman" w:eastAsia="Times New Roman" w:hAnsi="Times New Roman"/>
                <w:sz w:val="18"/>
                <w:szCs w:val="18"/>
                <w:color w:val="auto"/>
              </w:rPr>
              <w:t>:</w:t>
            </w:r>
          </w:p>
        </w:tc>
        <w:tc>
          <w:tcPr>
            <w:tcW w:w="296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27"/>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2960" w:type="dxa"/>
            <w:vAlign w:val="bottom"/>
          </w:tcPr>
          <w:p>
            <w:pPr>
              <w:spacing w:after="0"/>
              <w:rPr>
                <w:sz w:val="24"/>
                <w:szCs w:val="24"/>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26"/>
        </w:trPr>
        <w:tc>
          <w:tcPr>
            <w:tcW w:w="3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10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tcPr>
          <w:p>
            <w:pPr>
              <w:spacing w:after="0"/>
              <w:rPr>
                <w:sz w:val="19"/>
                <w:szCs w:val="19"/>
                <w:color w:val="auto"/>
              </w:rPr>
            </w:pPr>
          </w:p>
        </w:tc>
        <w:tc>
          <w:tcPr>
            <w:tcW w:w="2300" w:type="dxa"/>
            <w:vAlign w:val="bottom"/>
          </w:tcPr>
          <w:p>
            <w:pPr>
              <w:spacing w:after="0"/>
              <w:rPr>
                <w:sz w:val="19"/>
                <w:szCs w:val="19"/>
                <w:color w:val="auto"/>
              </w:rPr>
            </w:pPr>
          </w:p>
        </w:tc>
      </w:tr>
      <w:tr>
        <w:trPr>
          <w:trHeight w:val="356"/>
        </w:trPr>
        <w:tc>
          <w:tcPr>
            <w:tcW w:w="3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60" w:type="dxa"/>
            <w:vAlign w:val="bottom"/>
          </w:tcPr>
          <w:p>
            <w:pPr>
              <w:jc w:val="right"/>
              <w:ind w:right="2611"/>
              <w:spacing w:after="0"/>
              <w:rPr>
                <w:sz w:val="20"/>
                <w:szCs w:val="20"/>
                <w:color w:val="auto"/>
              </w:rPr>
            </w:pPr>
            <w:r>
              <w:rPr>
                <w:rFonts w:ascii="Times New Roman" w:cs="Times New Roman" w:eastAsia="Times New Roman" w:hAnsi="Times New Roman"/>
                <w:sz w:val="18"/>
                <w:szCs w:val="18"/>
                <w:color w:val="auto"/>
              </w:rPr>
              <w:t>3</w:t>
            </w:r>
          </w:p>
        </w:tc>
        <w:tc>
          <w:tcPr>
            <w:tcW w:w="2300" w:type="dxa"/>
            <w:vAlign w:val="bottom"/>
          </w:tcPr>
          <w:p>
            <w:pPr>
              <w:spacing w:after="0"/>
              <w:rPr>
                <w:sz w:val="24"/>
                <w:szCs w:val="24"/>
                <w:color w:val="auto"/>
              </w:rPr>
            </w:pPr>
          </w:p>
        </w:tc>
      </w:tr>
    </w:tbl>
    <w:p>
      <w:pPr>
        <w:sectPr>
          <w:pgSz w:w="11900" w:h="16838" w:orient="portrait"/>
          <w:cols w:equalWidth="0" w:num="1">
            <w:col w:w="10846"/>
          </w:cols>
          <w:pgMar w:left="494" w:top="268" w:right="559" w:bottom="1440" w:gutter="0" w:footer="0" w:header="0"/>
        </w:sectPr>
      </w:pPr>
    </w:p>
    <w:bookmarkStart w:id="462" w:name="page463"/>
    <w:bookmarkEnd w:id="462"/>
    <w:p>
      <w:pPr>
        <w:ind w:left="6"/>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w:t>
      </w:r>
      <w:r>
        <w:rPr>
          <w:rFonts w:ascii="Times New Roman" w:cs="Times New Roman" w:eastAsia="Times New Roman" w:hAnsi="Times New Roman"/>
          <w:sz w:val="14"/>
          <w:szCs w:val="14"/>
          <w:color w:val="auto"/>
        </w:rPr>
        <w:t>XPLANATION OF</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ORMS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WNERSHIP</w:t>
      </w:r>
    </w:p>
    <w:p>
      <w:pPr>
        <w:spacing w:after="0" w:line="11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URPOSE OF</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HIS</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XPLANATION</w:t>
      </w:r>
    </w:p>
    <w:p>
      <w:pPr>
        <w:spacing w:after="0" w:line="114" w:lineRule="exact"/>
        <w:rPr>
          <w:sz w:val="20"/>
          <w:szCs w:val="20"/>
          <w:color w:val="auto"/>
        </w:rPr>
      </w:pPr>
    </w:p>
    <w:p>
      <w:pPr>
        <w:ind w:left="6" w:right="120"/>
        <w:spacing w:after="0" w:line="277" w:lineRule="auto"/>
        <w:rPr>
          <w:sz w:val="20"/>
          <w:szCs w:val="20"/>
          <w:color w:val="auto"/>
        </w:rPr>
      </w:pPr>
      <w:r>
        <w:rPr>
          <w:rFonts w:ascii="Times New Roman" w:cs="Times New Roman" w:eastAsia="Times New Roman" w:hAnsi="Times New Roman"/>
          <w:sz w:val="18"/>
          <w:szCs w:val="18"/>
          <w:color w:val="auto"/>
        </w:rPr>
        <w:t>The purpose of this explanation is to provide you with a brief summary of the forms of legal ownership available for the shares that you are purchasing (the “Purchased Shares”). For a number of reasons, this explanation is no substitute for personal legal advice:</w:t>
      </w:r>
    </w:p>
    <w:p>
      <w:pPr>
        <w:spacing w:after="0" w:line="70" w:lineRule="exact"/>
        <w:rPr>
          <w:sz w:val="20"/>
          <w:szCs w:val="20"/>
          <w:color w:val="auto"/>
        </w:rPr>
      </w:pPr>
    </w:p>
    <w:p>
      <w:pPr>
        <w:ind w:left="426" w:right="620" w:hanging="426"/>
        <w:spacing w:after="0" w:line="277" w:lineRule="auto"/>
        <w:tabs>
          <w:tab w:leader="none" w:pos="42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the explanation short and readable, only the highlights are covered. Some legal rules are not addressed, even though they may be important in particular cases.</w:t>
      </w:r>
    </w:p>
    <w:p>
      <w:pPr>
        <w:spacing w:after="0" w:line="69"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summary attempts to deal with the most common situations, your own situation may well be different from the norm.</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 may change, and the Company is not responsible for updating this summary.</w:t>
      </w:r>
    </w:p>
    <w:p>
      <w:pPr>
        <w:spacing w:after="0" w:line="126" w:lineRule="exact"/>
        <w:rPr>
          <w:rFonts w:ascii="Times New Roman" w:cs="Times New Roman" w:eastAsia="Times New Roman" w:hAnsi="Times New Roman"/>
          <w:sz w:val="18"/>
          <w:szCs w:val="18"/>
          <w:color w:val="auto"/>
        </w:rPr>
      </w:pPr>
    </w:p>
    <w:p>
      <w:pPr>
        <w:ind w:left="426" w:right="100" w:hanging="426"/>
        <w:spacing w:after="0" w:line="277" w:lineRule="auto"/>
        <w:tabs>
          <w:tab w:leader="none" w:pos="42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in which you own your shares may have a substantial impact on the estate tax treatment that applies to those shares when you die or the income tax treatment that applies when your survivors sell the shares after your death.</w:t>
      </w:r>
    </w:p>
    <w:p>
      <w:pPr>
        <w:spacing w:after="0" w:line="57" w:lineRule="exact"/>
        <w:rPr>
          <w:sz w:val="20"/>
          <w:szCs w:val="20"/>
          <w:color w:val="auto"/>
        </w:rPr>
      </w:pPr>
    </w:p>
    <w:p>
      <w:pPr>
        <w:ind w:left="6" w:right="500"/>
        <w:spacing w:after="0" w:line="293" w:lineRule="auto"/>
        <w:rPr>
          <w:sz w:val="20"/>
          <w:szCs w:val="20"/>
          <w:color w:val="auto"/>
        </w:rPr>
      </w:pP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4"/>
          <w:szCs w:val="14"/>
          <w:u w:val="single" w:color="auto"/>
          <w:color w:val="auto"/>
        </w:rPr>
        <w:t>OR THESE REASONS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4"/>
          <w:szCs w:val="14"/>
          <w:u w:val="single" w:color="auto"/>
          <w:color w:val="auto"/>
        </w:rPr>
        <w:t>THE</w:t>
      </w:r>
      <w:r>
        <w:rPr>
          <w:rFonts w:ascii="Times New Roman" w:cs="Times New Roman" w:eastAsia="Times New Roman" w:hAnsi="Times New Roman"/>
          <w:sz w:val="18"/>
          <w:szCs w:val="18"/>
          <w:u w:val="single" w:color="auto"/>
          <w:color w:val="auto"/>
        </w:rPr>
        <w:t xml:space="preserve"> C</w:t>
      </w:r>
      <w:r>
        <w:rPr>
          <w:rFonts w:ascii="Times New Roman" w:cs="Times New Roman" w:eastAsia="Times New Roman" w:hAnsi="Times New Roman"/>
          <w:sz w:val="14"/>
          <w:szCs w:val="14"/>
          <w:u w:val="single" w:color="auto"/>
          <w:color w:val="auto"/>
        </w:rPr>
        <w:t>OMPANY STRONGLY ENCOURAGES YOU TO CONSULT YOUR OWN ADVISER BEFORE EXERCISING YOUR OPTION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4"/>
          <w:szCs w:val="14"/>
          <w:u w:val="single" w:color="auto"/>
          <w:color w:val="auto"/>
        </w:rPr>
        <w:t>BEFORE MAKING A DECISION ABOUT THE FORM OF OWNERSHIP FOR YOUR SHARES</w:t>
      </w:r>
      <w:r>
        <w:rPr>
          <w:rFonts w:ascii="Times New Roman" w:cs="Times New Roman" w:eastAsia="Times New Roman" w:hAnsi="Times New Roman"/>
          <w:sz w:val="17"/>
          <w:szCs w:val="17"/>
          <w:u w:val="single" w:color="auto"/>
          <w:color w:val="auto"/>
        </w:rPr>
        <w:t>.</w:t>
      </w:r>
    </w:p>
    <w:p>
      <w:pPr>
        <w:spacing w:after="0" w:line="25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VERVIEW</w:t>
      </w:r>
    </w:p>
    <w:p>
      <w:pPr>
        <w:spacing w:after="0" w:line="11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The Notice of Stock Option Exercise offers five forms of taking title to the Purchased Shares:</w:t>
      </w:r>
    </w:p>
    <w:p>
      <w:pPr>
        <w:spacing w:after="0" w:line="127" w:lineRule="exact"/>
        <w:rPr>
          <w:sz w:val="20"/>
          <w:szCs w:val="20"/>
          <w:color w:val="auto"/>
        </w:rPr>
      </w:pPr>
    </w:p>
    <w:p>
      <w:pPr>
        <w:ind w:left="426" w:hanging="426"/>
        <w:spacing w:after="0"/>
        <w:tabs>
          <w:tab w:leader="none" w:pos="42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your name only,</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your name and the name of your spouse as community property,</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your name and the name of your spouse as community property with the right of survivorship,</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your name and the name of your spouse as joint tenants with the right of survivorship, or</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name of an eligible revocable trust.</w:t>
      </w:r>
    </w:p>
    <w:p>
      <w:pPr>
        <w:spacing w:after="0" w:line="220" w:lineRule="exact"/>
        <w:rPr>
          <w:sz w:val="20"/>
          <w:szCs w:val="20"/>
          <w:color w:val="auto"/>
        </w:rPr>
      </w:pPr>
    </w:p>
    <w:p>
      <w:pPr>
        <w:ind w:left="6"/>
        <w:spacing w:after="0" w:line="257" w:lineRule="auto"/>
        <w:rPr>
          <w:sz w:val="20"/>
          <w:szCs w:val="20"/>
          <w:color w:val="auto"/>
        </w:rPr>
      </w:pPr>
      <w:r>
        <w:rPr>
          <w:rFonts w:ascii="Times New Roman" w:cs="Times New Roman" w:eastAsia="Times New Roman" w:hAnsi="Times New Roman"/>
          <w:sz w:val="18"/>
          <w:szCs w:val="18"/>
          <w:color w:val="auto"/>
        </w:rPr>
        <w:t>Title in the Purchased Shares depends upon (a) your marital status, (b) the marital property laws of your state of residence and (c) any agreement with your spouse altering the existing marital property laws of your state of residence. If you are not married, you generally will take title in your name alone. If you are married, title depends upon the marital property laws of your state of residence. In general, states are classified either as “community property” states or as “common- law property” states. (But individual state law may vary within these classifications.)</w:t>
      </w:r>
    </w:p>
    <w:p>
      <w:pPr>
        <w:spacing w:after="0" w:line="115"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6"/>
          </w:cols>
          <w:pgMar w:left="494" w:top="268" w:right="519" w:bottom="1440" w:gutter="0" w:footer="0" w:header="0"/>
        </w:sectPr>
      </w:pPr>
    </w:p>
    <w:bookmarkStart w:id="463" w:name="page464"/>
    <w:bookmarkEnd w:id="46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8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C</w:t>
      </w:r>
      <w:r>
        <w:rPr>
          <w:rFonts w:ascii="Times New Roman" w:cs="Times New Roman" w:eastAsia="Times New Roman" w:hAnsi="Times New Roman"/>
          <w:sz w:val="14"/>
          <w:szCs w:val="14"/>
          <w:color w:val="auto"/>
        </w:rPr>
        <w:t>OMMUNITY</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ROPERTY AND</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4"/>
          <w:szCs w:val="14"/>
          <w:color w:val="auto"/>
        </w:rPr>
        <w:t>OINT</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ENANCY</w:t>
      </w:r>
    </w:p>
    <w:p>
      <w:pPr>
        <w:spacing w:after="0" w:line="11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Community property states include California, Texas, Washington, Arizona, Nevada, New Mexico, Idaho, Louisiana and Wisconsin. In a community property state, property acquired during marriage by either spouse is presumed to be one-half owned by each spouse. All other property is classified as the separate property of the spouse who acquires the property. While either spouse has equal management and control over the community property and may sell, spend or encumber all community property, neither spouse may gift community property or partition his/her one-half interest without the consent of the other spouse. Upon divorce, all community property is divided equally among the spouses and each spouse is entitled to retain all of his/her separate property. Upon the death of a spouse, one-half of the community property (and all of the decedent spouse’s separate property) will pass to the decedent spouse’s heirs. The other one-half of the community property remains the property of the surviving spouse.</w:t>
      </w:r>
    </w:p>
    <w:p>
      <w:pPr>
        <w:spacing w:after="0" w:line="189"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18"/>
          <w:szCs w:val="18"/>
          <w:color w:val="auto"/>
        </w:rPr>
        <w:t>Other states are common-law property states. In a common-law property state, each spouse is generally deemed to own whatever he/she earns or acquires.</w:t>
      </w:r>
    </w:p>
    <w:p>
      <w:pPr>
        <w:spacing w:after="0" w:line="163"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color w:val="auto"/>
        </w:rPr>
        <w:t>A married couple may elect to alter the marital property rules by mutually agreeing to take title to property in other forms. For example, a couple residing in a community property state may generally enter into an agreement and transform what otherwise would be community property into the separate property of the spouse who earns or acquires the property.</w:t>
      </w:r>
    </w:p>
    <w:p>
      <w:pPr>
        <w:spacing w:after="0" w:line="177"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In addition, many community property and common-law property states allow married couples to take joint title in property acquired during marriage. For example, California allows a married couple to take title in a joint tenancy with the right of survivorship. In a joint tenancy, each spouse owns a one-half interest in the property as separate property. This means that each spouse may transfer or sell his/her one-half interest in the property while he/she is alive. However, unlike traditional separate property, a spouse cannot transfer his/her one-half interest to heirs at death. Instead, the surviving spouse automatically receives the decedent spouse’s one-half interest and becomes the full owner of the property. (This is called the “right of survivorship.”) Both spouses must consent to taking property in a joint tenancy in lieu of having the community property laws apply.</w:t>
      </w:r>
    </w:p>
    <w:p>
      <w:pPr>
        <w:spacing w:after="0" w:line="17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California also allows a married couple to take title in the shares as community property with the right of survivorship. This means that the shares are treated like community property while both spouses are alive. However, if one spouse dies, then the other spouse automatically receives the decedent spouse’s one-half interest and becomes the full owner of the shares. In other words, the decedent spouse’s will or trust does not control the disposition of the shares.</w:t>
      </w:r>
    </w:p>
    <w:p>
      <w:pPr>
        <w:spacing w:after="0" w:line="18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If you have the Purchased Shares issued in a form other than those described above, then the transfer will be treated as a “disposition” for tax purposes. This means that the effect, for tax purposes, will be the same as selling the Purchased Shares. Please refer to the attached tax summary for additional information.</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60"/>
          </w:cols>
          <w:pgMar w:left="500" w:top="267" w:right="539" w:bottom="1440" w:gutter="0" w:footer="0" w:header="0"/>
        </w:sectPr>
      </w:pPr>
    </w:p>
    <w:bookmarkStart w:id="464" w:name="page465"/>
    <w:bookmarkEnd w:id="464"/>
    <w:p>
      <w:pPr>
        <w:ind w:left="6"/>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8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w:t>
      </w:r>
      <w:r>
        <w:rPr>
          <w:rFonts w:ascii="Times New Roman" w:cs="Times New Roman" w:eastAsia="Times New Roman" w:hAnsi="Times New Roman"/>
          <w:sz w:val="14"/>
          <w:szCs w:val="14"/>
          <w:color w:val="auto"/>
        </w:rPr>
        <w:t>RUSTS</w:t>
      </w:r>
    </w:p>
    <w:p>
      <w:pPr>
        <w:spacing w:after="0" w:line="114" w:lineRule="exact"/>
        <w:rPr>
          <w:sz w:val="20"/>
          <w:szCs w:val="20"/>
          <w:color w:val="auto"/>
        </w:rPr>
      </w:pPr>
    </w:p>
    <w:p>
      <w:pPr>
        <w:ind w:left="6" w:right="60"/>
        <w:spacing w:after="0" w:line="277" w:lineRule="auto"/>
        <w:rPr>
          <w:sz w:val="20"/>
          <w:szCs w:val="20"/>
          <w:color w:val="auto"/>
        </w:rPr>
      </w:pPr>
      <w:r>
        <w:rPr>
          <w:rFonts w:ascii="Times New Roman" w:cs="Times New Roman" w:eastAsia="Times New Roman" w:hAnsi="Times New Roman"/>
          <w:sz w:val="18"/>
          <w:szCs w:val="18"/>
          <w:color w:val="auto"/>
        </w:rPr>
        <w:t>A transfer to a trust generally should not be treated as a “disposition” of the Purchased Shares for tax purposes if the trust satisfies each of the following conditions:</w:t>
      </w:r>
    </w:p>
    <w:p>
      <w:pPr>
        <w:spacing w:after="0" w:line="70" w:lineRule="exact"/>
        <w:rPr>
          <w:sz w:val="20"/>
          <w:szCs w:val="20"/>
          <w:color w:val="auto"/>
        </w:rPr>
      </w:pPr>
    </w:p>
    <w:p>
      <w:pPr>
        <w:ind w:left="426" w:hanging="426"/>
        <w:spacing w:after="0"/>
        <w:tabs>
          <w:tab w:leader="none" w:pos="42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the sole grantor of the trust,</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the sole trustee, or you and your spouse are the sole co-trustees,</w:t>
      </w:r>
    </w:p>
    <w:p>
      <w:pPr>
        <w:spacing w:after="0" w:line="126" w:lineRule="exact"/>
        <w:rPr>
          <w:rFonts w:ascii="Times New Roman" w:cs="Times New Roman" w:eastAsia="Times New Roman" w:hAnsi="Times New Roman"/>
          <w:sz w:val="18"/>
          <w:szCs w:val="18"/>
          <w:color w:val="auto"/>
        </w:rPr>
      </w:pPr>
    </w:p>
    <w:p>
      <w:pPr>
        <w:ind w:left="426" w:right="240" w:hanging="426"/>
        <w:spacing w:after="0" w:line="277" w:lineRule="auto"/>
        <w:tabs>
          <w:tab w:leader="none" w:pos="42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or trustees are not required to distribute the income of the trust to any person other than you and/or your spouse while you are alive, and</w:t>
      </w:r>
    </w:p>
    <w:p>
      <w:pPr>
        <w:spacing w:after="0" w:line="69" w:lineRule="exact"/>
        <w:rPr>
          <w:rFonts w:ascii="Times New Roman" w:cs="Times New Roman" w:eastAsia="Times New Roman" w:hAnsi="Times New Roman"/>
          <w:sz w:val="18"/>
          <w:szCs w:val="18"/>
          <w:color w:val="auto"/>
        </w:rPr>
      </w:pPr>
    </w:p>
    <w:p>
      <w:pPr>
        <w:ind w:left="426" w:right="560" w:hanging="426"/>
        <w:spacing w:after="0" w:line="277" w:lineRule="auto"/>
        <w:tabs>
          <w:tab w:leader="none" w:pos="42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permits you to revoke all or part of the trust and to have the trust’s assets returned to you, without the consent of any other person (including your spouse).</w:t>
      </w:r>
    </w:p>
    <w:p>
      <w:pPr>
        <w:spacing w:after="0" w:line="163" w:lineRule="exact"/>
        <w:rPr>
          <w:sz w:val="20"/>
          <w:szCs w:val="20"/>
          <w:color w:val="auto"/>
        </w:rPr>
      </w:pPr>
    </w:p>
    <w:p>
      <w:pPr>
        <w:ind w:left="6" w:right="340"/>
        <w:spacing w:after="0" w:line="262" w:lineRule="auto"/>
        <w:rPr>
          <w:sz w:val="20"/>
          <w:szCs w:val="20"/>
          <w:color w:val="auto"/>
        </w:rPr>
      </w:pPr>
      <w:r>
        <w:rPr>
          <w:rFonts w:ascii="Times New Roman" w:cs="Times New Roman" w:eastAsia="Times New Roman" w:hAnsi="Times New Roman"/>
          <w:sz w:val="18"/>
          <w:szCs w:val="18"/>
          <w:color w:val="auto"/>
        </w:rPr>
        <w:t>If you have the Purchased Shares issued to a trust that does not meet these requirements, then the transfer will be treated as a “disposition” for tax purposes. This means that the effect, for tax purposes, will be the same as selling the Purchased Shares. Please refer to the attached tax summary for additional information.</w:t>
      </w:r>
    </w:p>
    <w:p>
      <w:pPr>
        <w:spacing w:after="0" w:line="177" w:lineRule="exact"/>
        <w:rPr>
          <w:sz w:val="20"/>
          <w:szCs w:val="20"/>
          <w:color w:val="auto"/>
        </w:rPr>
      </w:pPr>
    </w:p>
    <w:p>
      <w:pPr>
        <w:ind w:left="6"/>
        <w:spacing w:after="0" w:line="262" w:lineRule="auto"/>
        <w:rPr>
          <w:sz w:val="20"/>
          <w:szCs w:val="20"/>
          <w:color w:val="auto"/>
        </w:rPr>
      </w:pPr>
      <w:r>
        <w:rPr>
          <w:rFonts w:ascii="Times New Roman" w:cs="Times New Roman" w:eastAsia="Times New Roman" w:hAnsi="Times New Roman"/>
          <w:sz w:val="18"/>
          <w:szCs w:val="18"/>
          <w:color w:val="auto"/>
        </w:rPr>
        <w:t>If you have the Purchased Shares issued to any trust, you will be required to sign a Stock Transfer Agreement in your capacity as trustee. Under the Stock Transfer Agreement, the Purchased Shares remain subject to the Company’s right of first refusal in accordance with the applicable Notice of Stock Option Grant and Stock Option Agreement.</w:t>
      </w:r>
    </w:p>
    <w:p>
      <w:pPr>
        <w:spacing w:after="0" w:line="17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4"/>
          <w:szCs w:val="14"/>
          <w:u w:val="single" w:color="auto"/>
          <w:color w:val="auto"/>
        </w:rPr>
        <w:t>HE</w:t>
      </w:r>
      <w:r>
        <w:rPr>
          <w:rFonts w:ascii="Times New Roman" w:cs="Times New Roman" w:eastAsia="Times New Roman" w:hAnsi="Times New Roman"/>
          <w:sz w:val="18"/>
          <w:szCs w:val="18"/>
          <w:u w:val="single" w:color="auto"/>
          <w:color w:val="auto"/>
        </w:rPr>
        <w:t xml:space="preserve"> C</w:t>
      </w:r>
      <w:r>
        <w:rPr>
          <w:rFonts w:ascii="Times New Roman" w:cs="Times New Roman" w:eastAsia="Times New Roman" w:hAnsi="Times New Roman"/>
          <w:sz w:val="14"/>
          <w:szCs w:val="14"/>
          <w:u w:val="single" w:color="auto"/>
          <w:color w:val="auto"/>
        </w:rPr>
        <w:t>OMPANY WILL NOT CHECK TO DETERMINE WHETHER THE FORM OF OWNERSHIP THAT YOU ELECT IN YOUR</w:t>
      </w:r>
      <w:r>
        <w:rPr>
          <w:rFonts w:ascii="Times New Roman" w:cs="Times New Roman" w:eastAsia="Times New Roman" w:hAnsi="Times New Roman"/>
          <w:sz w:val="18"/>
          <w:szCs w:val="18"/>
          <w:u w:val="single" w:color="auto"/>
          <w:color w:val="auto"/>
        </w:rPr>
        <w:t xml:space="preserve"> N</w:t>
      </w:r>
      <w:r>
        <w:rPr>
          <w:rFonts w:ascii="Times New Roman" w:cs="Times New Roman" w:eastAsia="Times New Roman" w:hAnsi="Times New Roman"/>
          <w:sz w:val="14"/>
          <w:szCs w:val="14"/>
          <w:u w:val="single" w:color="auto"/>
          <w:color w:val="auto"/>
        </w:rPr>
        <w:t>OTICE OF</w:t>
      </w:r>
      <w:r>
        <w:rPr>
          <w:rFonts w:ascii="Times New Roman" w:cs="Times New Roman" w:eastAsia="Times New Roman" w:hAnsi="Times New Roman"/>
          <w:sz w:val="18"/>
          <w:szCs w:val="18"/>
          <w:u w:val="single" w:color="auto"/>
          <w:color w:val="auto"/>
        </w:rPr>
        <w:t xml:space="preserve"> S</w:t>
      </w:r>
      <w:r>
        <w:rPr>
          <w:rFonts w:ascii="Times New Roman" w:cs="Times New Roman" w:eastAsia="Times New Roman" w:hAnsi="Times New Roman"/>
          <w:sz w:val="14"/>
          <w:szCs w:val="14"/>
          <w:u w:val="single" w:color="auto"/>
          <w:color w:val="auto"/>
        </w:rPr>
        <w:t>TOCK</w:t>
      </w:r>
      <w:r>
        <w:rPr>
          <w:rFonts w:ascii="Times New Roman" w:cs="Times New Roman" w:eastAsia="Times New Roman" w:hAnsi="Times New Roman"/>
          <w:sz w:val="18"/>
          <w:szCs w:val="18"/>
          <w:u w:val="single" w:color="auto"/>
          <w:color w:val="auto"/>
        </w:rPr>
        <w:t xml:space="preserve"> O</w:t>
      </w:r>
      <w:r>
        <w:rPr>
          <w:rFonts w:ascii="Times New Roman" w:cs="Times New Roman" w:eastAsia="Times New Roman" w:hAnsi="Times New Roman"/>
          <w:sz w:val="14"/>
          <w:szCs w:val="14"/>
          <w:u w:val="single" w:color="auto"/>
          <w:color w:val="auto"/>
        </w:rPr>
        <w:t>PTION</w:t>
      </w:r>
    </w:p>
    <w:p>
      <w:pPr>
        <w:spacing w:after="0" w:line="26" w:lineRule="exact"/>
        <w:rPr>
          <w:sz w:val="20"/>
          <w:szCs w:val="20"/>
          <w:color w:val="auto"/>
        </w:rPr>
      </w:pPr>
    </w:p>
    <w:p>
      <w:pPr>
        <w:ind w:left="6" w:right="60"/>
        <w:spacing w:after="0" w:line="255" w:lineRule="auto"/>
        <w:rPr>
          <w:sz w:val="20"/>
          <w:szCs w:val="20"/>
          <w:color w:val="auto"/>
        </w:rPr>
      </w:pP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4"/>
          <w:szCs w:val="14"/>
          <w:u w:val="single" w:color="auto"/>
          <w:color w:val="auto"/>
        </w:rPr>
        <w:t>XERCISE IS APPROPRIATE</w:t>
      </w:r>
      <w:r>
        <w:rPr>
          <w:rFonts w:ascii="Times New Roman" w:cs="Times New Roman" w:eastAsia="Times New Roman" w:hAnsi="Times New Roman"/>
          <w:sz w:val="18"/>
          <w:szCs w:val="18"/>
          <w:u w:val="single" w:color="auto"/>
          <w:color w:val="auto"/>
        </w:rPr>
        <w:t>. Y</w:t>
      </w:r>
      <w:r>
        <w:rPr>
          <w:rFonts w:ascii="Times New Roman" w:cs="Times New Roman" w:eastAsia="Times New Roman" w:hAnsi="Times New Roman"/>
          <w:sz w:val="14"/>
          <w:szCs w:val="14"/>
          <w:u w:val="single" w:color="auto"/>
          <w:color w:val="auto"/>
        </w:rPr>
        <w:t>OU SHOULD CONSULT YOUR OWN ADVISERS ON THIS SUBJECT</w:t>
      </w:r>
      <w:r>
        <w:rPr>
          <w:rFonts w:ascii="Times New Roman" w:cs="Times New Roman" w:eastAsia="Times New Roman" w:hAnsi="Times New Roman"/>
          <w:sz w:val="18"/>
          <w:szCs w:val="18"/>
          <w:u w:val="single" w:color="auto"/>
          <w:color w:val="auto"/>
        </w:rPr>
        <w:t>. I</w:t>
      </w:r>
      <w:r>
        <w:rPr>
          <w:rFonts w:ascii="Times New Roman" w:cs="Times New Roman" w:eastAsia="Times New Roman" w:hAnsi="Times New Roman"/>
          <w:sz w:val="14"/>
          <w:szCs w:val="14"/>
          <w:u w:val="single" w:color="auto"/>
          <w:color w:val="auto"/>
        </w:rPr>
        <w:t>F AN INAPPROPRIATE ELECTION IS MADE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4"/>
          <w:szCs w:val="14"/>
          <w:u w:val="single" w:color="auto"/>
          <w:color w:val="auto"/>
        </w:rPr>
        <w:t>THE FORM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4"/>
          <w:szCs w:val="14"/>
          <w:u w:val="single" w:color="auto"/>
          <w:color w:val="auto"/>
        </w:rPr>
        <w:t>OWNERSHIP MAY NOT WITHSTAND LEGAL SCRUTINY OR MAY HAVE ADVERSE TAX CONSEQUENCES</w:t>
      </w:r>
      <w:r>
        <w:rPr>
          <w:rFonts w:ascii="Times New Roman" w:cs="Times New Roman" w:eastAsia="Times New Roman" w:hAnsi="Times New Roman"/>
          <w:sz w:val="17"/>
          <w:szCs w:val="17"/>
          <w:u w:val="single" w:color="auto"/>
          <w:color w:val="auto"/>
        </w:rPr>
        <w:t>.</w:t>
      </w:r>
    </w:p>
    <w:p>
      <w:pPr>
        <w:spacing w:after="0" w:line="11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6"/>
          </w:cols>
          <w:pgMar w:left="494" w:top="267" w:right="519" w:bottom="1440" w:gutter="0" w:footer="0" w:header="0"/>
        </w:sectPr>
      </w:pPr>
    </w:p>
    <w:bookmarkStart w:id="465" w:name="page466"/>
    <w:bookmarkEnd w:id="465"/>
    <w:p>
      <w:pPr>
        <w:jc w:val="center"/>
        <w:ind w:right="-25"/>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w:t>
      </w:r>
      <w:r>
        <w:rPr>
          <w:rFonts w:ascii="Times New Roman" w:cs="Times New Roman" w:eastAsia="Times New Roman" w:hAnsi="Times New Roman"/>
          <w:sz w:val="14"/>
          <w:szCs w:val="14"/>
          <w:color w:val="auto"/>
        </w:rPr>
        <w:t>XPLANATION OF</w:t>
      </w:r>
      <w:r>
        <w:rPr>
          <w:rFonts w:ascii="Times New Roman" w:cs="Times New Roman" w:eastAsia="Times New Roman" w:hAnsi="Times New Roman"/>
          <w:sz w:val="18"/>
          <w:szCs w:val="18"/>
          <w:color w:val="auto"/>
        </w:rPr>
        <w:t xml:space="preserve"> U.S. F</w:t>
      </w:r>
      <w:r>
        <w:rPr>
          <w:rFonts w:ascii="Times New Roman" w:cs="Times New Roman" w:eastAsia="Times New Roman" w:hAnsi="Times New Roman"/>
          <w:sz w:val="14"/>
          <w:szCs w:val="14"/>
          <w:color w:val="auto"/>
        </w:rPr>
        <w:t>EDERAL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NCOME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AX</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ONSEQUENCES</w:t>
      </w:r>
    </w:p>
    <w:p>
      <w:pPr>
        <w:spacing w:after="0" w:line="26"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(Current as of August 2009)</w:t>
      </w:r>
    </w:p>
    <w:p>
      <w:pPr>
        <w:spacing w:after="0" w:line="20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URPOSE OF</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HIS</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XPLANATION</w:t>
      </w:r>
    </w:p>
    <w:p>
      <w:pPr>
        <w:spacing w:after="0" w:line="114" w:lineRule="exact"/>
        <w:rPr>
          <w:sz w:val="20"/>
          <w:szCs w:val="20"/>
          <w:color w:val="auto"/>
        </w:rPr>
      </w:pPr>
    </w:p>
    <w:p>
      <w:pPr>
        <w:ind w:left="6" w:right="40"/>
        <w:spacing w:after="0" w:line="277" w:lineRule="auto"/>
        <w:rPr>
          <w:sz w:val="20"/>
          <w:szCs w:val="20"/>
          <w:color w:val="auto"/>
        </w:rPr>
      </w:pPr>
      <w:r>
        <w:rPr>
          <w:rFonts w:ascii="Times New Roman" w:cs="Times New Roman" w:eastAsia="Times New Roman" w:hAnsi="Times New Roman"/>
          <w:sz w:val="18"/>
          <w:szCs w:val="18"/>
          <w:color w:val="auto"/>
        </w:rPr>
        <w:t>The purpose of this explanation is to provide you with a brief summary of the tax consequences of exercising your option. For a number of reasons, this explanation is no substitute for personal tax advice:</w:t>
      </w:r>
    </w:p>
    <w:p>
      <w:pPr>
        <w:spacing w:after="0" w:line="70" w:lineRule="exact"/>
        <w:rPr>
          <w:sz w:val="20"/>
          <w:szCs w:val="20"/>
          <w:color w:val="auto"/>
        </w:rPr>
      </w:pPr>
    </w:p>
    <w:p>
      <w:pPr>
        <w:ind w:left="426" w:hanging="426"/>
        <w:spacing w:after="0" w:line="277" w:lineRule="auto"/>
        <w:tabs>
          <w:tab w:leader="none" w:pos="42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the explanation short and readable, only the highlights are covered. Some tax rules are not addressed, even though they may be important in particular cases.</w:t>
      </w:r>
    </w:p>
    <w:p>
      <w:pPr>
        <w:spacing w:after="0" w:line="69"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summary attempts to deal with the most common situations, your own tax situation may well be different from the norm.</w:t>
      </w:r>
    </w:p>
    <w:p>
      <w:pPr>
        <w:spacing w:after="0" w:line="126" w:lineRule="exact"/>
        <w:rPr>
          <w:rFonts w:ascii="Times New Roman" w:cs="Times New Roman" w:eastAsia="Times New Roman" w:hAnsi="Times New Roman"/>
          <w:sz w:val="18"/>
          <w:szCs w:val="18"/>
          <w:color w:val="auto"/>
        </w:rPr>
      </w:pPr>
    </w:p>
    <w:p>
      <w:pPr>
        <w:ind w:left="426" w:right="140" w:hanging="426"/>
        <w:spacing w:after="0" w:line="277" w:lineRule="auto"/>
        <w:tabs>
          <w:tab w:leader="none" w:pos="42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income taxes are not addressed at all, even though they could have a significant impact on your tax planning. Likewise, federal gift and estate taxes and state inheritance taxes are not discussed.</w:t>
      </w:r>
    </w:p>
    <w:p>
      <w:pPr>
        <w:spacing w:after="0" w:line="69"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planning involving incentive stock options is exceedingly complex, in part because of the possible application of the alternative minimum tax.</w:t>
      </w:r>
    </w:p>
    <w:p>
      <w:pPr>
        <w:spacing w:after="0" w:line="138" w:lineRule="exact"/>
        <w:rPr>
          <w:rFonts w:ascii="Times New Roman" w:cs="Times New Roman" w:eastAsia="Times New Roman" w:hAnsi="Times New Roman"/>
          <w:sz w:val="17"/>
          <w:szCs w:val="17"/>
          <w:color w:val="auto"/>
        </w:rPr>
      </w:pPr>
    </w:p>
    <w:p>
      <w:pPr>
        <w:ind w:left="426" w:right="100" w:hanging="426"/>
        <w:spacing w:after="0" w:line="308" w:lineRule="auto"/>
        <w:tabs>
          <w:tab w:leader="none" w:pos="426"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explanation assumes that your option is not subject to section 409A of the Internal Revenue Code. However, the Company cannot be certain that section 409A is inapplicable to your option. (Please refer to the last segment of this summary for more information about section 409A.)</w:t>
      </w:r>
    </w:p>
    <w:p>
      <w:pPr>
        <w:spacing w:after="0" w:line="45" w:lineRule="exact"/>
        <w:rPr>
          <w:rFonts w:ascii="Times New Roman" w:cs="Times New Roman" w:eastAsia="Times New Roman" w:hAnsi="Times New Roman"/>
          <w:sz w:val="17"/>
          <w:szCs w:val="17"/>
          <w:color w:val="auto"/>
        </w:rPr>
      </w:pPr>
    </w:p>
    <w:p>
      <w:pPr>
        <w:ind w:left="426" w:hanging="426"/>
        <w:spacing w:after="0"/>
        <w:tabs>
          <w:tab w:leader="none" w:pos="42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rules change often, and the Company is not responsible for updating this summary. (Please refer to the date at the top of this page.)</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4"/>
          <w:szCs w:val="14"/>
          <w:u w:val="single" w:color="auto"/>
          <w:color w:val="auto"/>
        </w:rPr>
        <w:t>OR THESE REASONS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4"/>
          <w:szCs w:val="14"/>
          <w:u w:val="single" w:color="auto"/>
          <w:color w:val="auto"/>
        </w:rPr>
        <w:t>THE</w:t>
      </w:r>
      <w:r>
        <w:rPr>
          <w:rFonts w:ascii="Times New Roman" w:cs="Times New Roman" w:eastAsia="Times New Roman" w:hAnsi="Times New Roman"/>
          <w:sz w:val="18"/>
          <w:szCs w:val="18"/>
          <w:u w:val="single" w:color="auto"/>
          <w:color w:val="auto"/>
        </w:rPr>
        <w:t xml:space="preserve"> C</w:t>
      </w:r>
      <w:r>
        <w:rPr>
          <w:rFonts w:ascii="Times New Roman" w:cs="Times New Roman" w:eastAsia="Times New Roman" w:hAnsi="Times New Roman"/>
          <w:sz w:val="14"/>
          <w:szCs w:val="14"/>
          <w:u w:val="single" w:color="auto"/>
          <w:color w:val="auto"/>
        </w:rPr>
        <w:t>OMPANY STRONGLY ENCOURAGES YOU TO CONSULT YOUR OWN TAX ADVISER BEFORE EXERCISING YOUR OPTION</w:t>
      </w:r>
      <w:r>
        <w:rPr>
          <w:rFonts w:ascii="Times New Roman" w:cs="Times New Roman" w:eastAsia="Times New Roman" w:hAnsi="Times New Roman"/>
          <w:sz w:val="18"/>
          <w:szCs w:val="18"/>
          <w:u w:val="single" w:color="auto"/>
          <w:color w:val="auto"/>
        </w:rPr>
        <w:t>.</w:t>
      </w:r>
    </w:p>
    <w:p>
      <w:pPr>
        <w:spacing w:after="0" w:line="32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IMIT ON</w:t>
      </w:r>
      <w:r>
        <w:rPr>
          <w:rFonts w:ascii="Times New Roman" w:cs="Times New Roman" w:eastAsia="Times New Roman" w:hAnsi="Times New Roman"/>
          <w:sz w:val="18"/>
          <w:szCs w:val="18"/>
          <w:color w:val="auto"/>
        </w:rPr>
        <w:t xml:space="preserve"> ISO T</w:t>
      </w:r>
      <w:r>
        <w:rPr>
          <w:rFonts w:ascii="Times New Roman" w:cs="Times New Roman" w:eastAsia="Times New Roman" w:hAnsi="Times New Roman"/>
          <w:sz w:val="14"/>
          <w:szCs w:val="14"/>
          <w:color w:val="auto"/>
        </w:rPr>
        <w:t>REATMENT</w:t>
      </w:r>
    </w:p>
    <w:p>
      <w:pPr>
        <w:spacing w:after="0" w:line="114" w:lineRule="exact"/>
        <w:rPr>
          <w:sz w:val="20"/>
          <w:szCs w:val="20"/>
          <w:color w:val="auto"/>
        </w:rPr>
      </w:pPr>
    </w:p>
    <w:p>
      <w:pPr>
        <w:jc w:val="both"/>
        <w:ind w:left="6" w:right="60"/>
        <w:spacing w:after="0" w:line="257" w:lineRule="auto"/>
        <w:rPr>
          <w:sz w:val="20"/>
          <w:szCs w:val="20"/>
          <w:color w:val="auto"/>
        </w:rPr>
      </w:pPr>
      <w:r>
        <w:rPr>
          <w:rFonts w:ascii="Times New Roman" w:cs="Times New Roman" w:eastAsia="Times New Roman" w:hAnsi="Times New Roman"/>
          <w:sz w:val="18"/>
          <w:szCs w:val="18"/>
          <w:color w:val="auto"/>
        </w:rPr>
        <w:t>The Notice of Stock Option Grant indicates whether your option is a nonstatutory stock option (NSO) or an incentive stock option (ISO). The favorable tax treatment for ISOs is limited, regardless of what the Notice of Stock Option Grant indicates. Of the options that become exercisable in any calendar year, only options covering the first $100,000 of stock are eligible for ISO treatment. The excess over $100,000 automatically receives NSO treatment. For this purpose, stock is valued at the time of grant. This means that the value is generally equal to the exercise price.</w:t>
      </w:r>
    </w:p>
    <w:p>
      <w:pPr>
        <w:spacing w:after="0" w:line="182" w:lineRule="exact"/>
        <w:rPr>
          <w:sz w:val="20"/>
          <w:szCs w:val="20"/>
          <w:color w:val="auto"/>
        </w:rPr>
      </w:pPr>
    </w:p>
    <w:p>
      <w:pPr>
        <w:ind w:left="6" w:right="220"/>
        <w:spacing w:after="0" w:line="277" w:lineRule="auto"/>
        <w:rPr>
          <w:sz w:val="20"/>
          <w:szCs w:val="20"/>
          <w:color w:val="auto"/>
        </w:rPr>
      </w:pPr>
      <w:r>
        <w:rPr>
          <w:rFonts w:ascii="Times New Roman" w:cs="Times New Roman" w:eastAsia="Times New Roman" w:hAnsi="Times New Roman"/>
          <w:sz w:val="18"/>
          <w:szCs w:val="18"/>
          <w:color w:val="auto"/>
        </w:rPr>
        <w:t>For example, assume that you hold an option to buy 60,000 shares for $8 per share. Assume further that the entire option becomes exercisable in four equal annual installments. Only the</w:t>
      </w:r>
    </w:p>
    <w:p>
      <w:pPr>
        <w:spacing w:after="0" w:line="97"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66"/>
          </w:cols>
          <w:pgMar w:left="494" w:top="268" w:right="539" w:bottom="1440" w:gutter="0" w:footer="0" w:header="0"/>
        </w:sectPr>
      </w:pPr>
    </w:p>
    <w:bookmarkStart w:id="466" w:name="page467"/>
    <w:bookmarkEnd w:id="466"/>
    <w:p>
      <w:pPr>
        <w:ind w:left="6" w:right="40"/>
        <w:spacing w:after="0" w:line="30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first 50,000 shares qualify for ISO treatment. (12,500 times $8 equals $100,000.) The remaining 10,000 shares will be treated as if they had been acquired by exercising an NSO. This is true regardless of when the option is actually exercised; what matters is when it first could have been exercised.</w:t>
      </w:r>
    </w:p>
    <w:p>
      <w:pPr>
        <w:spacing w:after="0" w:line="24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XERCISE OF</w:t>
      </w:r>
      <w:r>
        <w:rPr>
          <w:rFonts w:ascii="Times New Roman" w:cs="Times New Roman" w:eastAsia="Times New Roman" w:hAnsi="Times New Roman"/>
          <w:sz w:val="18"/>
          <w:szCs w:val="18"/>
          <w:color w:val="auto"/>
        </w:rPr>
        <w:t xml:space="preserve"> NSO</w:t>
      </w:r>
    </w:p>
    <w:p>
      <w:pPr>
        <w:spacing w:after="0" w:line="114" w:lineRule="exact"/>
        <w:rPr>
          <w:sz w:val="20"/>
          <w:szCs w:val="20"/>
          <w:color w:val="auto"/>
        </w:rPr>
      </w:pPr>
    </w:p>
    <w:p>
      <w:pPr>
        <w:ind w:left="6" w:right="60"/>
        <w:spacing w:after="0" w:line="257" w:lineRule="auto"/>
        <w:rPr>
          <w:sz w:val="20"/>
          <w:szCs w:val="20"/>
          <w:color w:val="auto"/>
        </w:rPr>
      </w:pPr>
      <w:r>
        <w:rPr>
          <w:rFonts w:ascii="Times New Roman" w:cs="Times New Roman" w:eastAsia="Times New Roman" w:hAnsi="Times New Roman"/>
          <w:sz w:val="18"/>
          <w:szCs w:val="18"/>
          <w:color w:val="auto"/>
        </w:rPr>
        <w:t>If you are exercising an NSO, you will be taxed now. You will recognize ordinary income in an amount equal to the excess of (a) the fair market value of the Purchased Shares on the date of exercise over (b) the exercise price you are paying. If you are an employee or former employee of the Company, this amount is subject to withholding for income and payroll taxes. Your tax basis in the Purchased Shares (to calculate capital gain when you sell the shares) is equal to their fair market value on the date of exercise.</w:t>
      </w:r>
    </w:p>
    <w:p>
      <w:pPr>
        <w:spacing w:after="0" w:line="28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ISPOSITION OF</w:t>
      </w:r>
      <w:r>
        <w:rPr>
          <w:rFonts w:ascii="Times New Roman" w:cs="Times New Roman" w:eastAsia="Times New Roman" w:hAnsi="Times New Roman"/>
          <w:sz w:val="18"/>
          <w:szCs w:val="18"/>
          <w:color w:val="auto"/>
        </w:rPr>
        <w:t xml:space="preserve"> NSO S</w:t>
      </w:r>
      <w:r>
        <w:rPr>
          <w:rFonts w:ascii="Times New Roman" w:cs="Times New Roman" w:eastAsia="Times New Roman" w:hAnsi="Times New Roman"/>
          <w:sz w:val="14"/>
          <w:szCs w:val="14"/>
          <w:color w:val="auto"/>
        </w:rPr>
        <w:t>HARES</w:t>
      </w:r>
    </w:p>
    <w:p>
      <w:pPr>
        <w:spacing w:after="0" w:line="114" w:lineRule="exact"/>
        <w:rPr>
          <w:sz w:val="20"/>
          <w:szCs w:val="20"/>
          <w:color w:val="auto"/>
        </w:rPr>
      </w:pPr>
    </w:p>
    <w:p>
      <w:pPr>
        <w:ind w:left="6" w:right="100"/>
        <w:spacing w:after="0" w:line="255" w:lineRule="auto"/>
        <w:rPr>
          <w:sz w:val="20"/>
          <w:szCs w:val="20"/>
          <w:color w:val="auto"/>
        </w:rPr>
      </w:pPr>
      <w:r>
        <w:rPr>
          <w:rFonts w:ascii="Times New Roman" w:cs="Times New Roman" w:eastAsia="Times New Roman" w:hAnsi="Times New Roman"/>
          <w:sz w:val="18"/>
          <w:szCs w:val="18"/>
          <w:color w:val="auto"/>
        </w:rPr>
        <w:t>When you dispose of the Purchased Shares, you will recognize a capital gain equal to the excess of (a) the sale proceeds over (b) your tax basis in the Purchased Shares. As described above, your tax basis in the Purchased Shares is equal to their fair market value on the date of exercise. If the sale proceeds are less than your tax basis, you will recognize a capital loss. The capital gain or loss will be long-term if you held the Purchased Shares for more than 12 months. The holding period starts when you exercise your NSO. In general, the maximum marginal federal income tax rate on long-term capital gains is 15% under current law.</w:t>
      </w:r>
    </w:p>
    <w:p>
      <w:pPr>
        <w:spacing w:after="0" w:line="29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XERCISE OF</w:t>
      </w:r>
      <w:r>
        <w:rPr>
          <w:rFonts w:ascii="Times New Roman" w:cs="Times New Roman" w:eastAsia="Times New Roman" w:hAnsi="Times New Roman"/>
          <w:sz w:val="18"/>
          <w:szCs w:val="18"/>
          <w:color w:val="auto"/>
        </w:rPr>
        <w:t xml:space="preserve"> ISO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8"/>
          <w:szCs w:val="18"/>
          <w:color w:val="auto"/>
        </w:rPr>
        <w:t xml:space="preserve"> ISO H</w:t>
      </w:r>
      <w:r>
        <w:rPr>
          <w:rFonts w:ascii="Times New Roman" w:cs="Times New Roman" w:eastAsia="Times New Roman" w:hAnsi="Times New Roman"/>
          <w:sz w:val="14"/>
          <w:szCs w:val="14"/>
          <w:color w:val="auto"/>
        </w:rPr>
        <w:t>OLDING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ERIODS</w:t>
      </w:r>
    </w:p>
    <w:p>
      <w:pPr>
        <w:spacing w:after="0" w:line="114" w:lineRule="exact"/>
        <w:rPr>
          <w:sz w:val="20"/>
          <w:szCs w:val="20"/>
          <w:color w:val="auto"/>
        </w:rPr>
      </w:pPr>
    </w:p>
    <w:p>
      <w:pPr>
        <w:ind w:left="6" w:right="20"/>
        <w:spacing w:after="0" w:line="222" w:lineRule="auto"/>
        <w:rPr>
          <w:sz w:val="20"/>
          <w:szCs w:val="20"/>
          <w:color w:val="auto"/>
        </w:rPr>
      </w:pPr>
      <w:r>
        <w:rPr>
          <w:rFonts w:ascii="Times New Roman" w:cs="Times New Roman" w:eastAsia="Times New Roman" w:hAnsi="Times New Roman"/>
          <w:sz w:val="18"/>
          <w:szCs w:val="18"/>
          <w:color w:val="auto"/>
        </w:rPr>
        <w:t>If you are exercising an ISO, you will not be taxed under the regular tax rules until you dispose of the Purchased Shares.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(The alternative minimum tax rules are described below.) The tax treatment at the time of disposition depends on how long you hold the shares. You will satisfy the ISO holding periods if you hold the Purchased Shares until the later of the following dates:</w:t>
      </w:r>
    </w:p>
    <w:p>
      <w:pPr>
        <w:spacing w:after="0" w:line="102" w:lineRule="exact"/>
        <w:rPr>
          <w:sz w:val="20"/>
          <w:szCs w:val="20"/>
          <w:color w:val="auto"/>
        </w:rPr>
      </w:pPr>
    </w:p>
    <w:p>
      <w:pPr>
        <w:ind w:left="426" w:hanging="426"/>
        <w:spacing w:after="0"/>
        <w:tabs>
          <w:tab w:leader="none" w:pos="426"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two years after the ISO was granted, and</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one year after the ISO is exercised.</w:t>
      </w:r>
    </w:p>
    <w:p>
      <w:pPr>
        <w:spacing w:after="0" w:line="32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ISPOSITION OF</w:t>
      </w:r>
      <w:r>
        <w:rPr>
          <w:rFonts w:ascii="Times New Roman" w:cs="Times New Roman" w:eastAsia="Times New Roman" w:hAnsi="Times New Roman"/>
          <w:sz w:val="18"/>
          <w:szCs w:val="18"/>
          <w:color w:val="auto"/>
        </w:rPr>
        <w:t xml:space="preserve"> ISO S</w:t>
      </w:r>
      <w:r>
        <w:rPr>
          <w:rFonts w:ascii="Times New Roman" w:cs="Times New Roman" w:eastAsia="Times New Roman" w:hAnsi="Times New Roman"/>
          <w:sz w:val="14"/>
          <w:szCs w:val="14"/>
          <w:color w:val="auto"/>
        </w:rPr>
        <w:t>HARES</w:t>
      </w:r>
    </w:p>
    <w:p>
      <w:pPr>
        <w:spacing w:after="0" w:line="114" w:lineRule="exact"/>
        <w:rPr>
          <w:sz w:val="20"/>
          <w:szCs w:val="20"/>
          <w:color w:val="auto"/>
        </w:rPr>
      </w:pPr>
    </w:p>
    <w:p>
      <w:pPr>
        <w:ind w:left="6"/>
        <w:spacing w:after="0" w:line="262" w:lineRule="auto"/>
        <w:rPr>
          <w:sz w:val="20"/>
          <w:szCs w:val="20"/>
          <w:color w:val="auto"/>
        </w:rPr>
      </w:pPr>
      <w:r>
        <w:rPr>
          <w:rFonts w:ascii="Times New Roman" w:cs="Times New Roman" w:eastAsia="Times New Roman" w:hAnsi="Times New Roman"/>
          <w:sz w:val="18"/>
          <w:szCs w:val="18"/>
          <w:color w:val="auto"/>
        </w:rPr>
        <w:t>If you dispose of the Purchased Shares after satisfying both of the ISO holding periods, then you will recognize only a long-term capital gain at the time of disposition. The amount of the capital gain is equal to the excess of (a) the sale proceeds over (b) the exercise price. In general, the maximum marginal federal income tax rate on long-term capital gains is 15% under current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234315</wp:posOffset>
            </wp:positionV>
            <wp:extent cx="75501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88">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371" w:lineRule="exact"/>
        <w:rPr>
          <w:sz w:val="20"/>
          <w:szCs w:val="20"/>
          <w:color w:val="auto"/>
        </w:rPr>
      </w:pPr>
    </w:p>
    <w:p>
      <w:pPr>
        <w:ind w:left="426" w:right="40" w:hanging="426"/>
        <w:spacing w:after="0" w:line="225" w:lineRule="auto"/>
        <w:tabs>
          <w:tab w:leader="none" w:pos="426" w:val="left"/>
        </w:tabs>
        <w:numPr>
          <w:ilvl w:val="0"/>
          <w:numId w:val="25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Generally, a “disposition” of shares purchased under an ISO encompasses any transfer of legal title, such as a transfer by sale, exchange or gift. It generally does not include a transfer to your spouse, a transfer into joint ownership with right of survivorship (if you remain one of the joint owners), a pledge, a transfer by bequest or inheritance, or certain tax-free exchanges permitted under the Internal Revenue Code. A transfer to a trust is a “disposition” unless the trust is an eligible revocable trust, as described in the attached explanation.</w:t>
      </w:r>
    </w:p>
    <w:p>
      <w:pPr>
        <w:spacing w:after="0" w:line="129" w:lineRule="exact"/>
        <w:rPr>
          <w:sz w:val="20"/>
          <w:szCs w:val="20"/>
          <w:color w:val="auto"/>
        </w:rPr>
      </w:pPr>
    </w:p>
    <w:p>
      <w:pPr>
        <w:jc w:val="center"/>
        <w:ind w:right="-65"/>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26"/>
          </w:cols>
          <w:pgMar w:left="494" w:top="268" w:right="579" w:bottom="1440" w:gutter="0" w:footer="0" w:header="0"/>
        </w:sectPr>
      </w:pPr>
    </w:p>
    <w:bookmarkStart w:id="467" w:name="page468"/>
    <w:bookmarkEnd w:id="467"/>
    <w:p>
      <w:pPr>
        <w:ind w:left="6" w:right="12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If you dispose of the Purchased Shares before either or both of the ISO holding periods are met, then you will recognize ordinary income at the time of disposition. The amount of ordinary income will be equal to the excess of (a) the fair market value of the Purchased Shares on the date of exercise over</w:t>
      </w:r>
    </w:p>
    <w:p>
      <w:pPr>
        <w:ind w:left="6" w:right="280" w:hanging="6"/>
        <w:spacing w:after="0" w:line="255" w:lineRule="auto"/>
        <w:tabs>
          <w:tab w:leader="none" w:pos="258"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But if the disposition is an arm’s length sale to an unrelated party, the amount of ordinary income will not exceed the total gain from the sale. Under current IRS rules, the ordinary income amount will not be subject to withholding for income or payroll taxes.</w:t>
      </w:r>
    </w:p>
    <w:p>
      <w:pPr>
        <w:spacing w:after="0" w:line="182" w:lineRule="exact"/>
        <w:rPr>
          <w:sz w:val="20"/>
          <w:szCs w:val="20"/>
          <w:color w:val="auto"/>
        </w:rPr>
      </w:pPr>
    </w:p>
    <w:p>
      <w:pPr>
        <w:ind w:left="6" w:right="20"/>
        <w:spacing w:after="0" w:line="277" w:lineRule="auto"/>
        <w:rPr>
          <w:sz w:val="20"/>
          <w:szCs w:val="20"/>
          <w:color w:val="auto"/>
        </w:rPr>
      </w:pPr>
      <w:r>
        <w:rPr>
          <w:rFonts w:ascii="Times New Roman" w:cs="Times New Roman" w:eastAsia="Times New Roman" w:hAnsi="Times New Roman"/>
          <w:sz w:val="18"/>
          <w:szCs w:val="18"/>
          <w:color w:val="auto"/>
        </w:rPr>
        <w:t>Your tax basis in the Purchased Shares will be equal to their fair market value on the date of exercise. Any gain in excess of your basis will be taxed as a capital gain—either long-term or short-term, depending on how long you held the Purchased Shares after the date of exercise.</w:t>
      </w:r>
    </w:p>
    <w:p>
      <w:pPr>
        <w:spacing w:after="0" w:line="2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UMMARY OF</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LTERNATIVE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INIMUM</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AX</w:t>
      </w:r>
    </w:p>
    <w:p>
      <w:pPr>
        <w:spacing w:after="0" w:line="114" w:lineRule="exact"/>
        <w:rPr>
          <w:sz w:val="20"/>
          <w:szCs w:val="20"/>
          <w:color w:val="auto"/>
        </w:rPr>
      </w:pPr>
    </w:p>
    <w:p>
      <w:pPr>
        <w:jc w:val="both"/>
        <w:ind w:left="6" w:right="320"/>
        <w:spacing w:after="0" w:line="285" w:lineRule="auto"/>
        <w:rPr>
          <w:sz w:val="20"/>
          <w:szCs w:val="20"/>
          <w:color w:val="auto"/>
        </w:rPr>
      </w:pPr>
      <w:r>
        <w:rPr>
          <w:rFonts w:ascii="Times New Roman" w:cs="Times New Roman" w:eastAsia="Times New Roman" w:hAnsi="Times New Roman"/>
          <w:sz w:val="17"/>
          <w:szCs w:val="17"/>
          <w:color w:val="auto"/>
        </w:rPr>
        <w:t>The alternative minimum tax (AMT) must be paid if it exceeds your regular income tax. The AMT is equal to 26% of your alternative minimum tax base up to $175,000 and 28% of the excess over $175,000. (In the case of married individuals filing separately, the breakpoint is $87,500 rather than $175,000.) Your alternative minimum tax base is equal to your alternative minimum taxable income (AMTI) minus your exemption amount.</w:t>
      </w:r>
    </w:p>
    <w:p>
      <w:pPr>
        <w:spacing w:after="0" w:line="65" w:lineRule="exact"/>
        <w:rPr>
          <w:sz w:val="20"/>
          <w:szCs w:val="20"/>
          <w:color w:val="auto"/>
        </w:rPr>
      </w:pPr>
    </w:p>
    <w:p>
      <w:pPr>
        <w:ind w:left="426" w:right="40" w:hanging="426"/>
        <w:spacing w:after="0" w:line="277" w:lineRule="auto"/>
        <w:tabs>
          <w:tab w:leader="none" w:pos="42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native Minimum Taxable Income. Your AMTI is equal to your regular taxable income, subject to certain adjustments and increased by items of tax preference. Among the many adjustments made in computing AMTI are the following:</w:t>
      </w:r>
    </w:p>
    <w:p>
      <w:pPr>
        <w:spacing w:after="0" w:line="69" w:lineRule="exact"/>
        <w:rPr>
          <w:rFonts w:ascii="Times New Roman" w:cs="Times New Roman" w:eastAsia="Times New Roman" w:hAnsi="Times New Roman"/>
          <w:sz w:val="18"/>
          <w:szCs w:val="18"/>
          <w:color w:val="auto"/>
        </w:rPr>
      </w:pPr>
    </w:p>
    <w:p>
      <w:pPr>
        <w:ind w:left="966" w:hanging="539"/>
        <w:spacing w:after="0"/>
        <w:tabs>
          <w:tab w:leader="none" w:pos="966"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local income and property taxes are not allowed as a deduction.</w:t>
      </w:r>
    </w:p>
    <w:p>
      <w:pPr>
        <w:spacing w:after="0" w:line="126" w:lineRule="exact"/>
        <w:rPr>
          <w:rFonts w:ascii="Times New Roman" w:cs="Times New Roman" w:eastAsia="Times New Roman" w:hAnsi="Times New Roman"/>
          <w:sz w:val="18"/>
          <w:szCs w:val="18"/>
          <w:color w:val="auto"/>
        </w:rPr>
      </w:pPr>
    </w:p>
    <w:p>
      <w:pPr>
        <w:ind w:left="966" w:hanging="539"/>
        <w:spacing w:after="0"/>
        <w:tabs>
          <w:tab w:leader="none" w:pos="966"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 itemized deductions are not allowed.</w:t>
      </w:r>
    </w:p>
    <w:p>
      <w:pPr>
        <w:spacing w:after="0" w:line="126" w:lineRule="exact"/>
        <w:rPr>
          <w:rFonts w:ascii="Times New Roman" w:cs="Times New Roman" w:eastAsia="Times New Roman" w:hAnsi="Times New Roman"/>
          <w:sz w:val="18"/>
          <w:szCs w:val="18"/>
          <w:color w:val="auto"/>
        </w:rPr>
      </w:pPr>
    </w:p>
    <w:p>
      <w:pPr>
        <w:ind w:left="966" w:hanging="539"/>
        <w:spacing w:after="0" w:line="277" w:lineRule="auto"/>
        <w:tabs>
          <w:tab w:leader="none" w:pos="966"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expenses are not allowed as a deduction until they exceed 10% of adjusted gross income (as opposed to the 7.5% floor that applies to regular income taxes).</w:t>
      </w:r>
    </w:p>
    <w:p>
      <w:pPr>
        <w:spacing w:after="0" w:line="69" w:lineRule="exact"/>
        <w:rPr>
          <w:rFonts w:ascii="Times New Roman" w:cs="Times New Roman" w:eastAsia="Times New Roman" w:hAnsi="Times New Roman"/>
          <w:sz w:val="18"/>
          <w:szCs w:val="18"/>
          <w:color w:val="auto"/>
        </w:rPr>
      </w:pPr>
    </w:p>
    <w:p>
      <w:pPr>
        <w:ind w:left="966" w:hanging="539"/>
        <w:spacing w:after="0"/>
        <w:tabs>
          <w:tab w:leader="none" w:pos="966"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interest deductions are not allowed.</w:t>
      </w:r>
    </w:p>
    <w:p>
      <w:pPr>
        <w:spacing w:after="0" w:line="126" w:lineRule="exact"/>
        <w:rPr>
          <w:rFonts w:ascii="Times New Roman" w:cs="Times New Roman" w:eastAsia="Times New Roman" w:hAnsi="Times New Roman"/>
          <w:sz w:val="18"/>
          <w:szCs w:val="18"/>
          <w:color w:val="auto"/>
        </w:rPr>
      </w:pPr>
    </w:p>
    <w:p>
      <w:pPr>
        <w:ind w:left="966" w:hanging="539"/>
        <w:spacing w:after="0"/>
        <w:tabs>
          <w:tab w:leader="none" w:pos="966"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standard deduction and personal exemptions are not allowed.</w:t>
      </w:r>
    </w:p>
    <w:p>
      <w:pPr>
        <w:spacing w:after="0" w:line="126" w:lineRule="exact"/>
        <w:rPr>
          <w:rFonts w:ascii="Times New Roman" w:cs="Times New Roman" w:eastAsia="Times New Roman" w:hAnsi="Times New Roman"/>
          <w:sz w:val="18"/>
          <w:szCs w:val="18"/>
          <w:color w:val="auto"/>
        </w:rPr>
      </w:pPr>
    </w:p>
    <w:p>
      <w:pPr>
        <w:ind w:left="966" w:hanging="539"/>
        <w:spacing w:after="0"/>
        <w:tabs>
          <w:tab w:leader="none" w:pos="966"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 ISO is exercised, the spread is treated as if the option were an NSO. (See discussion below.)</w:t>
      </w:r>
    </w:p>
    <w:p>
      <w:pPr>
        <w:spacing w:after="0" w:line="15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6"/>
          </w:cols>
          <w:pgMar w:left="494" w:top="268" w:right="519" w:bottom="1440" w:gutter="0" w:footer="0" w:header="0"/>
        </w:sectPr>
      </w:pPr>
    </w:p>
    <w:bookmarkStart w:id="468" w:name="page469"/>
    <w:bookmarkEnd w:id="468"/>
    <w:p>
      <w:pPr>
        <w:ind w:left="426" w:right="500" w:hanging="426"/>
        <w:spacing w:after="0" w:line="277" w:lineRule="auto"/>
        <w:tabs>
          <w:tab w:leader="none" w:pos="42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Exemption Amount. Before AMT is calculated, AMTI is reduced by the exemption amount. Under current law, the exemption amount is as follows:</w:t>
      </w:r>
    </w:p>
    <w:p>
      <w:pPr>
        <w:spacing w:after="0" w:line="186" w:lineRule="exact"/>
        <w:rPr>
          <w:sz w:val="20"/>
          <w:szCs w:val="20"/>
          <w:color w:val="auto"/>
        </w:rPr>
      </w:pPr>
    </w:p>
    <w:tbl>
      <w:tblPr>
        <w:tblLayout w:type="fixed"/>
        <w:tblInd w:w="866" w:type="dxa"/>
        <w:tblCellMar>
          <w:top w:w="0" w:type="dxa"/>
          <w:left w:w="0" w:type="dxa"/>
          <w:bottom w:w="0" w:type="dxa"/>
          <w:right w:w="0" w:type="dxa"/>
        </w:tblCellMar>
      </w:tblPr>
      <w:tr>
        <w:trPr>
          <w:trHeight w:val="170"/>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w w:val="96"/>
              </w:rPr>
              <w:t>Year:</w:t>
            </w:r>
          </w:p>
        </w:tc>
        <w:tc>
          <w:tcPr>
            <w:tcW w:w="49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Joint Returns:</w:t>
            </w:r>
          </w:p>
        </w:tc>
        <w:tc>
          <w:tcPr>
            <w:tcW w:w="58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9"/>
              </w:rPr>
              <w:t>Single Returns:</w:t>
            </w:r>
          </w:p>
        </w:tc>
        <w:tc>
          <w:tcPr>
            <w:tcW w:w="6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Separate Returns:</w:t>
            </w:r>
          </w:p>
        </w:tc>
      </w:tr>
      <w:tr>
        <w:trPr>
          <w:trHeight w:val="20"/>
        </w:trPr>
        <w:tc>
          <w:tcPr>
            <w:tcW w:w="320" w:type="dxa"/>
            <w:vAlign w:val="bottom"/>
            <w:tcBorders>
              <w:top w:val="single" w:sz="8" w:color="auto"/>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4"/>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2009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70,950</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46,700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35,475</w:t>
            </w:r>
          </w:p>
        </w:tc>
      </w:tr>
      <w:tr>
        <w:trPr>
          <w:trHeight w:val="352"/>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2009</w:t>
            </w:r>
            <w:r>
              <w:rPr>
                <w:rFonts w:ascii="Times New Roman" w:cs="Times New Roman" w:eastAsia="Times New Roman" w:hAnsi="Times New Roman"/>
                <w:sz w:val="26"/>
                <w:szCs w:val="26"/>
                <w:color w:val="auto"/>
                <w:vertAlign w:val="superscript"/>
              </w:rPr>
              <w:t>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45,000</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33,750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22,500</w:t>
            </w:r>
          </w:p>
        </w:tc>
      </w:tr>
    </w:tbl>
    <w:p>
      <w:pPr>
        <w:spacing w:after="0" w:line="58"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The exemption amount is phased out by 25 cents for each $1 by which AMTI exceeds the following levels:</w:t>
      </w:r>
    </w:p>
    <w:p>
      <w:pPr>
        <w:spacing w:after="0" w:line="247" w:lineRule="exact"/>
        <w:rPr>
          <w:sz w:val="20"/>
          <w:szCs w:val="20"/>
          <w:color w:val="auto"/>
        </w:rPr>
      </w:pPr>
    </w:p>
    <w:p>
      <w:pPr>
        <w:ind w:left="866"/>
        <w:spacing w:after="0"/>
        <w:tabs>
          <w:tab w:leader="none" w:pos="5286" w:val="left"/>
          <w:tab w:leader="none" w:pos="8126" w:val="left"/>
        </w:tabs>
        <w:rPr>
          <w:sz w:val="20"/>
          <w:szCs w:val="20"/>
          <w:color w:val="auto"/>
        </w:rPr>
      </w:pPr>
      <w:r>
        <w:rPr>
          <w:rFonts w:ascii="Times New Roman" w:cs="Times New Roman" w:eastAsia="Times New Roman" w:hAnsi="Times New Roman"/>
          <w:sz w:val="18"/>
          <w:szCs w:val="18"/>
          <w:color w:val="auto"/>
        </w:rPr>
        <w:t>Joint Returns: $150,000</w:t>
      </w:r>
      <w:r>
        <w:rPr>
          <w:sz w:val="20"/>
          <w:szCs w:val="20"/>
          <w:color w:val="auto"/>
        </w:rPr>
        <w:tab/>
      </w:r>
      <w:r>
        <w:rPr>
          <w:rFonts w:ascii="Times New Roman" w:cs="Times New Roman" w:eastAsia="Times New Roman" w:hAnsi="Times New Roman"/>
          <w:sz w:val="18"/>
          <w:szCs w:val="18"/>
          <w:color w:val="auto"/>
        </w:rPr>
        <w:t>Single Returns: $112,500</w:t>
      </w:r>
      <w:r>
        <w:rPr>
          <w:sz w:val="20"/>
          <w:szCs w:val="20"/>
          <w:color w:val="auto"/>
        </w:rPr>
        <w:tab/>
      </w:r>
      <w:r>
        <w:rPr>
          <w:rFonts w:ascii="Times New Roman" w:cs="Times New Roman" w:eastAsia="Times New Roman" w:hAnsi="Times New Roman"/>
          <w:sz w:val="17"/>
          <w:szCs w:val="17"/>
          <w:color w:val="auto"/>
        </w:rPr>
        <w:t>Separate Returns: $75,000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-119380</wp:posOffset>
            </wp:positionV>
            <wp:extent cx="5810250" cy="135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91">
                      <a:extLst>
                        <a:ext uri="{28A0092B-C50C-407E-A947-70E740481C1C}"/>
                      </a:extLst>
                    </a:blip>
                    <a:srcRect/>
                    <a:stretch>
                      <a:fillRect/>
                    </a:stretch>
                  </pic:blipFill>
                  <pic:spPr bwMode="auto">
                    <a:xfrm>
                      <a:off x="0" y="0"/>
                      <a:ext cx="5810250" cy="135890"/>
                    </a:xfrm>
                    <a:prstGeom prst="rect">
                      <a:avLst/>
                    </a:prstGeom>
                    <a:noFill/>
                  </pic:spPr>
                </pic:pic>
              </a:graphicData>
            </a:graphic>
          </wp:anchor>
        </w:drawing>
      </w:r>
    </w:p>
    <w:p>
      <w:pPr>
        <w:spacing w:after="0" w:line="200" w:lineRule="exact"/>
        <w:rPr>
          <w:sz w:val="20"/>
          <w:szCs w:val="20"/>
          <w:color w:val="auto"/>
        </w:rPr>
      </w:pPr>
    </w:p>
    <w:p>
      <w:pPr>
        <w:ind w:left="426" w:right="280"/>
        <w:spacing w:after="0" w:line="277" w:lineRule="auto"/>
        <w:rPr>
          <w:sz w:val="20"/>
          <w:szCs w:val="20"/>
          <w:color w:val="auto"/>
        </w:rPr>
      </w:pPr>
      <w:r>
        <w:rPr>
          <w:rFonts w:ascii="Times New Roman" w:cs="Times New Roman" w:eastAsia="Times New Roman" w:hAnsi="Times New Roman"/>
          <w:sz w:val="18"/>
          <w:szCs w:val="18"/>
          <w:color w:val="auto"/>
        </w:rPr>
        <w:t>This means, for example, that the entire $70,950 exemption amount disappears for married individuals filing joint returns when AMTI reaches $433,800.</w:t>
      </w:r>
    </w:p>
    <w:p>
      <w:pPr>
        <w:spacing w:after="0" w:line="2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PPLICATION OF</w:t>
      </w:r>
      <w:r>
        <w:rPr>
          <w:rFonts w:ascii="Times New Roman" w:cs="Times New Roman" w:eastAsia="Times New Roman" w:hAnsi="Times New Roman"/>
          <w:sz w:val="18"/>
          <w:szCs w:val="18"/>
          <w:color w:val="auto"/>
        </w:rPr>
        <w:t xml:space="preserve"> AMT W</w:t>
      </w:r>
      <w:r>
        <w:rPr>
          <w:rFonts w:ascii="Times New Roman" w:cs="Times New Roman" w:eastAsia="Times New Roman" w:hAnsi="Times New Roman"/>
          <w:sz w:val="14"/>
          <w:szCs w:val="14"/>
          <w:color w:val="auto"/>
        </w:rPr>
        <w:t>HEN</w:t>
      </w:r>
      <w:r>
        <w:rPr>
          <w:rFonts w:ascii="Times New Roman" w:cs="Times New Roman" w:eastAsia="Times New Roman" w:hAnsi="Times New Roman"/>
          <w:sz w:val="18"/>
          <w:szCs w:val="18"/>
          <w:color w:val="auto"/>
        </w:rPr>
        <w:t xml:space="preserve"> ISO I</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XERCISED</w:t>
      </w:r>
    </w:p>
    <w:p>
      <w:pPr>
        <w:spacing w:after="0" w:line="114" w:lineRule="exact"/>
        <w:rPr>
          <w:sz w:val="20"/>
          <w:szCs w:val="20"/>
          <w:color w:val="auto"/>
        </w:rPr>
      </w:pPr>
    </w:p>
    <w:p>
      <w:pPr>
        <w:ind w:left="6" w:right="100"/>
        <w:spacing w:after="0" w:line="277" w:lineRule="auto"/>
        <w:rPr>
          <w:sz w:val="20"/>
          <w:szCs w:val="20"/>
          <w:color w:val="auto"/>
        </w:rPr>
      </w:pPr>
      <w:r>
        <w:rPr>
          <w:rFonts w:ascii="Times New Roman" w:cs="Times New Roman" w:eastAsia="Times New Roman" w:hAnsi="Times New Roman"/>
          <w:sz w:val="18"/>
          <w:szCs w:val="18"/>
          <w:color w:val="auto"/>
        </w:rPr>
        <w:t>As noted above, when an ISO is exercised, the spread is treated for AMT purposes as if the option were an NSO. In other words, the spread is included in AMTI at the time of exercise.</w:t>
      </w:r>
    </w:p>
    <w:p>
      <w:pPr>
        <w:spacing w:after="0" w:line="163" w:lineRule="exact"/>
        <w:rPr>
          <w:sz w:val="20"/>
          <w:szCs w:val="20"/>
          <w:color w:val="auto"/>
        </w:rPr>
      </w:pPr>
    </w:p>
    <w:p>
      <w:pPr>
        <w:ind w:left="6" w:right="40"/>
        <w:spacing w:after="0" w:line="273" w:lineRule="auto"/>
        <w:rPr>
          <w:sz w:val="20"/>
          <w:szCs w:val="20"/>
          <w:color w:val="auto"/>
        </w:rPr>
      </w:pPr>
      <w:r>
        <w:rPr>
          <w:rFonts w:ascii="Times New Roman" w:cs="Times New Roman" w:eastAsia="Times New Roman" w:hAnsi="Times New Roman"/>
          <w:sz w:val="18"/>
          <w:szCs w:val="18"/>
          <w:color w:val="auto"/>
        </w:rPr>
        <w:t>A special rule applies if you dispose of the Purchased Shares in the same year in which you exercised the ISO. If the amount you realize on the sale is less than the value of the stock at the time of exercise, then the amount includible in AMTI on account of the ISO exercise is limited to the gain realized on the sale.</w:t>
      </w:r>
      <w:r>
        <w:rPr>
          <w:rFonts w:ascii="Times New Roman" w:cs="Times New Roman" w:eastAsia="Times New Roman" w:hAnsi="Times New Roman"/>
          <w:sz w:val="26"/>
          <w:szCs w:val="26"/>
          <w:color w:val="auto"/>
          <w:vertAlign w:val="superscript"/>
        </w:rPr>
        <w:t>3</w:t>
      </w:r>
    </w:p>
    <w:p>
      <w:pPr>
        <w:spacing w:after="0" w:line="44" w:lineRule="exact"/>
        <w:rPr>
          <w:sz w:val="20"/>
          <w:szCs w:val="20"/>
          <w:color w:val="auto"/>
        </w:rPr>
      </w:pPr>
    </w:p>
    <w:p>
      <w:pPr>
        <w:ind w:left="6" w:right="80"/>
        <w:spacing w:after="0" w:line="262" w:lineRule="auto"/>
        <w:rPr>
          <w:sz w:val="20"/>
          <w:szCs w:val="20"/>
          <w:color w:val="auto"/>
        </w:rPr>
      </w:pPr>
      <w:r>
        <w:rPr>
          <w:rFonts w:ascii="Times New Roman" w:cs="Times New Roman" w:eastAsia="Times New Roman" w:hAnsi="Times New Roman"/>
          <w:sz w:val="18"/>
          <w:szCs w:val="18"/>
          <w:color w:val="auto"/>
        </w:rPr>
        <w:t>To the extent that your AMT is attributable to the spread on exercising an ISO (and certain other items), you may be able to apply the AMT that you paid as a credit against your income tax liability in future years. But the rules on calculating the available tax credits were amended frequently in recent years and have become extraordinarily complex. On this issue in particular, you must consult your own tax adviser.</w:t>
      </w:r>
    </w:p>
    <w:p>
      <w:pPr>
        <w:spacing w:after="0" w:line="177" w:lineRule="exact"/>
        <w:rPr>
          <w:sz w:val="20"/>
          <w:szCs w:val="20"/>
          <w:color w:val="auto"/>
        </w:rPr>
      </w:pPr>
    </w:p>
    <w:p>
      <w:pPr>
        <w:ind w:left="6" w:right="80"/>
        <w:spacing w:after="0" w:line="255" w:lineRule="auto"/>
        <w:rPr>
          <w:sz w:val="20"/>
          <w:szCs w:val="20"/>
          <w:color w:val="auto"/>
        </w:rPr>
      </w:pPr>
      <w:r>
        <w:rPr>
          <w:rFonts w:ascii="Times New Roman" w:cs="Times New Roman" w:eastAsia="Times New Roman" w:hAnsi="Times New Roman"/>
          <w:sz w:val="18"/>
          <w:szCs w:val="18"/>
          <w:color w:val="auto"/>
        </w:rPr>
        <w:t>When Purchased Shares are sold, your basis for purposes of computing the capital gain or loss under the AMT system is increased by the option spread that exists at the time of exercise. Again, an ISO is treated under the AMT system much like an NSO is treated under the regular tax system. But your basis in the ISO shares for purposes of computing gain or loss under the regular tax system is equal to the exercise price; it does not reflect any AMT that you pay on the spread at exercise. Therefore, if you pay AMT in the year of the ISO exercise and regular income tax in the year of selling the Purchased Shares, you could pay tax twice on the same gain (except to the extent that you can use the AMT credit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238125</wp:posOffset>
            </wp:positionV>
            <wp:extent cx="75501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92">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299" w:lineRule="exact"/>
        <w:rPr>
          <w:sz w:val="20"/>
          <w:szCs w:val="20"/>
          <w:color w:val="auto"/>
        </w:rPr>
      </w:pPr>
    </w:p>
    <w:p>
      <w:pPr>
        <w:ind w:left="426" w:hanging="426"/>
        <w:spacing w:after="0"/>
        <w:tabs>
          <w:tab w:leader="none" w:pos="426" w:val="left"/>
        </w:tabs>
        <w:numPr>
          <w:ilvl w:val="0"/>
          <w:numId w:val="25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assumes that Congress does not extend AMT relief, as it has done annually in prior years.</w:t>
      </w:r>
    </w:p>
    <w:p>
      <w:pPr>
        <w:spacing w:after="0" w:line="1" w:lineRule="exact"/>
        <w:rPr>
          <w:sz w:val="20"/>
          <w:szCs w:val="20"/>
          <w:color w:val="auto"/>
        </w:rPr>
      </w:pPr>
    </w:p>
    <w:p>
      <w:pPr>
        <w:ind w:left="426" w:hanging="426"/>
        <w:spacing w:after="0" w:line="197" w:lineRule="auto"/>
        <w:tabs>
          <w:tab w:leader="none" w:pos="426" w:val="left"/>
        </w:tabs>
        <w:numPr>
          <w:ilvl w:val="0"/>
          <w:numId w:val="25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is similar to the rule that applies under the regular tax system in the event of a disqualifying disposition of ISO stock. The amount of ordinary income that must be recognized in that case generally does not exceed the amount of the gain realized in the disposition.</w:t>
      </w:r>
    </w:p>
    <w:p>
      <w:pPr>
        <w:spacing w:after="0" w:line="130"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66"/>
          </w:cols>
          <w:pgMar w:left="494" w:top="268" w:right="539" w:bottom="1440" w:gutter="0" w:footer="0" w:header="0"/>
        </w:sectPr>
      </w:pPr>
    </w:p>
    <w:bookmarkStart w:id="469" w:name="page470"/>
    <w:bookmarkEnd w:id="46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409A </w:t>
      </w:r>
      <w:r>
        <w:rPr>
          <w:rFonts w:ascii="Times New Roman" w:cs="Times New Roman" w:eastAsia="Times New Roman" w:hAnsi="Times New Roman"/>
          <w:sz w:val="14"/>
          <w:szCs w:val="14"/>
          <w:color w:val="auto"/>
        </w:rPr>
        <w:t>OF THE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NTERNAL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EVENUE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ODE</w:t>
      </w:r>
    </w:p>
    <w:p>
      <w:pPr>
        <w:spacing w:after="0" w:line="11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preceding summary assumes that section 409A of the Internal Revenue Code does not apply to your option. In general, your option is exempt from section 409A if the exercise price per share is at least equal to the fair market value per share of the Company’s Common Stock at the time the option was granted by the Board of Directors. Since shares of Common Stock are not traded on an established securities market, the determination of their fair market value generally is made by the Board of Directors or by an independent appraisal firm retained by the Company. In either case, there is no guarantee that the Internal Revenue Service will agree with the valuation.</w:t>
      </w:r>
    </w:p>
    <w:p>
      <w:pPr>
        <w:spacing w:after="0" w:line="18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If your option were found to be subject to section 409A, then you would be required to recognize ordinary income whenever a portion of your option vests (i.e. becomes exercisable). The amount of ordinary income would be equal to the fair market value of the shares at the time of vesting minus the exercise price of the shares. This amount would also be subject to a 20% federal tax in addition to the federal income tax at your usual marginal rate for ordinary income.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ISCLAIMER</w:t>
      </w:r>
      <w:r>
        <w:rPr>
          <w:rFonts w:ascii="Times New Roman" w:cs="Times New Roman" w:eastAsia="Times New Roman" w:hAnsi="Times New Roman"/>
          <w:sz w:val="18"/>
          <w:szCs w:val="18"/>
          <w:color w:val="auto"/>
        </w:rPr>
        <w:t xml:space="preserve"> U</w:t>
      </w:r>
      <w:r>
        <w:rPr>
          <w:rFonts w:ascii="Times New Roman" w:cs="Times New Roman" w:eastAsia="Times New Roman" w:hAnsi="Times New Roman"/>
          <w:sz w:val="14"/>
          <w:szCs w:val="14"/>
          <w:color w:val="auto"/>
        </w:rPr>
        <w:t>NDER</w:t>
      </w:r>
      <w:r>
        <w:rPr>
          <w:rFonts w:ascii="Times New Roman" w:cs="Times New Roman" w:eastAsia="Times New Roman" w:hAnsi="Times New Roman"/>
          <w:sz w:val="18"/>
          <w:szCs w:val="18"/>
          <w:color w:val="auto"/>
        </w:rPr>
        <w:t xml:space="preserve"> IRS C</w:t>
      </w:r>
      <w:r>
        <w:rPr>
          <w:rFonts w:ascii="Times New Roman" w:cs="Times New Roman" w:eastAsia="Times New Roman" w:hAnsi="Times New Roman"/>
          <w:sz w:val="14"/>
          <w:szCs w:val="14"/>
          <w:color w:val="auto"/>
        </w:rPr>
        <w:t>IRCULAR</w:t>
      </w:r>
      <w:r>
        <w:rPr>
          <w:rFonts w:ascii="Times New Roman" w:cs="Times New Roman" w:eastAsia="Times New Roman" w:hAnsi="Times New Roman"/>
          <w:sz w:val="18"/>
          <w:szCs w:val="18"/>
          <w:color w:val="auto"/>
        </w:rPr>
        <w:t xml:space="preserve"> 230</w:t>
      </w:r>
    </w:p>
    <w:p>
      <w:pPr>
        <w:spacing w:after="0" w:line="220" w:lineRule="exact"/>
        <w:rPr>
          <w:sz w:val="20"/>
          <w:szCs w:val="20"/>
          <w:color w:val="auto"/>
        </w:rPr>
      </w:pPr>
    </w:p>
    <w:p>
      <w:pPr>
        <w:ind w:left="420"/>
        <w:spacing w:after="0" w:line="255" w:lineRule="auto"/>
        <w:rPr>
          <w:sz w:val="20"/>
          <w:szCs w:val="20"/>
          <w:color w:val="auto"/>
        </w:rPr>
      </w:pPr>
      <w:r>
        <w:rPr>
          <w:rFonts w:ascii="Times New Roman" w:cs="Times New Roman" w:eastAsia="Times New Roman" w:hAnsi="Times New Roman"/>
          <w:sz w:val="18"/>
          <w:szCs w:val="18"/>
          <w:color w:val="auto"/>
        </w:rPr>
        <w:t>To comply with IRS rules, you are hereby notified that the foregoing summary was not intended or written in order to be used, and it cannot be used by any taxpayer, for the purpose of avoiding penalties that may be imposed on the taxpayer. In addition, if the foregoing summary would otherwise be considered a “marketed opinion” under the IRS rules, you are hereby notified that the advice was written to support the promotion or marketing of the transactions or matters addressed by the summary. The tax consequences of options will vary depending on the specific circumstances of each taxpayer. Therefore, each taxpayer should seek advice from an independent tax adviser.</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60"/>
          </w:cols>
          <w:pgMar w:left="500" w:top="268" w:right="539" w:bottom="1440" w:gutter="0" w:footer="0" w:header="0"/>
        </w:sectPr>
      </w:pPr>
    </w:p>
    <w:bookmarkStart w:id="470" w:name="page471"/>
    <w:bookmarkEnd w:id="47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2011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UMMARY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ERVICES</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Transferee is acquiring shares of the Common Stock of Omada Health, Inc. on the following terms:</w:t>
      </w:r>
    </w:p>
    <w:p>
      <w:pPr>
        <w:sectPr>
          <w:pgSz w:w="11900" w:h="16838" w:orient="portrait"/>
          <w:cols w:equalWidth="0" w:num="1">
            <w:col w:w="10840"/>
          </w:cols>
          <w:pgMar w:left="500" w:top="264" w:right="559" w:bottom="1440" w:gutter="0" w:footer="0" w:header="0"/>
        </w:sectPr>
      </w:pPr>
    </w:p>
    <w:p>
      <w:pPr>
        <w:spacing w:after="0" w:line="2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Name of Transferee:</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Carta</w:t>
      </w:r>
    </w:p>
    <w:p>
      <w:pPr>
        <w:spacing w:after="0" w:line="125" w:lineRule="exact"/>
        <w:rPr>
          <w:sz w:val="20"/>
          <w:szCs w:val="20"/>
          <w:color w:val="auto"/>
        </w:rPr>
      </w:pPr>
    </w:p>
    <w:p>
      <w:pPr>
        <w:sectPr>
          <w:pgSz w:w="11900" w:h="16838" w:orient="portrait"/>
          <w:cols w:equalWidth="0" w:num="2">
            <w:col w:w="3520" w:space="720"/>
            <w:col w:w="6600"/>
          </w:cols>
          <w:pgMar w:left="500" w:top="264" w:right="55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7"/>
          <w:szCs w:val="17"/>
          <w:color w:val="auto"/>
        </w:rPr>
        <w:t>Total Number of Transferred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See Carta</w:t>
      </w:r>
    </w:p>
    <w:p>
      <w:pPr>
        <w:spacing w:after="0" w:line="125" w:lineRule="exact"/>
        <w:rPr>
          <w:sz w:val="20"/>
          <w:szCs w:val="20"/>
          <w:color w:val="auto"/>
        </w:rPr>
      </w:pPr>
    </w:p>
    <w:p>
      <w:pPr>
        <w:sectPr>
          <w:pgSz w:w="11900" w:h="16838" w:orient="portrait"/>
          <w:cols w:equalWidth="0" w:num="2">
            <w:col w:w="3520" w:space="720"/>
            <w:col w:w="6600"/>
          </w:cols>
          <w:pgMar w:left="500" w:top="264" w:right="55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7"/>
          <w:szCs w:val="17"/>
          <w:color w:val="auto"/>
        </w:rPr>
        <w:t>Date of Transfer: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See Carta</w:t>
      </w:r>
    </w:p>
    <w:p>
      <w:pPr>
        <w:spacing w:after="0" w:line="125" w:lineRule="exact"/>
        <w:rPr>
          <w:sz w:val="20"/>
          <w:szCs w:val="20"/>
          <w:color w:val="auto"/>
        </w:rPr>
      </w:pPr>
    </w:p>
    <w:p>
      <w:pPr>
        <w:sectPr>
          <w:pgSz w:w="11900" w:h="16838" w:orient="portrait"/>
          <w:cols w:equalWidth="0" w:num="2">
            <w:col w:w="3520" w:space="720"/>
            <w:col w:w="6600"/>
          </w:cols>
          <w:pgMar w:left="500" w:top="264" w:right="55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See Carta</w:t>
      </w:r>
    </w:p>
    <w:p>
      <w:pPr>
        <w:spacing w:after="0" w:line="125" w:lineRule="exact"/>
        <w:rPr>
          <w:sz w:val="20"/>
          <w:szCs w:val="20"/>
          <w:color w:val="auto"/>
        </w:rPr>
      </w:pPr>
    </w:p>
    <w:p>
      <w:pPr>
        <w:sectPr>
          <w:pgSz w:w="11900" w:h="16838" w:orient="portrait"/>
          <w:cols w:equalWidth="0" w:num="2">
            <w:col w:w="3520" w:space="720"/>
            <w:col w:w="6600"/>
          </w:cols>
          <w:pgMar w:left="500" w:top="264" w:right="55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7"/>
          <w:szCs w:val="17"/>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See Carta</w:t>
      </w:r>
    </w:p>
    <w:p>
      <w:pPr>
        <w:spacing w:after="0" w:line="200" w:lineRule="exact"/>
        <w:rPr>
          <w:sz w:val="20"/>
          <w:szCs w:val="20"/>
          <w:color w:val="auto"/>
        </w:rPr>
      </w:pPr>
    </w:p>
    <w:p>
      <w:pPr>
        <w:sectPr>
          <w:pgSz w:w="11900" w:h="16838" w:orient="portrait"/>
          <w:cols w:equalWidth="0" w:num="2">
            <w:col w:w="3520" w:space="720"/>
            <w:col w:w="6600"/>
          </w:cols>
          <w:pgMar w:left="500" w:top="264" w:right="559" w:bottom="1440" w:gutter="0" w:footer="0" w:header="0"/>
          <w:type w:val="continuous"/>
        </w:sectPr>
      </w:pPr>
    </w:p>
    <w:p>
      <w:pPr>
        <w:spacing w:after="0" w:line="3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By Transferee’s acceptance of this Option, the Transferee and the Company agree that the acquisition of the Transferred Shares is governed by the terms and conditions of the 2011 Stock Plan and the Stock Grant Agreement. Both of these documents are attached to, and made a part of, this Summary of Stock Grant. The Transferee agrees to accept by email or electronic means all documents relating to the Company, the Plan or this grant and all other documents that the Company is required to deliver to its security holders (including, without limitation, disclosures that may be required by the Securities and Exchange Commission). The Transferee also agrees that the Company may deliver these documents by posting them on a website maintained by the Company or by a third party under contract with the Company. If the Company posts these documents on a website, it shall notify the Transferee by email of their availability. The Transferee acknowledges that he or she may incur costs in connection with electronic delivery, including the cost of accessing the internet and printing fees, and that an interruption of internet access may interfere with his or her ability to access the documents. This consent shall remain in effect until the Transferee gives the Company written notice that it should deliver paper documents.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RANSFEREE</w:t>
            </w:r>
            <w:r>
              <w:rPr>
                <w:rFonts w:ascii="Times New Roman" w:cs="Times New Roman" w:eastAsia="Times New Roman" w:hAnsi="Times New Roman"/>
                <w:sz w:val="18"/>
                <w:szCs w:val="18"/>
                <w:b w:val="1"/>
                <w:bCs w:val="1"/>
                <w:color w:val="auto"/>
              </w:rPr>
              <w:t>:</w:t>
            </w:r>
          </w:p>
        </w:tc>
        <w:tc>
          <w:tcPr>
            <w:tcW w:w="2760" w:type="dxa"/>
            <w:vAlign w:val="bottom"/>
            <w:gridSpan w:val="9"/>
          </w:tcPr>
          <w:p>
            <w:pPr>
              <w:ind w:left="96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87"/>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840" w:type="dxa"/>
            <w:vAlign w:val="bottom"/>
          </w:tcPr>
          <w:p>
            <w:pPr>
              <w:spacing w:after="0"/>
              <w:rPr>
                <w:sz w:val="24"/>
                <w:szCs w:val="24"/>
                <w:color w:val="auto"/>
              </w:rPr>
            </w:pPr>
          </w:p>
        </w:tc>
        <w:tc>
          <w:tcPr>
            <w:tcW w:w="14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w w:val="96"/>
              </w:rPr>
              <w:t>By: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77"/>
              </w:rPr>
              <w:t> </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40" w:type="dxa"/>
            <w:vAlign w:val="bottom"/>
          </w:tcPr>
          <w:p>
            <w:pPr>
              <w:spacing w:after="0"/>
              <w:rPr>
                <w:sz w:val="24"/>
                <w:szCs w:val="24"/>
                <w:color w:val="auto"/>
              </w:rPr>
            </w:pPr>
          </w:p>
        </w:tc>
      </w:tr>
      <w:tr>
        <w:trPr>
          <w:trHeight w:val="20"/>
        </w:trPr>
        <w:tc>
          <w:tcPr>
            <w:tcW w:w="40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7"/>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Address for Mailing Stock Certificate:</w:t>
            </w:r>
          </w:p>
        </w:tc>
        <w:tc>
          <w:tcPr>
            <w:tcW w:w="840" w:type="dxa"/>
            <w:vAlign w:val="bottom"/>
          </w:tcPr>
          <w:p>
            <w:pPr>
              <w:spacing w:after="0"/>
              <w:rPr>
                <w:sz w:val="21"/>
                <w:szCs w:val="21"/>
                <w:color w:val="auto"/>
              </w:rPr>
            </w:pPr>
          </w:p>
        </w:tc>
        <w:tc>
          <w:tcPr>
            <w:tcW w:w="14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w w:val="75"/>
              </w:rPr>
              <w:t>Title:  </w:t>
            </w:r>
          </w:p>
        </w:tc>
        <w:tc>
          <w:tcPr>
            <w:tcW w:w="160" w:type="dxa"/>
            <w:vAlign w:val="bottom"/>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Pr>
          <w:p>
            <w:pPr>
              <w:spacing w:after="0"/>
              <w:rPr>
                <w:sz w:val="21"/>
                <w:szCs w:val="21"/>
                <w:color w:val="auto"/>
              </w:rPr>
            </w:pPr>
          </w:p>
        </w:tc>
      </w:tr>
      <w:tr>
        <w:trPr>
          <w:trHeight w:val="234"/>
        </w:trPr>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r>
      <w:tr>
        <w:trPr>
          <w:trHeight w:val="220"/>
        </w:trPr>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ectPr>
          <w:pgSz w:w="11900" w:h="16838" w:orient="portrait"/>
          <w:cols w:equalWidth="0" w:num="1">
            <w:col w:w="10840"/>
          </w:cols>
          <w:pgMar w:left="500" w:top="264" w:right="559" w:bottom="1440" w:gutter="0" w:footer="0" w:header="0"/>
          <w:type w:val="continuous"/>
        </w:sectPr>
      </w:pPr>
    </w:p>
    <w:bookmarkStart w:id="471" w:name="page472"/>
    <w:bookmarkEnd w:id="47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2011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ACQUISITION OF SHARES.</w:t>
      </w:r>
    </w:p>
    <w:p>
      <w:pPr>
        <w:spacing w:after="0" w:line="114" w:lineRule="exact"/>
        <w:rPr>
          <w:sz w:val="20"/>
          <w:szCs w:val="20"/>
          <w:color w:val="auto"/>
        </w:rPr>
      </w:pPr>
    </w:p>
    <w:p>
      <w:pPr>
        <w:ind w:right="120" w:firstLine="981"/>
        <w:spacing w:after="0" w:line="26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On the terms and conditions set forth in the Summary of Stock Grant and this Agreement, the Company agrees to transfer to the Transferee the number of Shares set forth in the Summary of Stock Grant. The transfer shall occur at the offices of the Company on the date of transfer set forth in the Summary of Stock Grant or at such other place and time as the parties may agree.</w:t>
      </w:r>
    </w:p>
    <w:p>
      <w:pPr>
        <w:spacing w:after="0" w:line="169" w:lineRule="exact"/>
        <w:rPr>
          <w:sz w:val="20"/>
          <w:szCs w:val="20"/>
          <w:color w:val="auto"/>
        </w:rPr>
      </w:pPr>
    </w:p>
    <w:p>
      <w:pPr>
        <w:ind w:right="20" w:firstLine="981"/>
        <w:spacing w:after="0" w:line="265"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The Transferee and the Company agree that the Transferred Shares are being issued to the Transferee as consideration for a portion of the services performed by the Transferee for the Company. The value of such portion is agreed to be not less than 100% of the Fair Market Value of the Transferred Shares.</w:t>
      </w:r>
    </w:p>
    <w:p>
      <w:pPr>
        <w:spacing w:after="0" w:line="169" w:lineRule="exact"/>
        <w:rPr>
          <w:sz w:val="20"/>
          <w:szCs w:val="20"/>
          <w:color w:val="auto"/>
        </w:rPr>
      </w:pPr>
    </w:p>
    <w:p>
      <w:pPr>
        <w:ind w:right="480" w:firstLine="981"/>
        <w:spacing w:after="0" w:line="26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Stock Plan and Defined Terms</w:t>
      </w:r>
      <w:r>
        <w:rPr>
          <w:rFonts w:ascii="Times New Roman" w:cs="Times New Roman" w:eastAsia="Times New Roman" w:hAnsi="Times New Roman"/>
          <w:sz w:val="18"/>
          <w:szCs w:val="18"/>
          <w:color w:val="auto"/>
        </w:rPr>
        <w:t>. The transfer of the Transferred Shares is subject to the Plan, a copy of which the Transferee acknowledges having received. The provisions of the Plan are incorporated into this Agreement by this reference. Capitalized terms are defined in Section 12 of this Agreement.</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FORFEITURE CONDITION.</w:t>
      </w:r>
    </w:p>
    <w:p>
      <w:pPr>
        <w:spacing w:after="0" w:line="114" w:lineRule="exact"/>
        <w:rPr>
          <w:sz w:val="20"/>
          <w:szCs w:val="20"/>
          <w:color w:val="auto"/>
        </w:rPr>
      </w:pPr>
    </w:p>
    <w:p>
      <w:pPr>
        <w:ind w:firstLine="981"/>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Scope of Forfeiture Condition</w:t>
      </w:r>
      <w:r>
        <w:rPr>
          <w:rFonts w:ascii="Times New Roman" w:cs="Times New Roman" w:eastAsia="Times New Roman" w:hAnsi="Times New Roman"/>
          <w:sz w:val="18"/>
          <w:szCs w:val="18"/>
          <w:color w:val="auto"/>
        </w:rPr>
        <w:t>. All Transferred Shares initially shall be Restricted Shares and shall be subject to forfeiture to the Company. The Transferee shall not transfer, assign, encumber or otherwise dispose of any Restricted Shares without the Company’s written consent, except as provided in the following sentence. The Transferee may transfer Restricted Shares to one or more members of the Transferee’s Immediate Family or to a trust established by the Transferee for the benefit of the Transferee and/or one or more members of the Transferee’s Immediate Family, provided in either case that the Transferee agrees in writing on a form prescribed by the Company to be bound by all provisions of this Agreement. If the Transferee transfers any Restricted Shares, then this Agreement shall apply to the Subsequent Transferee to the same extent as to the Transferee.</w:t>
      </w:r>
    </w:p>
    <w:p>
      <w:pPr>
        <w:spacing w:after="0" w:line="182" w:lineRule="exact"/>
        <w:rPr>
          <w:sz w:val="20"/>
          <w:szCs w:val="20"/>
          <w:color w:val="auto"/>
        </w:rPr>
      </w:pPr>
    </w:p>
    <w:p>
      <w:pPr>
        <w:ind w:right="80" w:firstLine="981"/>
        <w:spacing w:after="0" w:line="259"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 The Forfeiture Condition shall lapse and the Restricted Shares shall become vested in accordance with the vesting schedule set forth in the Summary of Stock Grant. In addition, if the Company is subject to a Change in Control before the Optionee’s Service terminates and the Transferee is subject to an Involuntary Termination within 12 months after the Change in Control, the Forfeiture Condition shall lapse with respect to 100% of the Restricted Shares.</w:t>
      </w:r>
    </w:p>
    <w:p>
      <w:pPr>
        <w:sectPr>
          <w:pgSz w:w="11900" w:h="16838" w:orient="portrait"/>
          <w:cols w:equalWidth="0" w:num="1">
            <w:col w:w="10880"/>
          </w:cols>
          <w:pgMar w:left="500" w:top="264" w:right="519" w:bottom="1440" w:gutter="0" w:footer="0" w:header="0"/>
        </w:sectPr>
      </w:pPr>
    </w:p>
    <w:bookmarkStart w:id="472" w:name="page473"/>
    <w:bookmarkEnd w:id="472"/>
    <w:p>
      <w:pPr>
        <w:ind w:right="220" w:firstLine="981"/>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  </w:t>
      </w:r>
      <w:r>
        <w:rPr>
          <w:rFonts w:ascii="Times New Roman" w:cs="Times New Roman" w:eastAsia="Times New Roman" w:hAnsi="Times New Roman"/>
          <w:sz w:val="18"/>
          <w:szCs w:val="18"/>
          <w:b w:val="1"/>
          <w:bCs w:val="1"/>
          <w:color w:val="auto"/>
        </w:rPr>
        <w:t>Execution of Forfeiture</w:t>
      </w:r>
      <w:r>
        <w:rPr>
          <w:rFonts w:ascii="Times New Roman" w:cs="Times New Roman" w:eastAsia="Times New Roman" w:hAnsi="Times New Roman"/>
          <w:sz w:val="18"/>
          <w:szCs w:val="18"/>
          <w:color w:val="auto"/>
        </w:rPr>
        <w:t>. The Forfeiture Condition shall be applicable only if the Transferee’s Service terminates for any reason, with or without cause, including (without limitation) death or disability, before all Restricted Shares have become vested. In the event that the Transferee’s Service terminates for any reason, the certificate(s) representing any remaining Restricted Shares shall be delivered to the Company. The Company shall make no payment for Restricted Shares that are forfeited.</w:t>
      </w:r>
    </w:p>
    <w:p>
      <w:pPr>
        <w:spacing w:after="0" w:line="175" w:lineRule="exact"/>
        <w:rPr>
          <w:sz w:val="20"/>
          <w:szCs w:val="20"/>
          <w:color w:val="auto"/>
        </w:rPr>
      </w:pPr>
    </w:p>
    <w:p>
      <w:pPr>
        <w:ind w:firstLine="981"/>
        <w:spacing w:after="0" w:line="254"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Additional Shares or Substituted Securities</w:t>
      </w:r>
      <w:r>
        <w:rPr>
          <w:rFonts w:ascii="Times New Roman" w:cs="Times New Roman" w:eastAsia="Times New Roman" w:hAnsi="Times New Roman"/>
          <w:sz w:val="18"/>
          <w:szCs w:val="18"/>
          <w:color w:val="auto"/>
        </w:rPr>
        <w:t>. In the event of the declaration of a stock dividend, the declaration of an extraordinary dividend payable in a form other than stock, a spin-off, a stock split, an adjustment in conversion ratio, a recapitalization or a similar transaction affecting the Company’s outstanding securities without receipt of consideration, any new, substituted or additional securities or other property (including money paid other than as an ordinary cash dividend) which are by reason of such transaction distributed with respect to any Restricted Shares or into which such Restricted Shares thereby become convertible shall immediately be subject to the Forfeiture Condition. Appropriate adjustments to reflect the distribution of such securities or property shall be made to the number and/or class of the Restricted Shares.</w:t>
      </w:r>
    </w:p>
    <w:p>
      <w:pPr>
        <w:spacing w:after="0" w:line="182" w:lineRule="exact"/>
        <w:rPr>
          <w:sz w:val="20"/>
          <w:szCs w:val="20"/>
          <w:color w:val="auto"/>
        </w:rPr>
      </w:pPr>
    </w:p>
    <w:p>
      <w:pPr>
        <w:ind w:firstLine="981"/>
        <w:spacing w:after="0" w:line="259"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Termination of Rights as Stockholder</w:t>
      </w:r>
      <w:r>
        <w:rPr>
          <w:rFonts w:ascii="Times New Roman" w:cs="Times New Roman" w:eastAsia="Times New Roman" w:hAnsi="Times New Roman"/>
          <w:sz w:val="18"/>
          <w:szCs w:val="18"/>
          <w:color w:val="auto"/>
        </w:rPr>
        <w:t>. If Restricted Shares are forfeited in accordance with this Section 2, then the person who is to forfeit such Restricted Shares shall no longer have any rights as a holder of such Restricted Shares. Such Restricted Shares shall be deemed to have been forfeited in accordance with the applicable provisions hereof, whether or not the certificate(s) therefor have been delivered as required by this Agreement.</w:t>
      </w:r>
    </w:p>
    <w:p>
      <w:pPr>
        <w:spacing w:after="0" w:line="175" w:lineRule="exact"/>
        <w:rPr>
          <w:sz w:val="20"/>
          <w:szCs w:val="20"/>
          <w:color w:val="auto"/>
        </w:rPr>
      </w:pPr>
    </w:p>
    <w:p>
      <w:pPr>
        <w:ind w:firstLine="981"/>
        <w:spacing w:after="0" w:line="25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Escrow</w:t>
      </w:r>
      <w:r>
        <w:rPr>
          <w:rFonts w:ascii="Times New Roman" w:cs="Times New Roman" w:eastAsia="Times New Roman" w:hAnsi="Times New Roman"/>
          <w:sz w:val="18"/>
          <w:szCs w:val="18"/>
          <w:color w:val="auto"/>
        </w:rPr>
        <w:t>. Upon issuance, the certificates for Restricted Shares shall be deposited in escrow with the Company to be held in accordance with the provisions of this Agreement. Any new, substituted or additional securities or other property described in Subsection (d) above shall immediately be delivered to the Company to be held in escrow, but only to the extent the Transferred Shares are at the time Restricted Shares. All regular cash dividends on Restricted Shares (or other securities at the time held in escrow) shall be paid directly to the Transferee and shall not be held in escrow. Restricted Shares, together with any other assets or securities held in escrow hereunder, shall be (i) surrendered to the Company for forfeiture and cancellation in the event that the Forfeiture Condition or Right of First Refusal applies or (ii) released to the Transferee upon the Transferee’s request to the extent the Transferred Shares are no longer Restricted Shares (but not more frequently than once every six months). In any event, all Transferred Shares that have vested (and any other vested assets and securities attributable thereto) shall be released within 60 days after the earlier of (i) the termination of the Transferee’s Service or (ii) the lapse of the Right of First Refusal.</w:t>
      </w:r>
    </w:p>
    <w:p>
      <w:pPr>
        <w:spacing w:after="0" w:line="181" w:lineRule="exact"/>
        <w:rPr>
          <w:sz w:val="20"/>
          <w:szCs w:val="20"/>
          <w:color w:val="auto"/>
        </w:rPr>
      </w:pPr>
    </w:p>
    <w:p>
      <w:pPr>
        <w:ind w:right="40" w:firstLine="981"/>
        <w:spacing w:after="0" w:line="256"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Part-Time Employment and Leaves of Absence</w:t>
      </w:r>
      <w:r>
        <w:rPr>
          <w:rFonts w:ascii="Times New Roman" w:cs="Times New Roman" w:eastAsia="Times New Roman" w:hAnsi="Times New Roman"/>
          <w:sz w:val="18"/>
          <w:szCs w:val="18"/>
          <w:color w:val="auto"/>
        </w:rPr>
        <w:t xml:space="preserve">. If the Transferee commences working on a part-time basis, then the Company may adjust the vesting schedule set forth in the Summary of Stock Grant. If the Transferee goes on a leave of absence, then the Company may adjust the vesting schedule set forth in the Summary of Stock Grant in accordance with the Company’s leave of absence policy or the terms of such leave. Except as provided in the preceding sentence, Service shall be deemed to continue while the Transferee is on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leave of absence, if (i) such leave was approved by the Company in writing and (ii) continued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500" w:top="264" w:right="519" w:bottom="1440" w:gutter="0" w:footer="0" w:header="0"/>
        </w:sectPr>
      </w:pPr>
    </w:p>
    <w:bookmarkStart w:id="473" w:name="page474"/>
    <w:bookmarkEnd w:id="473"/>
    <w:p>
      <w:pPr>
        <w:ind w:right="180"/>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crediting of Service is expressly required by the terms of such leave or by applicable law (as determined by the Company). Service shall be deemed to terminate when such leave ends, unless the Transferee immediately returns to active work.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RIGHT OF FIRST REFUSAL.</w:t>
      </w:r>
    </w:p>
    <w:p>
      <w:pPr>
        <w:spacing w:after="0" w:line="114" w:lineRule="exact"/>
        <w:rPr>
          <w:sz w:val="20"/>
          <w:szCs w:val="20"/>
          <w:color w:val="auto"/>
        </w:rPr>
      </w:pPr>
    </w:p>
    <w:p>
      <w:pPr>
        <w:ind w:firstLine="981"/>
        <w:spacing w:after="0" w:line="25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In the event that the Transferee proposes to sell, pledge or otherwise transfer to a third party any Transferred Shares, or any interest in Transferred Shares, the Company shall have the Right of First Refusal with respect to all (and not less than all) of such Transferred Shares. If the Transferee desires to transfer Transferred Shares, the Transferee shall give a written Transfer Notice to the Company describing fully the proposed transfer, including the number of Transferred Shares proposed to be transferred, the proposed transfer price, the name and address of the proposed Subsequent Transferee and proof satisfactory to the Company that the proposed sale or transfer will not violate any applicable federal, State or foreign securities laws. The Transfer Notice shall be signed both by the Transferee and by the proposed Subsequent Transferee and must constitute a binding commitment of both parties to the transfer of the Transferred Shares. The Company shall have the right to purchase all, and not less than all, of the Transferred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186" w:lineRule="exact"/>
        <w:rPr>
          <w:sz w:val="20"/>
          <w:szCs w:val="20"/>
          <w:color w:val="auto"/>
        </w:rPr>
      </w:pPr>
    </w:p>
    <w:p>
      <w:pPr>
        <w:ind w:right="40" w:firstLine="981"/>
        <w:spacing w:after="0" w:line="25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Transfer of Shares</w:t>
      </w:r>
      <w:r>
        <w:rPr>
          <w:rFonts w:ascii="Times New Roman" w:cs="Times New Roman" w:eastAsia="Times New Roman" w:hAnsi="Times New Roman"/>
          <w:sz w:val="18"/>
          <w:szCs w:val="18"/>
          <w:color w:val="auto"/>
        </w:rPr>
        <w:t>. If the Company fails to exercise its Right of First Refusal within 30 days after receiving the Transfer Notice, the Transferee may, not later than 90 days after the Company received the Transfer Notice, conclude a transfer of the Transferred Shares subject to the Transfer Notice on the terms and conditions described in the Transfer Notice, provided that any such sale is made in compliance with applicable federal, State and foreign securities laws and not in violation of any other contractual restrictions to which the Transferee is bound. Any proposed transfer on terms and conditions different from those described in the Transfer Notice, as well as any subsequent proposed transfer by the Transferee, shall again be subject to the Right of First Refusal and shall require compliance with the procedure described in Subsection (a) above. If the Company exercises its Right of First Refusal, the parties shall consummate the sale of the Transferred Shares on the terms set forth in the Transfer Notice within 60 days after the Company received the Transfer Notice (or within such longer period as may have been specified in the Transfer Notice); provided, however, that in the event the Transfer Notice provided that payment for the Transferred Shares was to be made in a form other than cash or cash equivalents paid at the time of transfer, the Company shall have the option of paying for the Transferred Shares with cash or cash equivalents equal to the present value of the consideration described in the Transfer Notice.</w:t>
      </w:r>
    </w:p>
    <w:p>
      <w:pPr>
        <w:spacing w:after="0" w:line="184" w:lineRule="exact"/>
        <w:rPr>
          <w:sz w:val="20"/>
          <w:szCs w:val="20"/>
          <w:color w:val="auto"/>
        </w:rPr>
      </w:pPr>
    </w:p>
    <w:p>
      <w:pPr>
        <w:ind w:right="140" w:firstLine="981"/>
        <w:spacing w:after="0" w:line="287"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b w:val="1"/>
          <w:bCs w:val="1"/>
          <w:color w:val="auto"/>
        </w:rPr>
        <w:t>Additional or Exchanged Securities and Property</w:t>
      </w:r>
      <w:r>
        <w:rPr>
          <w:rFonts w:ascii="Times New Roman" w:cs="Times New Roman" w:eastAsia="Times New Roman" w:hAnsi="Times New Roman"/>
          <w:sz w:val="17"/>
          <w:szCs w:val="17"/>
          <w:color w:val="auto"/>
        </w:rPr>
        <w:t>. In the event of a merger or consolidation of the Company with or into another entity,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500" w:top="268" w:right="519" w:bottom="1440" w:gutter="0" w:footer="0" w:header="0"/>
        </w:sectPr>
      </w:pPr>
    </w:p>
    <w:bookmarkStart w:id="474" w:name="page475"/>
    <w:bookmarkEnd w:id="474"/>
    <w:p>
      <w:pPr>
        <w:jc w:val="both"/>
        <w:ind w:right="80"/>
        <w:spacing w:after="0" w:line="28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securities, any securities or other property (including cash or cash equivalents) that are by reason of such transaction exchanged for, or distributed with respect to, any Transferred Shares subject to this Section 3 shall immediately be subject to the Right of First Refusal. Appropriate adjustments to reflect the exchange or distribution of such securities or property shall be made to the number and/or class of the Transferred Shares subject to this Section 3.</w:t>
      </w:r>
    </w:p>
    <w:p>
      <w:pPr>
        <w:spacing w:after="0" w:line="155" w:lineRule="exact"/>
        <w:rPr>
          <w:sz w:val="20"/>
          <w:szCs w:val="20"/>
          <w:color w:val="auto"/>
        </w:rPr>
      </w:pPr>
    </w:p>
    <w:p>
      <w:pPr>
        <w:ind w:right="120" w:firstLine="981"/>
        <w:spacing w:after="0" w:line="265"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Termination of Right of First Refusal</w:t>
      </w:r>
      <w:r>
        <w:rPr>
          <w:rFonts w:ascii="Times New Roman" w:cs="Times New Roman" w:eastAsia="Times New Roman" w:hAnsi="Times New Roman"/>
          <w:sz w:val="18"/>
          <w:szCs w:val="18"/>
          <w:color w:val="auto"/>
        </w:rPr>
        <w:t>. Any other provision of this Section 3 notwithstanding, in the event that the Stock is readily tradable on an established securities market when the Transferee desires to transfer Transferred Shares, the Company shall have no Right of First Refusal, and the Transferee shall have no obligation to comply with the procedures prescribed by Subsections (a) and (b) above.</w:t>
      </w:r>
    </w:p>
    <w:p>
      <w:pPr>
        <w:spacing w:after="0" w:line="169" w:lineRule="exact"/>
        <w:rPr>
          <w:sz w:val="20"/>
          <w:szCs w:val="20"/>
          <w:color w:val="auto"/>
        </w:rPr>
      </w:pPr>
    </w:p>
    <w:p>
      <w:pPr>
        <w:ind w:firstLine="981"/>
        <w:spacing w:after="0" w:line="254"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Permitted Transfers</w:t>
      </w:r>
      <w:r>
        <w:rPr>
          <w:rFonts w:ascii="Times New Roman" w:cs="Times New Roman" w:eastAsia="Times New Roman" w:hAnsi="Times New Roman"/>
          <w:sz w:val="18"/>
          <w:szCs w:val="18"/>
          <w:color w:val="auto"/>
        </w:rPr>
        <w:t>. This Section 3 shall not apply to (i) a transfer by beneficiary designation, will or intestate succession or (ii) a transfer to one or more members of the Transferee’s Immediate Family or to a trust established by the Transferee for the benefit of the Transferee and/or one or more members of the Transferee’s Immediate Family, provided in either case that the Transferee agrees in writing on a form prescribed by the Company to be bound by all provisions of this Agreement. If the Transferee transfers any Transferred Shares, either under this Subsection (e) or after the Company has failed to exercise the Right of First Refusal, then this Agreement shall apply to the Subsequent Transferee to the same extent as to the Transferee.</w:t>
      </w:r>
    </w:p>
    <w:p>
      <w:pPr>
        <w:spacing w:after="0" w:line="182" w:lineRule="exact"/>
        <w:rPr>
          <w:sz w:val="20"/>
          <w:szCs w:val="20"/>
          <w:color w:val="auto"/>
        </w:rPr>
      </w:pPr>
    </w:p>
    <w:p>
      <w:pPr>
        <w:ind w:right="60" w:firstLine="981"/>
        <w:spacing w:after="0" w:line="25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Termination of Rights as Stockholder</w:t>
      </w:r>
      <w:r>
        <w:rPr>
          <w:rFonts w:ascii="Times New Roman" w:cs="Times New Roman" w:eastAsia="Times New Roman" w:hAnsi="Times New Roman"/>
          <w:sz w:val="18"/>
          <w:szCs w:val="18"/>
          <w:color w:val="auto"/>
        </w:rPr>
        <w:t>. If the Company makes available, at the time and place and in the amount and form provided in this Agreement, the consideration for the Shares to be purchased in accordance with this Section 3,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178" w:lineRule="exact"/>
        <w:rPr>
          <w:sz w:val="20"/>
          <w:szCs w:val="20"/>
          <w:color w:val="auto"/>
        </w:rPr>
      </w:pPr>
    </w:p>
    <w:p>
      <w:pPr>
        <w:jc w:val="both"/>
        <w:ind w:right="20" w:firstLine="981"/>
        <w:spacing w:after="0" w:line="265"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Assignment of Right of First Refusal</w:t>
      </w:r>
      <w:r>
        <w:rPr>
          <w:rFonts w:ascii="Times New Roman" w:cs="Times New Roman" w:eastAsia="Times New Roman" w:hAnsi="Times New Roman"/>
          <w:sz w:val="18"/>
          <w:szCs w:val="18"/>
          <w:color w:val="auto"/>
        </w:rPr>
        <w:t>. The Board of Directors may freely assign the Company’s Right of First Refusal, in whole or in part. Any person who accepts an assignment of the Right of First Refusal from the Company shall assume all of the Company’s rights and obligations under this Section 3.</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OTHER RESTRICTIONS ON TRANSFER.</w:t>
      </w:r>
    </w:p>
    <w:p>
      <w:pPr>
        <w:spacing w:after="0" w:line="114" w:lineRule="exact"/>
        <w:rPr>
          <w:sz w:val="20"/>
          <w:szCs w:val="20"/>
          <w:color w:val="auto"/>
        </w:rPr>
      </w:pPr>
    </w:p>
    <w:p>
      <w:pPr>
        <w:ind w:right="60" w:firstLine="981"/>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Transferee Representations</w:t>
      </w:r>
      <w:r>
        <w:rPr>
          <w:rFonts w:ascii="Times New Roman" w:cs="Times New Roman" w:eastAsia="Times New Roman" w:hAnsi="Times New Roman"/>
          <w:sz w:val="18"/>
          <w:szCs w:val="18"/>
          <w:color w:val="auto"/>
        </w:rPr>
        <w:t>. In connection with the issuance and acquisition of Shares under this Agreement, the Transferee hereby represents and warrants to the Company as follows:</w:t>
      </w:r>
    </w:p>
    <w:p>
      <w:pPr>
        <w:spacing w:after="0" w:line="52" w:lineRule="exact"/>
        <w:rPr>
          <w:sz w:val="20"/>
          <w:szCs w:val="20"/>
          <w:color w:val="auto"/>
        </w:rPr>
      </w:pPr>
    </w:p>
    <w:p>
      <w:pPr>
        <w:ind w:left="420" w:right="120" w:firstLine="942"/>
        <w:spacing w:after="0" w:line="277" w:lineRule="auto"/>
        <w:rPr>
          <w:sz w:val="20"/>
          <w:szCs w:val="20"/>
          <w:color w:val="auto"/>
        </w:rPr>
      </w:pPr>
      <w:r>
        <w:rPr>
          <w:rFonts w:ascii="Times New Roman" w:cs="Times New Roman" w:eastAsia="Times New Roman" w:hAnsi="Times New Roman"/>
          <w:sz w:val="18"/>
          <w:szCs w:val="18"/>
          <w:color w:val="auto"/>
        </w:rPr>
        <w:t>(i)  The Transferee is acquiring and will hold the Transferred Shares for investment for his or her account only and not with a view to, or for resale in connection with, any “distribution” thereof within the meaning of the Securities Act.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500" w:top="268" w:right="519" w:bottom="1440" w:gutter="0" w:footer="0" w:header="0"/>
        </w:sectPr>
      </w:pPr>
    </w:p>
    <w:bookmarkStart w:id="475" w:name="page476"/>
    <w:bookmarkEnd w:id="475"/>
    <w:p>
      <w:pPr>
        <w:ind w:firstLine="942"/>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(ii)  The Transferee understands that the Transferred Shares have not been registered under the Securities Act by reason of a specific exemption therefrom and that the Transferred Shares must be held indefinitely, unless they are subsequently registered under the Securities Act or the Transferee obtains an opinion of counsel, in form and substance satisfactory to the Company and its counsel, that such registration is not required. The Transferee further acknowledges and understands that the Company is under no obligation to register the Transferred Shares.</w:t>
      </w:r>
    </w:p>
    <w:p>
      <w:pPr>
        <w:spacing w:after="0" w:line="59" w:lineRule="exact"/>
        <w:rPr>
          <w:sz w:val="20"/>
          <w:szCs w:val="20"/>
          <w:color w:val="auto"/>
        </w:rPr>
      </w:pPr>
    </w:p>
    <w:p>
      <w:pPr>
        <w:ind w:firstLine="942"/>
        <w:spacing w:after="0" w:line="253" w:lineRule="auto"/>
        <w:rPr>
          <w:sz w:val="20"/>
          <w:szCs w:val="20"/>
          <w:color w:val="auto"/>
        </w:rPr>
      </w:pPr>
      <w:r>
        <w:rPr>
          <w:rFonts w:ascii="Times New Roman" w:cs="Times New Roman" w:eastAsia="Times New Roman" w:hAnsi="Times New Roman"/>
          <w:sz w:val="18"/>
          <w:szCs w:val="18"/>
          <w:color w:val="auto"/>
        </w:rPr>
        <w:t>(iii)  The Transferee is aware of the adoption of Rule 144 by the Securities and Exchange Commission under the Securities Act, which permits limited public resales of securities acquired in a non-public offering, subject to the satisfaction of certain conditions, including (without limitation) the availability of certain current public information about the issuer, the resale occurring only after the holding period required by Rule 144 has been satisfied, the sale occurring through an unsolicited “broker’s transaction,” and the amount of securities being sold during any three-month period not exceeding specified limitations. The Transferee acknowledges and understands that the conditions for resale set forth in Rule 144 have not been satisfied and that the Company has no plans to satisfy these conditions in the foreseeable future.</w:t>
      </w:r>
    </w:p>
    <w:p>
      <w:pPr>
        <w:spacing w:after="0" w:line="80" w:lineRule="exact"/>
        <w:rPr>
          <w:sz w:val="20"/>
          <w:szCs w:val="20"/>
          <w:color w:val="auto"/>
        </w:rPr>
      </w:pPr>
    </w:p>
    <w:p>
      <w:pPr>
        <w:ind w:right="60" w:firstLine="942"/>
        <w:spacing w:after="0" w:line="252" w:lineRule="auto"/>
        <w:rPr>
          <w:sz w:val="20"/>
          <w:szCs w:val="20"/>
          <w:color w:val="auto"/>
        </w:rPr>
      </w:pPr>
      <w:r>
        <w:rPr>
          <w:rFonts w:ascii="Times New Roman" w:cs="Times New Roman" w:eastAsia="Times New Roman" w:hAnsi="Times New Roman"/>
          <w:sz w:val="18"/>
          <w:szCs w:val="18"/>
          <w:color w:val="auto"/>
        </w:rPr>
        <w:t>(iv)  The Transferee will not sell, transfer or otherwise dispose of the Transferred Shares in violation of the Securities Act, the Securities Exchange Act of 1934, or the rules promulgated thereunder, including Rule 144 under the Securities Act. The Transferee agrees that he or she will not dispose of the Transferred Shares unless and until he or she has complied with all requirements of this Agreement applicable to the disposition of Transferred Shares and he or she has provided the Company with written assurances, in substance and form satisfactory to the Company, that (A) the proposed disposition does not require registration of the Transferred Shares under the Securities Act or all appropriate action necessary for compliance with the registration requirements of the Securities Act or with any exemption from registration available under the Securities Act (including Rule 144) has been taken and (B) the proposed disposition will not result in the contravention of any transfer restrictions applicable to the Transferred Shares under applicable state law.</w:t>
      </w:r>
    </w:p>
    <w:p>
      <w:pPr>
        <w:spacing w:after="0" w:line="78" w:lineRule="exact"/>
        <w:rPr>
          <w:sz w:val="20"/>
          <w:szCs w:val="20"/>
          <w:color w:val="auto"/>
        </w:rPr>
      </w:pPr>
    </w:p>
    <w:p>
      <w:pPr>
        <w:jc w:val="both"/>
        <w:ind w:right="20" w:firstLine="942"/>
        <w:spacing w:after="0" w:line="262" w:lineRule="auto"/>
        <w:rPr>
          <w:sz w:val="20"/>
          <w:szCs w:val="20"/>
          <w:color w:val="auto"/>
        </w:rPr>
      </w:pPr>
      <w:r>
        <w:rPr>
          <w:rFonts w:ascii="Times New Roman" w:cs="Times New Roman" w:eastAsia="Times New Roman" w:hAnsi="Times New Roman"/>
          <w:sz w:val="18"/>
          <w:szCs w:val="18"/>
          <w:color w:val="auto"/>
        </w:rPr>
        <w:t>(v)  The Transferee has been furnished with, and has had access to, such information as he or she considers necessary or appropriate for deciding whether to invest in the Transferred Shares, and the Transferee has had an opportunity to ask questions and receive answers from the Company regarding the terms and conditions of the issuance of the Transferred Shares.</w:t>
      </w:r>
    </w:p>
    <w:p>
      <w:pPr>
        <w:spacing w:after="0" w:line="70" w:lineRule="exact"/>
        <w:rPr>
          <w:sz w:val="20"/>
          <w:szCs w:val="20"/>
          <w:color w:val="auto"/>
        </w:rPr>
      </w:pPr>
    </w:p>
    <w:p>
      <w:pPr>
        <w:jc w:val="both"/>
        <w:ind w:right="120" w:firstLine="942"/>
        <w:spacing w:after="0" w:line="262" w:lineRule="auto"/>
        <w:rPr>
          <w:sz w:val="20"/>
          <w:szCs w:val="20"/>
          <w:color w:val="auto"/>
        </w:rPr>
      </w:pPr>
      <w:r>
        <w:rPr>
          <w:rFonts w:ascii="Times New Roman" w:cs="Times New Roman" w:eastAsia="Times New Roman" w:hAnsi="Times New Roman"/>
          <w:sz w:val="18"/>
          <w:szCs w:val="18"/>
          <w:color w:val="auto"/>
        </w:rPr>
        <w:t>(vi)  The Transferee is aware that his or her investment in the Company is a speculative investment that has limited liquidity and is subject to the risk of complete loss. The Transferee is able, without impairing his or her financial condition, to hold the Transferred Shares for an indefinite period and to suffer a complete loss of his or her investment in the Transferred Shares.</w:t>
      </w:r>
    </w:p>
    <w:p>
      <w:pPr>
        <w:spacing w:after="0" w:line="11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460"/>
          </w:cols>
          <w:pgMar w:left="920" w:top="268" w:right="519" w:bottom="1440" w:gutter="0" w:footer="0" w:header="0"/>
        </w:sectPr>
      </w:pPr>
    </w:p>
    <w:bookmarkStart w:id="476" w:name="page477"/>
    <w:bookmarkEnd w:id="476"/>
    <w:p>
      <w:pPr>
        <w:ind w:right="40" w:firstLine="98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(b)  </w:t>
      </w:r>
      <w:r>
        <w:rPr>
          <w:rFonts w:ascii="Times New Roman" w:cs="Times New Roman" w:eastAsia="Times New Roman" w:hAnsi="Times New Roman"/>
          <w:sz w:val="18"/>
          <w:szCs w:val="18"/>
          <w:b w:val="1"/>
          <w:bCs w:val="1"/>
          <w:color w:val="auto"/>
        </w:rPr>
        <w:t>Securities Law Restrictions</w:t>
      </w:r>
      <w:r>
        <w:rPr>
          <w:rFonts w:ascii="Times New Roman" w:cs="Times New Roman" w:eastAsia="Times New Roman" w:hAnsi="Times New Roman"/>
          <w:sz w:val="18"/>
          <w:szCs w:val="18"/>
          <w:color w:val="auto"/>
        </w:rPr>
        <w:t>. Regardless of whether the offering and sale of Shares under the Plan have been registered under the Securities Act or have been registered or qualified under the securities laws of any State, the Company at its discretion may impose restrictions upon the sale, pledge or other transfer of the Transferred Shares (including the placement of appropriate legends on stock certificates or the imposition of stop-transfer instructions) if, in the judgment of the Company, such restrictions are necessary or desirable in order to achieve compliance with the Securities Act, the securities laws of any State or any other law.</w:t>
      </w:r>
    </w:p>
    <w:p>
      <w:pPr>
        <w:spacing w:after="0" w:line="178" w:lineRule="exact"/>
        <w:rPr>
          <w:sz w:val="20"/>
          <w:szCs w:val="20"/>
          <w:color w:val="auto"/>
        </w:rPr>
      </w:pPr>
    </w:p>
    <w:p>
      <w:pPr>
        <w:ind w:firstLine="981"/>
        <w:spacing w:after="0" w:line="24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Market Stand-Off</w:t>
      </w:r>
      <w:r>
        <w:rPr>
          <w:rFonts w:ascii="Times New Roman" w:cs="Times New Roman" w:eastAsia="Times New Roman" w:hAnsi="Times New Roman"/>
          <w:sz w:val="18"/>
          <w:szCs w:val="18"/>
          <w:color w:val="auto"/>
        </w:rPr>
        <w:t>. In connection with any underwritten public offering by the Company of its equity securities pursuant to an effective registration statement filed under the Securities Act, including the Company’s initial public offering, the Transferee or a Subsequent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Transferred Shares without the prior written consent of the Company or its managing underwriter. Such restriction (the “Market Stand-Off”)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Transferred Shares until the end of the applicable stand-off period. The Company’s underwriters shall be beneficiaries of the agreement set forth in this Subsection (c). This Subsection (c) shall not apply to Shares registered in the public offering under the Securities Act.</w:t>
      </w:r>
    </w:p>
    <w:p>
      <w:pPr>
        <w:spacing w:after="0" w:line="196" w:lineRule="exact"/>
        <w:rPr>
          <w:sz w:val="20"/>
          <w:szCs w:val="20"/>
          <w:color w:val="auto"/>
        </w:rPr>
      </w:pPr>
    </w:p>
    <w:p>
      <w:pPr>
        <w:jc w:val="both"/>
        <w:ind w:right="120" w:firstLine="975"/>
        <w:spacing w:after="0" w:line="265" w:lineRule="auto"/>
        <w:tabs>
          <w:tab w:leader="none" w:pos="1233"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Rights of the Company</w:t>
      </w:r>
      <w:r>
        <w:rPr>
          <w:rFonts w:ascii="Times New Roman" w:cs="Times New Roman" w:eastAsia="Times New Roman" w:hAnsi="Times New Roman"/>
          <w:sz w:val="18"/>
          <w:szCs w:val="18"/>
          <w:color w:val="auto"/>
        </w:rPr>
        <w:t>. The Company shall not be required to (i) transfer on its books any Transferred Shares that have been sold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transferred in contravention of this Agreement or (ii) treat as the owner of Transferred Shares, or otherwise to accord voting, dividend or liquidation rights to, any Subsequent Transferee to whom Transferred Shares have been transferred in contravention of this Agreement.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500" w:top="264" w:right="519" w:bottom="1440" w:gutter="0" w:footer="0" w:header="0"/>
        </w:sectPr>
      </w:pPr>
    </w:p>
    <w:bookmarkStart w:id="477" w:name="page478"/>
    <w:bookmarkEnd w:id="47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01">
                      <a:extLst>
                        <a:ext uri="{28A0092B-C50C-407E-A947-70E740481C1C}"/>
                      </a:extLst>
                    </a:blip>
                    <a:srcRect/>
                    <a:stretch>
                      <a:fillRect/>
                    </a:stretch>
                  </pic:blipFill>
                  <pic:spPr bwMode="auto">
                    <a:xfrm>
                      <a:off x="0" y="0"/>
                      <a:ext cx="7176135" cy="37465"/>
                    </a:xfrm>
                    <a:prstGeom prst="rect">
                      <a:avLst/>
                    </a:prstGeom>
                    <a:noFill/>
                  </pic:spPr>
                </pic:pic>
              </a:graphicData>
            </a:graphic>
          </wp:anchor>
        </w:drawing>
        <w:t>SECTION 5. SUCCESSORS AND ASSIGNS.</w:t>
      </w:r>
    </w:p>
    <w:p>
      <w:pPr>
        <w:spacing w:after="0" w:line="118" w:lineRule="exact"/>
        <w:rPr>
          <w:sz w:val="20"/>
          <w:szCs w:val="20"/>
          <w:color w:val="auto"/>
        </w:rPr>
      </w:pPr>
    </w:p>
    <w:p>
      <w:pPr>
        <w:ind w:firstLine="981"/>
        <w:spacing w:after="0" w:line="257" w:lineRule="auto"/>
        <w:rPr>
          <w:sz w:val="20"/>
          <w:szCs w:val="20"/>
          <w:color w:val="auto"/>
        </w:rPr>
      </w:pPr>
      <w:r>
        <w:rPr>
          <w:rFonts w:ascii="Times New Roman" w:cs="Times New Roman" w:eastAsia="Times New Roman" w:hAnsi="Times New Roman"/>
          <w:sz w:val="18"/>
          <w:szCs w:val="18"/>
          <w:color w:val="auto"/>
        </w:rPr>
        <w:t>Except as otherwise expressly provided to the contrary, the provisions of this Agreement shall inure to the benefit of, and be binding upon, the Company and its successors and assigns and be binding upon the Transferee and the Transferee’s legal representatives, heirs, legatees, distributees, assigns and transferees by operation of law, whether or not any such person has become a party to this Agreement or has agreed in writing to join herein and to be bound by the terms, conditions and restrictions hereof.</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NO RETENTION RIGHTS.</w:t>
      </w:r>
    </w:p>
    <w:p>
      <w:pPr>
        <w:spacing w:after="0" w:line="118" w:lineRule="exact"/>
        <w:rPr>
          <w:sz w:val="20"/>
          <w:szCs w:val="20"/>
          <w:color w:val="auto"/>
        </w:rPr>
      </w:pPr>
    </w:p>
    <w:p>
      <w:pPr>
        <w:ind w:firstLine="981"/>
        <w:spacing w:after="0" w:line="262" w:lineRule="auto"/>
        <w:rPr>
          <w:sz w:val="20"/>
          <w:szCs w:val="20"/>
          <w:color w:val="auto"/>
        </w:rPr>
      </w:pPr>
      <w:r>
        <w:rPr>
          <w:rFonts w:ascii="Times New Roman" w:cs="Times New Roman" w:eastAsia="Times New Roman" w:hAnsi="Times New Roman"/>
          <w:sz w:val="18"/>
          <w:szCs w:val="18"/>
          <w:color w:val="auto"/>
        </w:rPr>
        <w:t>Nothing in this Agreement or in the Plan shall confer upon the Transferee any right to continue providing services to the Company for any period of specific duration or interfere with or otherwise restrict in any way the rights of the Company or of the Transferee, which rights are hereby expressly reserved by each, to terminate his or her service at any time and for any reason, with or without cause.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TAX ELECTION.</w:t>
      </w:r>
    </w:p>
    <w:p>
      <w:pPr>
        <w:spacing w:after="0" w:line="118" w:lineRule="exact"/>
        <w:rPr>
          <w:sz w:val="20"/>
          <w:szCs w:val="20"/>
          <w:color w:val="auto"/>
        </w:rPr>
      </w:pPr>
    </w:p>
    <w:p>
      <w:pPr>
        <w:ind w:right="40" w:firstLine="981"/>
        <w:spacing w:after="0" w:line="253" w:lineRule="auto"/>
        <w:rPr>
          <w:sz w:val="20"/>
          <w:szCs w:val="20"/>
          <w:color w:val="auto"/>
        </w:rPr>
      </w:pPr>
      <w:r>
        <w:rPr>
          <w:rFonts w:ascii="Times New Roman" w:cs="Times New Roman" w:eastAsia="Times New Roman" w:hAnsi="Times New Roman"/>
          <w:sz w:val="18"/>
          <w:szCs w:val="18"/>
          <w:color w:val="auto"/>
        </w:rPr>
        <w:t xml:space="preserve">The acquisition of the Transferred Shares may result in adverse tax consequences that may be avoided or mitigated by filing an election under Code Section 83(b). Such election may be filed only within 30 days after the date of transfer set forth in the Summary of Stock Grant. The form for making the Code Section 83(b) election is attached to this Agreement as an Exhibit. </w:t>
      </w:r>
      <w:r>
        <w:rPr>
          <w:rFonts w:ascii="Times New Roman" w:cs="Times New Roman" w:eastAsia="Times New Roman" w:hAnsi="Times New Roman"/>
          <w:sz w:val="18"/>
          <w:szCs w:val="18"/>
          <w:b w:val="1"/>
          <w:bCs w:val="1"/>
          <w:color w:val="auto"/>
        </w:rPr>
        <w:t>The Transferee should consult with his or her tax advisor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determine the tax consequences of acquiring the Transferred Shares and the advantages and disadvantages of filing the Code Section 83(b) election. The Transferee acknowledges that it is his or her sole responsibility, and not the Company’s, to file a timely election under Code Section 83(b), even if the Transferee requests the Company or its representatives to make this filing on his or her behalf.</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LEGENDS.</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All certificates evidencing Transferred Shares shall bear the following legends:</w:t>
      </w:r>
    </w:p>
    <w:p>
      <w:pPr>
        <w:spacing w:after="0" w:line="114" w:lineRule="exact"/>
        <w:rPr>
          <w:sz w:val="20"/>
          <w:szCs w:val="20"/>
          <w:color w:val="auto"/>
        </w:rPr>
      </w:pPr>
    </w:p>
    <w:p>
      <w:pPr>
        <w:ind w:left="420" w:right="100"/>
        <w:spacing w:after="0" w:line="252" w:lineRule="auto"/>
        <w:rPr>
          <w:sz w:val="20"/>
          <w:szCs w:val="20"/>
          <w:color w:val="auto"/>
        </w:rPr>
      </w:pPr>
      <w:r>
        <w:rPr>
          <w:rFonts w:ascii="Times New Roman" w:cs="Times New Roman" w:eastAsia="Times New Roman" w:hAnsi="Times New Roman"/>
          <w:sz w:val="18"/>
          <w:szCs w:val="18"/>
          <w:color w:val="auto"/>
        </w:rPr>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 TRANSFER OF THE SHARES AND IMPOSES CERTAIN FORFEITURE CONDITIONS UPON TERMINATION OF SERVICE WITH THE COMPANY. THE SECRETARY OF THE COMPANY WILL UPON WRITTEN REQUEST FURNISH A COPY OF SUCH AGREEMENT TO THE HOLDER HEREOF WITHOUT CHARGE.”</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40"/>
          </w:cols>
          <w:pgMar w:left="500" w:top="263" w:right="559" w:bottom="1440" w:gutter="0" w:footer="0" w:header="0"/>
        </w:sectPr>
      </w:pPr>
    </w:p>
    <w:bookmarkStart w:id="478" w:name="page479"/>
    <w:bookmarkEnd w:id="478"/>
    <w:p>
      <w:pPr>
        <w:ind w:left="426" w:right="16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0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“THE SHARES REPRESENTED HEREBY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182" w:lineRule="exact"/>
        <w:rPr>
          <w:sz w:val="20"/>
          <w:szCs w:val="20"/>
          <w:color w:val="auto"/>
        </w:rPr>
      </w:pPr>
    </w:p>
    <w:p>
      <w:pPr>
        <w:ind w:left="6" w:right="540"/>
        <w:spacing w:after="0" w:line="277" w:lineRule="auto"/>
        <w:rPr>
          <w:sz w:val="20"/>
          <w:szCs w:val="20"/>
          <w:color w:val="auto"/>
        </w:rPr>
      </w:pPr>
      <w:r>
        <w:rPr>
          <w:rFonts w:ascii="Times New Roman" w:cs="Times New Roman" w:eastAsia="Times New Roman" w:hAnsi="Times New Roman"/>
          <w:sz w:val="18"/>
          <w:szCs w:val="18"/>
          <w:color w:val="auto"/>
        </w:rPr>
        <w:t>If required by the authorities of any State in connection with the issuance of the Transferred Shares, the legend or legends required by such State authorities shall also be endorsed on all such certificates.</w:t>
      </w:r>
    </w:p>
    <w:p>
      <w:pPr>
        <w:spacing w:after="0" w:line="26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SECTION 9. NOTICE.</w:t>
      </w:r>
    </w:p>
    <w:p>
      <w:pPr>
        <w:spacing w:after="0" w:line="118" w:lineRule="exact"/>
        <w:rPr>
          <w:sz w:val="20"/>
          <w:szCs w:val="20"/>
          <w:color w:val="auto"/>
        </w:rPr>
      </w:pPr>
    </w:p>
    <w:p>
      <w:pPr>
        <w:ind w:left="986"/>
        <w:spacing w:after="0"/>
        <w:rPr>
          <w:sz w:val="20"/>
          <w:szCs w:val="20"/>
          <w:color w:val="auto"/>
        </w:rPr>
      </w:pPr>
      <w:r>
        <w:rPr>
          <w:rFonts w:ascii="Times New Roman" w:cs="Times New Roman" w:eastAsia="Times New Roman" w:hAnsi="Times New Roman"/>
          <w:sz w:val="18"/>
          <w:szCs w:val="18"/>
          <w:color w:val="auto"/>
        </w:rPr>
        <w:t>Any notice required by the terms of this Agreement shall be given in writing. It shall be deemed effective upon (i) personal delivery,</w:t>
      </w:r>
    </w:p>
    <w:p>
      <w:pPr>
        <w:spacing w:after="0" w:line="26" w:lineRule="exact"/>
        <w:rPr>
          <w:sz w:val="20"/>
          <w:szCs w:val="20"/>
          <w:color w:val="auto"/>
        </w:rPr>
      </w:pPr>
    </w:p>
    <w:p>
      <w:pPr>
        <w:ind w:left="6" w:right="340" w:hanging="6"/>
        <w:spacing w:after="0" w:line="251" w:lineRule="auto"/>
        <w:tabs>
          <w:tab w:leader="none" w:pos="268"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United States Postal Service, by registered or certified mail, with postage and fees prepaid or (iii) deposit with Federal Express Corporation, with shipping charges prepaid. Notice shall be addressed to the Company at its principal executive office and to the Transferee at the address that he or she most recently provided to the Company in accordance with this Section 9.</w:t>
      </w:r>
    </w:p>
    <w:p>
      <w:pPr>
        <w:spacing w:after="0" w:line="28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SECTION 10. ENTIRE AGREEMENT.</w:t>
      </w:r>
    </w:p>
    <w:p>
      <w:pPr>
        <w:spacing w:after="0" w:line="118" w:lineRule="exact"/>
        <w:rPr>
          <w:sz w:val="20"/>
          <w:szCs w:val="20"/>
          <w:color w:val="auto"/>
        </w:rPr>
      </w:pPr>
    </w:p>
    <w:p>
      <w:pPr>
        <w:ind w:left="6" w:firstLine="981"/>
        <w:spacing w:after="0" w:line="262" w:lineRule="auto"/>
        <w:rPr>
          <w:sz w:val="20"/>
          <w:szCs w:val="20"/>
          <w:color w:val="auto"/>
        </w:rPr>
      </w:pPr>
      <w:r>
        <w:rPr>
          <w:rFonts w:ascii="Times New Roman" w:cs="Times New Roman" w:eastAsia="Times New Roman" w:hAnsi="Times New Roman"/>
          <w:sz w:val="18"/>
          <w:szCs w:val="18"/>
          <w:color w:val="auto"/>
        </w:rPr>
        <w:t>The Summary of Stock Grant, this Agreement and the Plan constitute the entire contract between the parties hereto with regard to the subject matter hereof. They supersede any other agreements, representations or understandings (whether oral or written and whether express or implied) that relate to the subject matter hereof.</w:t>
      </w:r>
    </w:p>
    <w:p>
      <w:pPr>
        <w:spacing w:after="0" w:line="28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SECTION 11. CHOICE OF LAW.</w:t>
      </w:r>
    </w:p>
    <w:p>
      <w:pPr>
        <w:spacing w:after="0" w:line="118" w:lineRule="exact"/>
        <w:rPr>
          <w:sz w:val="20"/>
          <w:szCs w:val="20"/>
          <w:color w:val="auto"/>
        </w:rPr>
      </w:pPr>
    </w:p>
    <w:p>
      <w:pPr>
        <w:ind w:left="6" w:right="260" w:firstLine="981"/>
        <w:spacing w:after="0" w:line="277"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as such laws are applied to contracts entered into and performed in such State.</w:t>
      </w:r>
    </w:p>
    <w:p>
      <w:pPr>
        <w:spacing w:after="0" w:line="26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SECTION 12. DEFINITIONS.</w:t>
      </w:r>
    </w:p>
    <w:p>
      <w:pPr>
        <w:spacing w:after="0" w:line="114" w:lineRule="exact"/>
        <w:rPr>
          <w:sz w:val="20"/>
          <w:szCs w:val="20"/>
          <w:color w:val="auto"/>
        </w:rPr>
      </w:pPr>
    </w:p>
    <w:p>
      <w:pPr>
        <w:ind w:left="986"/>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mean this Stock Grant Agreement.</w:t>
      </w:r>
    </w:p>
    <w:p>
      <w:pPr>
        <w:spacing w:after="0" w:line="220" w:lineRule="exact"/>
        <w:rPr>
          <w:sz w:val="20"/>
          <w:szCs w:val="20"/>
          <w:color w:val="auto"/>
        </w:rPr>
      </w:pPr>
    </w:p>
    <w:p>
      <w:pPr>
        <w:ind w:left="6" w:right="260" w:firstLine="981"/>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shall mean the Board of Directors of the Company, as constituted from time to time or, if a Committee has been appointed, such Committee.</w:t>
      </w:r>
    </w:p>
    <w:p>
      <w:pPr>
        <w:spacing w:after="0" w:line="92" w:lineRule="exact"/>
        <w:rPr>
          <w:sz w:val="20"/>
          <w:szCs w:val="20"/>
          <w:color w:val="auto"/>
        </w:rPr>
      </w:pPr>
    </w:p>
    <w:p>
      <w:pPr>
        <w:jc w:val="center"/>
        <w:ind w:right="-65"/>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26"/>
          </w:cols>
          <w:pgMar w:left="494" w:top="267" w:right="579" w:bottom="1440" w:gutter="0" w:footer="0" w:header="0"/>
        </w:sectPr>
      </w:pPr>
    </w:p>
    <w:bookmarkStart w:id="479" w:name="page480"/>
    <w:bookmarkEnd w:id="479"/>
    <w:p>
      <w:pPr>
        <w:ind w:left="986"/>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0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(c)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shall mean:</w:t>
      </w:r>
    </w:p>
    <w:p>
      <w:pPr>
        <w:spacing w:after="0" w:line="118" w:lineRule="exact"/>
        <w:rPr>
          <w:sz w:val="20"/>
          <w:szCs w:val="20"/>
          <w:color w:val="auto"/>
        </w:rPr>
      </w:pPr>
    </w:p>
    <w:p>
      <w:pPr>
        <w:ind w:left="426" w:right="180" w:firstLine="942"/>
        <w:spacing w:after="0" w:line="277" w:lineRule="auto"/>
        <w:rPr>
          <w:sz w:val="20"/>
          <w:szCs w:val="20"/>
          <w:color w:val="auto"/>
        </w:rPr>
      </w:pPr>
      <w:r>
        <w:rPr>
          <w:rFonts w:ascii="Times New Roman" w:cs="Times New Roman" w:eastAsia="Times New Roman" w:hAnsi="Times New Roman"/>
          <w:sz w:val="18"/>
          <w:szCs w:val="18"/>
          <w:color w:val="auto"/>
        </w:rPr>
        <w:t>(i)  An unauthorized use or disclosure by the Transferee of the Company’s confidential information or trade secrets, which use or disclosure causes material harm to the Company;</w:t>
      </w:r>
    </w:p>
    <w:p>
      <w:pPr>
        <w:spacing w:after="0" w:line="57" w:lineRule="exact"/>
        <w:rPr>
          <w:sz w:val="20"/>
          <w:szCs w:val="20"/>
          <w:color w:val="auto"/>
        </w:rPr>
      </w:pPr>
    </w:p>
    <w:p>
      <w:pPr>
        <w:ind w:left="1386"/>
        <w:spacing w:after="0"/>
        <w:rPr>
          <w:sz w:val="20"/>
          <w:szCs w:val="20"/>
          <w:color w:val="auto"/>
        </w:rPr>
      </w:pPr>
      <w:r>
        <w:rPr>
          <w:rFonts w:ascii="Times New Roman" w:cs="Times New Roman" w:eastAsia="Times New Roman" w:hAnsi="Times New Roman"/>
          <w:sz w:val="18"/>
          <w:szCs w:val="18"/>
          <w:color w:val="auto"/>
        </w:rPr>
        <w:t>(ii)   A material breach by the Transferee of any agreement between the Transferee and the Company;</w:t>
      </w:r>
    </w:p>
    <w:p>
      <w:pPr>
        <w:spacing w:after="0" w:line="114" w:lineRule="exact"/>
        <w:rPr>
          <w:sz w:val="20"/>
          <w:szCs w:val="20"/>
          <w:color w:val="auto"/>
        </w:rPr>
      </w:pPr>
    </w:p>
    <w:p>
      <w:pPr>
        <w:ind w:left="1386"/>
        <w:spacing w:after="0"/>
        <w:rPr>
          <w:sz w:val="20"/>
          <w:szCs w:val="20"/>
          <w:color w:val="auto"/>
        </w:rPr>
      </w:pPr>
      <w:r>
        <w:rPr>
          <w:rFonts w:ascii="Times New Roman" w:cs="Times New Roman" w:eastAsia="Times New Roman" w:hAnsi="Times New Roman"/>
          <w:sz w:val="18"/>
          <w:szCs w:val="18"/>
          <w:color w:val="auto"/>
        </w:rPr>
        <w:t>(iii)   A material failure by the Transferee to comply with the Company’s written policies or rules;</w:t>
      </w:r>
    </w:p>
    <w:p>
      <w:pPr>
        <w:spacing w:after="0" w:line="114" w:lineRule="exact"/>
        <w:rPr>
          <w:sz w:val="20"/>
          <w:szCs w:val="20"/>
          <w:color w:val="auto"/>
        </w:rPr>
      </w:pPr>
    </w:p>
    <w:p>
      <w:pPr>
        <w:ind w:left="1386"/>
        <w:spacing w:after="0"/>
        <w:rPr>
          <w:sz w:val="20"/>
          <w:szCs w:val="20"/>
          <w:color w:val="auto"/>
        </w:rPr>
      </w:pPr>
      <w:r>
        <w:rPr>
          <w:rFonts w:ascii="Times New Roman" w:cs="Times New Roman" w:eastAsia="Times New Roman" w:hAnsi="Times New Roman"/>
          <w:sz w:val="17"/>
          <w:szCs w:val="17"/>
          <w:color w:val="auto"/>
        </w:rPr>
        <w:t>(iv)   The Transferee’s conviction of, or plea of “guilty” or “no contest” to, a felony under the laws of the United States or any State</w:t>
      </w:r>
    </w:p>
    <w:p>
      <w:pPr>
        <w:spacing w:after="0" w:line="37"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thereof;</w:t>
      </w:r>
    </w:p>
    <w:p>
      <w:pPr>
        <w:spacing w:after="0" w:line="95" w:lineRule="exact"/>
        <w:rPr>
          <w:sz w:val="20"/>
          <w:szCs w:val="20"/>
          <w:color w:val="auto"/>
        </w:rPr>
      </w:pPr>
    </w:p>
    <w:p>
      <w:pPr>
        <w:ind w:left="1386"/>
        <w:spacing w:after="0"/>
        <w:rPr>
          <w:sz w:val="20"/>
          <w:szCs w:val="20"/>
          <w:color w:val="auto"/>
        </w:rPr>
      </w:pPr>
      <w:r>
        <w:rPr>
          <w:rFonts w:ascii="Times New Roman" w:cs="Times New Roman" w:eastAsia="Times New Roman" w:hAnsi="Times New Roman"/>
          <w:sz w:val="18"/>
          <w:szCs w:val="18"/>
          <w:color w:val="auto"/>
        </w:rPr>
        <w:t>(v)    The Transferee’s gross negligence or willful misconduct;</w:t>
      </w:r>
    </w:p>
    <w:p>
      <w:pPr>
        <w:spacing w:after="0" w:line="114" w:lineRule="exact"/>
        <w:rPr>
          <w:sz w:val="20"/>
          <w:szCs w:val="20"/>
          <w:color w:val="auto"/>
        </w:rPr>
      </w:pPr>
    </w:p>
    <w:p>
      <w:pPr>
        <w:ind w:left="426" w:right="160" w:firstLine="942"/>
        <w:spacing w:after="0" w:line="277" w:lineRule="auto"/>
        <w:rPr>
          <w:sz w:val="20"/>
          <w:szCs w:val="20"/>
          <w:color w:val="auto"/>
        </w:rPr>
      </w:pPr>
      <w:r>
        <w:rPr>
          <w:rFonts w:ascii="Times New Roman" w:cs="Times New Roman" w:eastAsia="Times New Roman" w:hAnsi="Times New Roman"/>
          <w:sz w:val="18"/>
          <w:szCs w:val="18"/>
          <w:color w:val="auto"/>
        </w:rPr>
        <w:t>(vi)  A continuing failure by the Transferee to perform assigned duties after receiving written notification of such failure from the Board of Directors; or</w:t>
      </w:r>
    </w:p>
    <w:p>
      <w:pPr>
        <w:spacing w:after="0" w:line="57" w:lineRule="exact"/>
        <w:rPr>
          <w:sz w:val="20"/>
          <w:szCs w:val="20"/>
          <w:color w:val="auto"/>
        </w:rPr>
      </w:pPr>
    </w:p>
    <w:p>
      <w:pPr>
        <w:ind w:left="426" w:right="320" w:firstLine="942"/>
        <w:spacing w:after="0" w:line="277" w:lineRule="auto"/>
        <w:rPr>
          <w:sz w:val="20"/>
          <w:szCs w:val="20"/>
          <w:color w:val="auto"/>
        </w:rPr>
      </w:pPr>
      <w:r>
        <w:rPr>
          <w:rFonts w:ascii="Times New Roman" w:cs="Times New Roman" w:eastAsia="Times New Roman" w:hAnsi="Times New Roman"/>
          <w:sz w:val="18"/>
          <w:szCs w:val="18"/>
          <w:color w:val="auto"/>
        </w:rPr>
        <w:t>(vii)  A failure by the Transferee to cooperate in good faith with a governmental or internal investigation of the Company or its directors, officers or employees, if the Company has requested the Transferee’s cooperation.</w:t>
      </w:r>
    </w:p>
    <w:p>
      <w:pPr>
        <w:spacing w:after="0" w:line="159" w:lineRule="exact"/>
        <w:rPr>
          <w:sz w:val="20"/>
          <w:szCs w:val="20"/>
          <w:color w:val="auto"/>
        </w:rPr>
      </w:pPr>
    </w:p>
    <w:p>
      <w:pPr>
        <w:ind w:left="986"/>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shall mean (i) the consummation of a merger or consolidation of the Company with or into another entity or</w:t>
      </w:r>
    </w:p>
    <w:p>
      <w:pPr>
        <w:spacing w:after="0" w:line="30" w:lineRule="exact"/>
        <w:rPr>
          <w:sz w:val="20"/>
          <w:szCs w:val="20"/>
          <w:color w:val="auto"/>
        </w:rPr>
      </w:pPr>
    </w:p>
    <w:p>
      <w:pPr>
        <w:ind w:left="6" w:hanging="6"/>
        <w:spacing w:after="0" w:line="249" w:lineRule="auto"/>
        <w:tabs>
          <w:tab w:leader="none" w:pos="268"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dissolution, liquidation or winding up of the Company. The foregoing notwithstanding, a merger or consolidation of the Company shall not constitute a “Change in Control” if immediately after such merger or consolidation a majority of the voting power of the capital stock of the continuing or surviving entity, or any direct or indirect parent corporation of such continuing or surviving entity, will be owned by the persons who were the Company’s stockholders immediately prior to such merger or consolidation in substantially the same proportions as their ownership of the voting power of the Company’s capital stock immediately prior to such merger or consolidation.</w:t>
      </w:r>
    </w:p>
    <w:p>
      <w:pPr>
        <w:spacing w:after="0" w:line="186" w:lineRule="exact"/>
        <w:rPr>
          <w:sz w:val="20"/>
          <w:szCs w:val="20"/>
          <w:color w:val="auto"/>
        </w:rPr>
      </w:pPr>
    </w:p>
    <w:p>
      <w:pPr>
        <w:ind w:left="986"/>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shall mean the Internal Revenue Code of 1986, as amended.</w:t>
      </w:r>
    </w:p>
    <w:p>
      <w:pPr>
        <w:spacing w:after="0" w:line="220" w:lineRule="exact"/>
        <w:rPr>
          <w:sz w:val="20"/>
          <w:szCs w:val="20"/>
          <w:color w:val="auto"/>
        </w:rPr>
      </w:pPr>
    </w:p>
    <w:p>
      <w:pPr>
        <w:ind w:left="986"/>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shall mean a committee of the Board of Directors, as described in Section 2 of the Plan.</w:t>
      </w:r>
    </w:p>
    <w:p>
      <w:pPr>
        <w:spacing w:after="0" w:line="220" w:lineRule="exact"/>
        <w:rPr>
          <w:sz w:val="20"/>
          <w:szCs w:val="20"/>
          <w:color w:val="auto"/>
        </w:rPr>
      </w:pPr>
    </w:p>
    <w:p>
      <w:pPr>
        <w:ind w:left="986"/>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mean Omada Health, Inc., a Delaware corporation.</w:t>
      </w:r>
    </w:p>
    <w:p>
      <w:pPr>
        <w:spacing w:after="0" w:line="220" w:lineRule="exact"/>
        <w:rPr>
          <w:sz w:val="20"/>
          <w:szCs w:val="20"/>
          <w:color w:val="auto"/>
        </w:rPr>
      </w:pPr>
    </w:p>
    <w:p>
      <w:pPr>
        <w:ind w:left="6" w:right="320" w:firstLine="981"/>
        <w:spacing w:after="0" w:line="28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shall mean a person who performs bona fide services for the Company, a Parent or a Subsidiary as a consultant or advisor, excluding Employees and Outside Directors.</w:t>
      </w:r>
    </w:p>
    <w:p>
      <w:pPr>
        <w:spacing w:after="0" w:line="155" w:lineRule="exact"/>
        <w:rPr>
          <w:sz w:val="20"/>
          <w:szCs w:val="20"/>
          <w:color w:val="auto"/>
        </w:rPr>
      </w:pPr>
    </w:p>
    <w:p>
      <w:pPr>
        <w:ind w:left="986"/>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shall mean any individual who is a common-law employee of the Company, a Parent or a Subsidiary.</w:t>
      </w:r>
    </w:p>
    <w:p>
      <w:pPr>
        <w:spacing w:after="0" w:line="158" w:lineRule="exact"/>
        <w:rPr>
          <w:sz w:val="20"/>
          <w:szCs w:val="20"/>
          <w:color w:val="auto"/>
        </w:rPr>
      </w:pPr>
    </w:p>
    <w:p>
      <w:pPr>
        <w:ind w:left="5406"/>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26"/>
          </w:cols>
          <w:pgMar w:left="494" w:top="263" w:right="579" w:bottom="1440" w:gutter="0" w:footer="0" w:header="0"/>
        </w:sectPr>
      </w:pPr>
    </w:p>
    <w:bookmarkStart w:id="480" w:name="page481"/>
    <w:bookmarkEnd w:id="480"/>
    <w:p>
      <w:pPr>
        <w:ind w:right="540" w:firstLine="98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(j)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shall mean the fair market value of a Share, as determined by the Board of Directors in good faith. Such determination shall be conclusive and binding on all persons.</w:t>
      </w:r>
    </w:p>
    <w:p>
      <w:pPr>
        <w:spacing w:after="0" w:line="155" w:lineRule="exact"/>
        <w:rPr>
          <w:sz w:val="20"/>
          <w:szCs w:val="20"/>
          <w:color w:val="auto"/>
        </w:rPr>
      </w:pPr>
    </w:p>
    <w:p>
      <w:pPr>
        <w:ind w:left="1220" w:hanging="245"/>
        <w:spacing w:after="0"/>
        <w:tabs>
          <w:tab w:leader="none" w:pos="122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Forfeiture Condition</w:t>
      </w:r>
      <w:r>
        <w:rPr>
          <w:rFonts w:ascii="Times New Roman" w:cs="Times New Roman" w:eastAsia="Times New Roman" w:hAnsi="Times New Roman"/>
          <w:sz w:val="18"/>
          <w:szCs w:val="18"/>
          <w:color w:val="auto"/>
        </w:rPr>
        <w:t>” shall mean the forfeiture condition described in Section 2.</w:t>
      </w:r>
    </w:p>
    <w:p>
      <w:pPr>
        <w:spacing w:after="0" w:line="220" w:lineRule="exact"/>
        <w:rPr>
          <w:rFonts w:ascii="Times New Roman" w:cs="Times New Roman" w:eastAsia="Times New Roman" w:hAnsi="Times New Roman"/>
          <w:sz w:val="18"/>
          <w:szCs w:val="18"/>
          <w:color w:val="auto"/>
        </w:rPr>
      </w:pPr>
    </w:p>
    <w:p>
      <w:pPr>
        <w:ind w:right="100" w:firstLine="975"/>
        <w:spacing w:after="0" w:line="282" w:lineRule="auto"/>
        <w:tabs>
          <w:tab w:leader="none" w:pos="119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shall mean that the Transferee resigns within 12 months after one of the following conditions has come into existence without his or her consent:</w:t>
      </w:r>
    </w:p>
    <w:p>
      <w:pPr>
        <w:spacing w:after="0" w:line="5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A reduction in the Transferee’s base salary by more than 10%;</w:t>
      </w:r>
    </w:p>
    <w:p>
      <w:pPr>
        <w:spacing w:after="0" w:line="11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    A material diminution of the Transferee’s authority, duties or responsibilities; or</w:t>
      </w:r>
    </w:p>
    <w:p>
      <w:pPr>
        <w:spacing w:after="0" w:line="11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(iii)   A relocation of the Transferee’s principal workplace by more than 30 miles.</w:t>
      </w:r>
    </w:p>
    <w:p>
      <w:pPr>
        <w:spacing w:after="0" w:line="220"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A condition shall not be considered “Good Reason” unless the Transferee gives the Company written notice of such condition within 90 days after such condition comes into existence and the Company fails to remedy such condition within 30 days after receiving the Transferee’s written notice.</w:t>
      </w:r>
    </w:p>
    <w:p>
      <w:pPr>
        <w:spacing w:after="0" w:line="159" w:lineRule="exact"/>
        <w:rPr>
          <w:sz w:val="20"/>
          <w:szCs w:val="20"/>
          <w:color w:val="auto"/>
        </w:rPr>
      </w:pPr>
    </w:p>
    <w:p>
      <w:pPr>
        <w:ind w:right="240" w:firstLine="981"/>
        <w:spacing w:after="0" w:line="282"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Immediate Family</w:t>
      </w:r>
      <w:r>
        <w:rPr>
          <w:rFonts w:ascii="Times New Roman" w:cs="Times New Roman" w:eastAsia="Times New Roman" w:hAnsi="Times New Roman"/>
          <w:sz w:val="18"/>
          <w:szCs w:val="18"/>
          <w:color w:val="auto"/>
        </w:rPr>
        <w:t>” shall mean any child, stepchild, grandchild, parent, stepparent, grandparent, spouse, sibling, mother-in-law, father-in-law, son-in-law, daughter-in- law, brother-in-law or sister-in-law and shall include adoptive relationships.</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color w:val="auto"/>
        </w:rPr>
        <w:t>Involuntary Termination</w:t>
      </w:r>
      <w:r>
        <w:rPr>
          <w:rFonts w:ascii="Times New Roman" w:cs="Times New Roman" w:eastAsia="Times New Roman" w:hAnsi="Times New Roman"/>
          <w:sz w:val="18"/>
          <w:szCs w:val="18"/>
          <w:color w:val="auto"/>
        </w:rPr>
        <w:t>” shall mean the termination of the Transferee’s Service by reason of:</w:t>
      </w:r>
    </w:p>
    <w:p>
      <w:pPr>
        <w:spacing w:after="0" w:line="118" w:lineRule="exact"/>
        <w:rPr>
          <w:sz w:val="20"/>
          <w:szCs w:val="20"/>
          <w:color w:val="auto"/>
        </w:rPr>
      </w:pPr>
    </w:p>
    <w:p>
      <w:pPr>
        <w:ind w:left="420" w:right="340" w:firstLine="942"/>
        <w:spacing w:after="0" w:line="277" w:lineRule="auto"/>
        <w:rPr>
          <w:sz w:val="20"/>
          <w:szCs w:val="20"/>
          <w:color w:val="auto"/>
        </w:rPr>
      </w:pPr>
      <w:r>
        <w:rPr>
          <w:rFonts w:ascii="Times New Roman" w:cs="Times New Roman" w:eastAsia="Times New Roman" w:hAnsi="Times New Roman"/>
          <w:sz w:val="18"/>
          <w:szCs w:val="18"/>
          <w:color w:val="auto"/>
        </w:rPr>
        <w:t>(i)  The involuntary discharge of the Transferee by the Company (or the Parent or Subsidiary employing him or her) for reasons other than Cause; or</w:t>
      </w:r>
    </w:p>
    <w:p>
      <w:pPr>
        <w:spacing w:after="0" w:line="5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    The voluntary resignation of the Transferee for Good Reason.</w:t>
      </w:r>
    </w:p>
    <w:p>
      <w:pPr>
        <w:spacing w:after="0" w:line="2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color w:val="auto"/>
        </w:rPr>
        <w:t>Outside Director</w:t>
      </w:r>
      <w:r>
        <w:rPr>
          <w:rFonts w:ascii="Times New Roman" w:cs="Times New Roman" w:eastAsia="Times New Roman" w:hAnsi="Times New Roman"/>
          <w:sz w:val="18"/>
          <w:szCs w:val="18"/>
          <w:color w:val="auto"/>
        </w:rPr>
        <w:t>” shall mean a member of the Board of Directors who is not an Employee.</w:t>
      </w:r>
    </w:p>
    <w:p>
      <w:pPr>
        <w:spacing w:after="0" w:line="220" w:lineRule="exact"/>
        <w:rPr>
          <w:sz w:val="20"/>
          <w:szCs w:val="20"/>
          <w:color w:val="auto"/>
        </w:rPr>
      </w:pPr>
    </w:p>
    <w:p>
      <w:pPr>
        <w:ind w:firstLine="981"/>
        <w:spacing w:after="0" w:line="265"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shall mean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w:t>
      </w:r>
    </w:p>
    <w:p>
      <w:pPr>
        <w:spacing w:after="0" w:line="1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shall mean the Omada Health, Inc. 2011 Stock Plan, as amended.</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500" w:top="264" w:right="519" w:bottom="1440" w:gutter="0" w:footer="0" w:header="0"/>
        </w:sectPr>
      </w:pPr>
    </w:p>
    <w:bookmarkStart w:id="481" w:name="page482"/>
    <w:bookmarkEnd w:id="48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   “</w:t>
      </w:r>
      <w:r>
        <w:rPr>
          <w:rFonts w:ascii="Times New Roman" w:cs="Times New Roman" w:eastAsia="Times New Roman" w:hAnsi="Times New Roman"/>
          <w:sz w:val="18"/>
          <w:szCs w:val="18"/>
          <w:b w:val="1"/>
          <w:bCs w:val="1"/>
          <w:color w:val="auto"/>
        </w:rPr>
        <w:t>Restricted Share</w:t>
      </w:r>
      <w:r>
        <w:rPr>
          <w:rFonts w:ascii="Times New Roman" w:cs="Times New Roman" w:eastAsia="Times New Roman" w:hAnsi="Times New Roman"/>
          <w:sz w:val="18"/>
          <w:szCs w:val="18"/>
          <w:color w:val="auto"/>
        </w:rPr>
        <w:t>” shall mean a Transferred Share that is subject to the Forfeiture Condition.</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(s)   “</w:t>
      </w:r>
      <w:r>
        <w:rPr>
          <w:rFonts w:ascii="Times New Roman" w:cs="Times New Roman" w:eastAsia="Times New Roman" w:hAnsi="Times New Roman"/>
          <w:sz w:val="17"/>
          <w:szCs w:val="17"/>
          <w:b w:val="1"/>
          <w:bCs w:val="1"/>
          <w:color w:val="auto"/>
        </w:rPr>
        <w:t>Right of First Refusal</w:t>
      </w:r>
      <w:r>
        <w:rPr>
          <w:rFonts w:ascii="Times New Roman" w:cs="Times New Roman" w:eastAsia="Times New Roman" w:hAnsi="Times New Roman"/>
          <w:sz w:val="17"/>
          <w:szCs w:val="17"/>
          <w:color w:val="auto"/>
        </w:rPr>
        <w:t>” shall mean the Company’s right of first refusal described in Section 3.</w:t>
      </w:r>
    </w:p>
    <w:p>
      <w:pPr>
        <w:sectPr>
          <w:pgSz w:w="11900" w:h="16838" w:orient="portrait"/>
          <w:cols w:equalWidth="0" w:num="1">
            <w:col w:w="10580"/>
          </w:cols>
          <w:pgMar w:left="500" w:top="264" w:right="819" w:bottom="1440" w:gutter="0" w:footer="0" w:header="0"/>
        </w:sectPr>
      </w:pPr>
    </w:p>
    <w:p>
      <w:pPr>
        <w:spacing w:after="0" w:line="2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1"/>
          <w:szCs w:val="11"/>
          <w:color w:val="auto"/>
        </w:rPr>
        <w:t>(t)  </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shall mean the Securities Act of 1933, as amended.</w:t>
      </w:r>
    </w:p>
    <w:p>
      <w:pPr>
        <w:spacing w:after="0" w:line="200" w:lineRule="exact"/>
        <w:rPr>
          <w:sz w:val="20"/>
          <w:szCs w:val="20"/>
          <w:color w:val="auto"/>
        </w:rPr>
      </w:pPr>
    </w:p>
    <w:p>
      <w:pPr>
        <w:sectPr>
          <w:pgSz w:w="11900" w:h="16838" w:orient="portrait"/>
          <w:cols w:equalWidth="0" w:num="2">
            <w:col w:w="1240" w:space="120"/>
            <w:col w:w="9220"/>
          </w:cols>
          <w:pgMar w:left="500" w:top="264" w:right="819" w:bottom="1440" w:gutter="0" w:footer="0" w:header="0"/>
          <w:type w:val="continuous"/>
        </w:sectPr>
      </w:pPr>
    </w:p>
    <w:p>
      <w:pPr>
        <w:spacing w:after="0" w:line="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2"/>
          <w:szCs w:val="12"/>
          <w:color w:val="auto"/>
        </w:rPr>
        <w:t>(u)  </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Service</w:t>
      </w:r>
      <w:r>
        <w:rPr>
          <w:rFonts w:ascii="Times New Roman" w:cs="Times New Roman" w:eastAsia="Times New Roman" w:hAnsi="Times New Roman"/>
          <w:sz w:val="17"/>
          <w:szCs w:val="17"/>
          <w:color w:val="auto"/>
        </w:rPr>
        <w:t>” shall mean service as an Employee, Outside Director or Consultant.</w:t>
      </w:r>
    </w:p>
    <w:p>
      <w:pPr>
        <w:spacing w:after="0" w:line="200" w:lineRule="exact"/>
        <w:rPr>
          <w:sz w:val="20"/>
          <w:szCs w:val="20"/>
          <w:color w:val="auto"/>
        </w:rPr>
      </w:pPr>
    </w:p>
    <w:p>
      <w:pPr>
        <w:sectPr>
          <w:pgSz w:w="11900" w:h="16838" w:orient="portrait"/>
          <w:cols w:equalWidth="0" w:num="2">
            <w:col w:w="1280" w:space="120"/>
            <w:col w:w="9180"/>
          </w:cols>
          <w:pgMar w:left="500" w:top="264" w:right="819" w:bottom="1440" w:gutter="0" w:footer="0" w:header="0"/>
          <w:type w:val="continuous"/>
        </w:sectPr>
      </w:pPr>
    </w:p>
    <w:p>
      <w:pPr>
        <w:spacing w:after="0" w:line="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2"/>
          <w:szCs w:val="12"/>
          <w:color w:val="auto"/>
        </w:rPr>
        <w:t>(v)  </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Share</w:t>
      </w:r>
      <w:r>
        <w:rPr>
          <w:rFonts w:ascii="Times New Roman" w:cs="Times New Roman" w:eastAsia="Times New Roman" w:hAnsi="Times New Roman"/>
          <w:sz w:val="17"/>
          <w:szCs w:val="17"/>
          <w:color w:val="auto"/>
        </w:rPr>
        <w:t>” shall mean one share of Stock, as adjusted in accordance with Section 8 of the Plan (if applicable).</w:t>
      </w:r>
    </w:p>
    <w:p>
      <w:pPr>
        <w:spacing w:after="0" w:line="200" w:lineRule="exact"/>
        <w:rPr>
          <w:sz w:val="20"/>
          <w:szCs w:val="20"/>
          <w:color w:val="auto"/>
        </w:rPr>
      </w:pPr>
    </w:p>
    <w:p>
      <w:pPr>
        <w:sectPr>
          <w:pgSz w:w="11900" w:h="16838" w:orient="portrait"/>
          <w:cols w:equalWidth="0" w:num="2">
            <w:col w:w="1280" w:space="120"/>
            <w:col w:w="9180"/>
          </w:cols>
          <w:pgMar w:left="500" w:top="264" w:right="819" w:bottom="1440" w:gutter="0" w:footer="0" w:header="0"/>
          <w:type w:val="continuous"/>
        </w:sectPr>
      </w:pPr>
    </w:p>
    <w:p>
      <w:pPr>
        <w:spacing w:after="0" w:line="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2"/>
          <w:szCs w:val="12"/>
          <w:color w:val="auto"/>
        </w:rPr>
        <w:t>(w)  </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Stock</w:t>
      </w:r>
      <w:r>
        <w:rPr>
          <w:rFonts w:ascii="Times New Roman" w:cs="Times New Roman" w:eastAsia="Times New Roman" w:hAnsi="Times New Roman"/>
          <w:sz w:val="17"/>
          <w:szCs w:val="17"/>
          <w:color w:val="auto"/>
        </w:rPr>
        <w:t>” shall mean the Common Stock of the Company.</w:t>
      </w:r>
    </w:p>
    <w:p>
      <w:pPr>
        <w:spacing w:after="0" w:line="200" w:lineRule="exact"/>
        <w:rPr>
          <w:sz w:val="20"/>
          <w:szCs w:val="20"/>
          <w:color w:val="auto"/>
        </w:rPr>
      </w:pPr>
    </w:p>
    <w:p>
      <w:pPr>
        <w:sectPr>
          <w:pgSz w:w="11900" w:h="16838" w:orient="portrait"/>
          <w:cols w:equalWidth="0" w:num="2">
            <w:col w:w="1320" w:space="120"/>
            <w:col w:w="9140"/>
          </w:cols>
          <w:pgMar w:left="500" w:top="264" w:right="819" w:bottom="1440" w:gutter="0" w:footer="0" w:header="0"/>
          <w:type w:val="continuous"/>
        </w:sectPr>
      </w:pPr>
    </w:p>
    <w:p>
      <w:pPr>
        <w:spacing w:after="0" w:line="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b w:val="1"/>
          <w:bCs w:val="1"/>
          <w:color w:val="auto"/>
        </w:rPr>
        <w:t>Subsequent Transferee</w:t>
      </w:r>
      <w:r>
        <w:rPr>
          <w:rFonts w:ascii="Times New Roman" w:cs="Times New Roman" w:eastAsia="Times New Roman" w:hAnsi="Times New Roman"/>
          <w:sz w:val="18"/>
          <w:szCs w:val="18"/>
          <w:color w:val="auto"/>
        </w:rPr>
        <w:t>” shall mean any person to whom the Transferee has directly or indirectly transferred any Transferred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198" w:lineRule="exact"/>
        <w:rPr>
          <w:sz w:val="20"/>
          <w:szCs w:val="20"/>
          <w:color w:val="auto"/>
        </w:rPr>
      </w:pPr>
    </w:p>
    <w:p>
      <w:pPr>
        <w:ind w:firstLine="981"/>
        <w:spacing w:after="0" w:line="265"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shall mean any corporation (other than the Company) in an unbroken chain or corporations beginning with the Company, if each of the corporations other than the last corporation in the unbroken chain owns stock possessing 50% or more of the total combined voting power of all classes of stock in one of the other corporations in such chain.</w:t>
      </w:r>
    </w:p>
    <w:p>
      <w:pPr>
        <w:spacing w:after="0" w:line="1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b w:val="1"/>
          <w:bCs w:val="1"/>
          <w:color w:val="auto"/>
        </w:rPr>
        <w:t>Summary of Stock Grant</w:t>
      </w:r>
      <w:r>
        <w:rPr>
          <w:rFonts w:ascii="Times New Roman" w:cs="Times New Roman" w:eastAsia="Times New Roman" w:hAnsi="Times New Roman"/>
          <w:sz w:val="18"/>
          <w:szCs w:val="18"/>
          <w:color w:val="auto"/>
        </w:rPr>
        <w:t>” shall mean the document so entitled to which this Agreement is attached.</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shall mean the individual named in the Summary of Stock Grant.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b w:val="1"/>
          <w:bCs w:val="1"/>
          <w:color w:val="auto"/>
        </w:rPr>
        <w:t>Transfer Notice</w:t>
      </w:r>
      <w:r>
        <w:rPr>
          <w:rFonts w:ascii="Times New Roman" w:cs="Times New Roman" w:eastAsia="Times New Roman" w:hAnsi="Times New Roman"/>
          <w:sz w:val="18"/>
          <w:szCs w:val="18"/>
          <w:color w:val="auto"/>
        </w:rPr>
        <w:t>” shall mean the notice of a proposed transfer of Transferred Shares described in Section 3.</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b w:val="1"/>
          <w:bCs w:val="1"/>
          <w:color w:val="auto"/>
        </w:rPr>
        <w:t>Transferred Shares</w:t>
      </w:r>
      <w:r>
        <w:rPr>
          <w:rFonts w:ascii="Times New Roman" w:cs="Times New Roman" w:eastAsia="Times New Roman" w:hAnsi="Times New Roman"/>
          <w:sz w:val="18"/>
          <w:szCs w:val="18"/>
          <w:color w:val="auto"/>
        </w:rPr>
        <w:t>” shall mean the Shares acquired by the Transferee pursuant to this Agreement.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80"/>
          </w:cols>
          <w:pgMar w:left="500" w:top="264" w:right="819" w:bottom="1440" w:gutter="0" w:footer="0" w:header="0"/>
          <w:type w:val="continuous"/>
        </w:sectPr>
      </w:pPr>
    </w:p>
    <w:bookmarkStart w:id="482" w:name="page483"/>
    <w:bookmarkEnd w:id="48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0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b w:val="1"/>
          <w:bCs w:val="1"/>
          <w:color w:val="auto"/>
        </w:rPr>
        <w:t xml:space="preserve">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83(b) E</w:t>
      </w:r>
      <w:r>
        <w:rPr>
          <w:rFonts w:ascii="Times New Roman" w:cs="Times New Roman" w:eastAsia="Times New Roman" w:hAnsi="Times New Roman"/>
          <w:sz w:val="14"/>
          <w:szCs w:val="14"/>
          <w:b w:val="1"/>
          <w:bCs w:val="1"/>
          <w:color w:val="auto"/>
        </w:rPr>
        <w:t>LECTION</w:t>
      </w:r>
    </w:p>
    <w:p>
      <w:pPr>
        <w:spacing w:after="0" w:line="224" w:lineRule="exact"/>
        <w:rPr>
          <w:sz w:val="20"/>
          <w:szCs w:val="20"/>
          <w:color w:val="auto"/>
        </w:rPr>
      </w:pPr>
    </w:p>
    <w:p>
      <w:pPr>
        <w:ind w:right="720" w:firstLine="981"/>
        <w:spacing w:after="0" w:line="277" w:lineRule="auto"/>
        <w:rPr>
          <w:sz w:val="20"/>
          <w:szCs w:val="20"/>
          <w:color w:val="auto"/>
        </w:rPr>
      </w:pPr>
      <w:r>
        <w:rPr>
          <w:rFonts w:ascii="Times New Roman" w:cs="Times New Roman" w:eastAsia="Times New Roman" w:hAnsi="Times New Roman"/>
          <w:sz w:val="18"/>
          <w:szCs w:val="18"/>
          <w:color w:val="auto"/>
        </w:rPr>
        <w:t>This statement is made under Section 83(b) of the Internal Revenue Code of 1986, as amended, pursuant to Treasury Regulations Section 1.83-2.</w:t>
      </w:r>
    </w:p>
    <w:p>
      <w:pPr>
        <w:spacing w:after="0" w:line="70" w:lineRule="exact"/>
        <w:rPr>
          <w:sz w:val="20"/>
          <w:szCs w:val="20"/>
          <w:color w:val="auto"/>
        </w:rPr>
      </w:pPr>
    </w:p>
    <w:p>
      <w:pPr>
        <w:ind w:left="980" w:right="6780" w:hanging="559"/>
        <w:spacing w:after="0" w:line="526" w:lineRule="auto"/>
        <w:tabs>
          <w:tab w:leader="none" w:pos="953"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taxpayer who performed the services is: Name:</w:t>
      </w:r>
    </w:p>
    <w:p>
      <w:pPr>
        <w:spacing w:after="0" w:line="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-271780</wp:posOffset>
            </wp:positionV>
            <wp:extent cx="290131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07">
                      <a:extLst>
                        <a:ext uri="{28A0092B-C50C-407E-A947-70E740481C1C}"/>
                      </a:extLst>
                    </a:blip>
                    <a:srcRect/>
                    <a:stretch>
                      <a:fillRect/>
                    </a:stretch>
                  </pic:blipFill>
                  <pic:spPr bwMode="auto">
                    <a:xfrm>
                      <a:off x="0" y="0"/>
                      <a:ext cx="2901315"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15875</wp:posOffset>
            </wp:positionV>
            <wp:extent cx="290131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08">
                      <a:extLst>
                        <a:ext uri="{28A0092B-C50C-407E-A947-70E740481C1C}"/>
                      </a:extLst>
                    </a:blip>
                    <a:srcRect/>
                    <a:stretch>
                      <a:fillRect/>
                    </a:stretch>
                  </pic:blipFill>
                  <pic:spPr bwMode="auto">
                    <a:xfrm>
                      <a:off x="0" y="0"/>
                      <a:ext cx="290131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168910</wp:posOffset>
            </wp:positionV>
            <wp:extent cx="340995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09">
                      <a:extLst>
                        <a:ext uri="{28A0092B-C50C-407E-A947-70E740481C1C}"/>
                      </a:extLst>
                    </a:blip>
                    <a:srcRect/>
                    <a:stretch>
                      <a:fillRect/>
                    </a:stretch>
                  </pic:blipFill>
                  <pic:spPr bwMode="auto">
                    <a:xfrm>
                      <a:off x="0" y="0"/>
                      <a:ext cx="3409950" cy="8255"/>
                    </a:xfrm>
                    <a:prstGeom prst="rect">
                      <a:avLst/>
                    </a:prstGeom>
                    <a:noFill/>
                  </pic:spPr>
                </pic:pic>
              </a:graphicData>
            </a:graphic>
          </wp:anchor>
        </w:drawing>
      </w:r>
    </w:p>
    <w:p>
      <w:pPr>
        <w:spacing w:after="0" w:line="361" w:lineRule="exact"/>
        <w:rPr>
          <w:sz w:val="20"/>
          <w:szCs w:val="20"/>
          <w:color w:val="auto"/>
        </w:rPr>
      </w:pPr>
    </w:p>
    <w:tbl>
      <w:tblPr>
        <w:tblLayout w:type="fixed"/>
        <w:tblInd w:w="420" w:type="dxa"/>
        <w:tblCellMar>
          <w:top w:w="0" w:type="dxa"/>
          <w:left w:w="0" w:type="dxa"/>
          <w:bottom w:w="0" w:type="dxa"/>
          <w:right w:w="0" w:type="dxa"/>
        </w:tblCellMar>
      </w:tblPr>
      <w:tr>
        <w:trPr>
          <w:trHeight w:val="232"/>
        </w:trPr>
        <w:tc>
          <w:tcPr>
            <w:tcW w:w="380" w:type="dxa"/>
            <w:vAlign w:val="bottom"/>
          </w:tcPr>
          <w:p>
            <w:pPr>
              <w:spacing w:after="0"/>
              <w:rPr>
                <w:sz w:val="20"/>
                <w:szCs w:val="20"/>
                <w:color w:val="auto"/>
              </w:rPr>
            </w:pPr>
          </w:p>
        </w:tc>
        <w:tc>
          <w:tcPr>
            <w:tcW w:w="1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Social Security No.:</w:t>
            </w:r>
          </w:p>
        </w:tc>
        <w:tc>
          <w:tcPr>
            <w:tcW w:w="3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341"/>
        </w:trPr>
        <w:tc>
          <w:tcPr>
            <w:tcW w:w="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5"/>
              </w:rPr>
              <w:t>(2)</w:t>
            </w:r>
          </w:p>
        </w:tc>
        <w:tc>
          <w:tcPr>
            <w:tcW w:w="5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The property with respect to which the election is made is           </w:t>
            </w:r>
          </w:p>
        </w:tc>
        <w:tc>
          <w:tcPr>
            <w:tcW w:w="3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8"/>
              </w:rPr>
              <w:t>shares of the common stock of Omada Health, Inc.</w:t>
            </w:r>
          </w:p>
        </w:tc>
      </w:tr>
    </w:tbl>
    <w:p>
      <w:pPr>
        <w:spacing w:after="0" w:line="101" w:lineRule="exact"/>
        <w:rPr>
          <w:sz w:val="20"/>
          <w:szCs w:val="20"/>
          <w:color w:val="auto"/>
        </w:rPr>
      </w:pPr>
    </w:p>
    <w:p>
      <w:pPr>
        <w:ind w:left="960" w:hanging="539"/>
        <w:spacing w:after="0"/>
        <w:tabs>
          <w:tab w:leader="none" w:pos="96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was transferred on           ,       .</w:t>
      </w:r>
    </w:p>
    <w:p>
      <w:pPr>
        <w:spacing w:after="0" w:line="127"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The taxable year for which the election is made is the calendar year       .</w:t>
      </w:r>
    </w:p>
    <w:p>
      <w:pPr>
        <w:spacing w:after="0" w:line="127" w:lineRule="exact"/>
        <w:rPr>
          <w:sz w:val="20"/>
          <w:szCs w:val="20"/>
          <w:color w:val="auto"/>
        </w:rPr>
      </w:pPr>
    </w:p>
    <w:p>
      <w:pPr>
        <w:ind w:left="960" w:hanging="539"/>
        <w:spacing w:after="0"/>
        <w:tabs>
          <w:tab w:leader="none" w:pos="96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is subject to forfeiture if for any reason taxpayer’s service with the issuer terminates. The forfeiture condition lapses in a</w:t>
      </w:r>
    </w:p>
    <w:p>
      <w:pPr>
        <w:spacing w:after="0" w:line="2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series of installments over a       -year period ending on           ,       .</w:t>
      </w:r>
    </w:p>
    <w:p>
      <w:pPr>
        <w:spacing w:after="0" w:line="108" w:lineRule="exact"/>
        <w:rPr>
          <w:sz w:val="20"/>
          <w:szCs w:val="20"/>
          <w:color w:val="auto"/>
        </w:rPr>
      </w:pPr>
    </w:p>
    <w:p>
      <w:pPr>
        <w:ind w:left="960" w:hanging="539"/>
        <w:spacing w:after="0"/>
        <w:tabs>
          <w:tab w:leader="none" w:pos="96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such property at the time of transfer (determined without regard to any restriction other than a restriction that by</w:t>
      </w:r>
    </w:p>
    <w:p>
      <w:pPr>
        <w:spacing w:after="0" w:line="26" w:lineRule="exact"/>
        <w:rPr>
          <w:sz w:val="20"/>
          <w:szCs w:val="20"/>
          <w:color w:val="auto"/>
        </w:rPr>
      </w:pPr>
    </w:p>
    <w:p>
      <w:pPr>
        <w:ind w:left="960"/>
        <w:spacing w:after="0"/>
        <w:tabs>
          <w:tab w:leader="none" w:pos="3480" w:val="left"/>
        </w:tabs>
        <w:rPr>
          <w:sz w:val="20"/>
          <w:szCs w:val="20"/>
          <w:color w:val="auto"/>
        </w:rPr>
      </w:pPr>
      <w:r>
        <w:rPr>
          <w:rFonts w:ascii="Times New Roman" w:cs="Times New Roman" w:eastAsia="Times New Roman" w:hAnsi="Times New Roman"/>
          <w:sz w:val="18"/>
          <w:szCs w:val="18"/>
          <w:color w:val="auto"/>
        </w:rPr>
        <w:t xml:space="preserve">its terms will never lapse) is $    </w:t>
      </w:r>
      <w:r>
        <w:rPr>
          <w:sz w:val="20"/>
          <w:szCs w:val="20"/>
          <w:color w:val="auto"/>
        </w:rPr>
        <w:tab/>
      </w:r>
      <w:r>
        <w:rPr>
          <w:rFonts w:ascii="Times New Roman" w:cs="Times New Roman" w:eastAsia="Times New Roman" w:hAnsi="Times New Roman"/>
          <w:sz w:val="17"/>
          <w:szCs w:val="17"/>
          <w:color w:val="auto"/>
        </w:rPr>
        <w:t>per share.</w:t>
      </w:r>
    </w:p>
    <w:p>
      <w:pPr>
        <w:spacing w:after="0" w:line="108" w:lineRule="exact"/>
        <w:rPr>
          <w:sz w:val="20"/>
          <w:szCs w:val="20"/>
          <w:color w:val="auto"/>
        </w:rPr>
      </w:pPr>
    </w:p>
    <w:p>
      <w:pPr>
        <w:ind w:left="960" w:hanging="539"/>
        <w:spacing w:after="0"/>
        <w:tabs>
          <w:tab w:leader="none" w:pos="9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amount was paid for such property.</w:t>
      </w:r>
    </w:p>
    <w:p>
      <w:pPr>
        <w:spacing w:after="0" w:line="126" w:lineRule="exact"/>
        <w:rPr>
          <w:rFonts w:ascii="Times New Roman" w:cs="Times New Roman" w:eastAsia="Times New Roman" w:hAnsi="Times New Roman"/>
          <w:sz w:val="18"/>
          <w:szCs w:val="18"/>
          <w:color w:val="auto"/>
        </w:rPr>
      </w:pPr>
    </w:p>
    <w:p>
      <w:pPr>
        <w:ind w:left="960" w:right="320" w:hanging="539"/>
        <w:spacing w:after="0" w:line="277" w:lineRule="auto"/>
        <w:tabs>
          <w:tab w:leader="none" w:pos="9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this statement was furnished to Omada Health, Inc., for whom taxpayer rendered the services underlying the transfer of such property.</w:t>
      </w:r>
    </w:p>
    <w:p>
      <w:pPr>
        <w:spacing w:after="0" w:line="70"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This statement is executed on           ,       .</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692150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10">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3" w:lineRule="exact"/>
        <w:rPr>
          <w:sz w:val="20"/>
          <w:szCs w:val="20"/>
          <w:color w:val="auto"/>
        </w:rPr>
      </w:pPr>
    </w:p>
    <w:p>
      <w:pPr>
        <w:spacing w:after="0"/>
        <w:tabs>
          <w:tab w:leader="none" w:pos="5860" w:val="left"/>
        </w:tabs>
        <w:rPr>
          <w:sz w:val="20"/>
          <w:szCs w:val="20"/>
          <w:color w:val="auto"/>
        </w:rPr>
      </w:pPr>
      <w:r>
        <w:rPr>
          <w:rFonts w:ascii="Times New Roman" w:cs="Times New Roman" w:eastAsia="Times New Roman" w:hAnsi="Times New Roman"/>
          <w:sz w:val="18"/>
          <w:szCs w:val="18"/>
          <w:color w:val="auto"/>
        </w:rPr>
        <w:t>Spouse (if any)</w:t>
      </w:r>
      <w:r>
        <w:rPr>
          <w:sz w:val="20"/>
          <w:szCs w:val="20"/>
          <w:color w:val="auto"/>
        </w:rPr>
        <w:tab/>
      </w:r>
      <w:r>
        <w:rPr>
          <w:rFonts w:ascii="Times New Roman" w:cs="Times New Roman" w:eastAsia="Times New Roman" w:hAnsi="Times New Roman"/>
          <w:sz w:val="17"/>
          <w:szCs w:val="17"/>
          <w:color w:val="auto"/>
        </w:rPr>
        <w:t>Taxpayer</w:t>
      </w:r>
    </w:p>
    <w:p>
      <w:pPr>
        <w:spacing w:after="0" w:line="216"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Within 30 days after the date of transfer, this election must be filed with the Internal Revenue Service Center where the Transferee files his or her federal income tax returns. The filing should be made by registered or certified mail, return receipt requested. The Transferee must (a) file a copy of the completed form with his or her federal tax return for the current tax year and (b) deliver an additional copy to the Company.</w:t>
      </w:r>
    </w:p>
    <w:p>
      <w:pPr>
        <w:sectPr>
          <w:pgSz w:w="11900" w:h="16838" w:orient="portrait"/>
          <w:cols w:equalWidth="0" w:num="1">
            <w:col w:w="10900"/>
          </w:cols>
          <w:pgMar w:left="500" w:top="263" w:right="499" w:bottom="1440" w:gutter="0" w:footer="0" w:header="0"/>
        </w:sectPr>
      </w:pPr>
    </w:p>
    <w:bookmarkStart w:id="483" w:name="page484"/>
    <w:bookmarkEnd w:id="483"/>
    <w:p>
      <w:pPr>
        <w:jc w:val="right"/>
        <w:spacing w:after="0"/>
        <w:rPr>
          <w:sz w:val="20"/>
          <w:szCs w:val="20"/>
          <w:color w:val="auto"/>
        </w:rPr>
      </w:pPr>
      <w:r>
        <w:rPr>
          <w:rFonts w:ascii="Times New Roman" w:cs="Times New Roman" w:eastAsia="Times New Roman" w:hAnsi="Times New Roman"/>
          <w:sz w:val="18"/>
          <w:szCs w:val="18"/>
          <w:b w:val="1"/>
          <w:bCs w:val="1"/>
          <w:color w:val="auto"/>
        </w:rPr>
        <w:t>Exhibit 10.9(a)</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INCENTIVE AWARD PLAN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2" w:lineRule="exact"/>
        <w:rPr>
          <w:sz w:val="20"/>
          <w:szCs w:val="20"/>
          <w:color w:val="auto"/>
        </w:rPr>
      </w:pPr>
    </w:p>
    <w:p>
      <w:pPr>
        <w:ind w:right="400" w:firstLine="436"/>
        <w:spacing w:after="0" w:line="277" w:lineRule="auto"/>
        <w:rPr>
          <w:sz w:val="20"/>
          <w:szCs w:val="20"/>
          <w:color w:val="auto"/>
        </w:rPr>
      </w:pPr>
      <w:r>
        <w:rPr>
          <w:rFonts w:ascii="Times New Roman" w:cs="Times New Roman" w:eastAsia="Times New Roman" w:hAnsi="Times New Roman"/>
          <w:sz w:val="18"/>
          <w:szCs w:val="18"/>
          <w:color w:val="auto"/>
        </w:rPr>
        <w:t>The Plan’s purpose is to enhance the Company’s ability to attract, retain and motivate persons who make (or are expected to make) important contributions to the Company by providing these individuals with equity ownership opportunities.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used in the Plan, the following words and phrases have the meanings specified below, unless the context clearly indicates otherwise:</w:t>
      </w:r>
    </w:p>
    <w:p>
      <w:pPr>
        <w:spacing w:after="0" w:line="110" w:lineRule="exact"/>
        <w:rPr>
          <w:sz w:val="20"/>
          <w:szCs w:val="20"/>
          <w:color w:val="auto"/>
        </w:rPr>
      </w:pPr>
    </w:p>
    <w:p>
      <w:pPr>
        <w:ind w:right="20" w:firstLine="436"/>
        <w:spacing w:after="0" w:line="256"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Board or a Committee to the extent that the Board’s powers or authority under the Plan have been delegated to such Committee. With reference to the Board’s or a Committee’s powers or authority under the Plan that have been delegated to one or more officers pursuant to Section 4.2, the term “Administrator” shall refer to such officer(s) unless and until such delegation has been revoked. Notwithstanding anything herein to the contrary, the Board shall conduct the general administration of the Plan with respect to Awards granted to non-employee Directors and, with respect to such Awards, the term “Administrator” as used in the Plan shall mean and refer to the Board.</w:t>
      </w:r>
    </w:p>
    <w:p>
      <w:pPr>
        <w:spacing w:after="0" w:line="72" w:lineRule="exact"/>
        <w:rPr>
          <w:sz w:val="20"/>
          <w:szCs w:val="20"/>
          <w:color w:val="auto"/>
        </w:rPr>
      </w:pPr>
    </w:p>
    <w:p>
      <w:pPr>
        <w:jc w:val="both"/>
        <w:ind w:right="280" w:firstLine="436"/>
        <w:spacing w:after="0" w:line="265"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w:t>
      </w:r>
    </w:p>
    <w:p>
      <w:pPr>
        <w:spacing w:after="0" w:line="62" w:lineRule="exact"/>
        <w:rPr>
          <w:sz w:val="20"/>
          <w:szCs w:val="20"/>
          <w:color w:val="auto"/>
        </w:rPr>
      </w:pPr>
    </w:p>
    <w:p>
      <w:pPr>
        <w:jc w:val="both"/>
        <w:ind w:right="320" w:firstLine="436"/>
        <w:spacing w:after="0" w:line="259"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b w:val="1"/>
          <w:bCs w:val="1"/>
          <w:i w:val="1"/>
          <w:iCs w:val="1"/>
          <w:color w:val="auto"/>
        </w:rPr>
        <w:t>Automatic Exercise Date</w:t>
      </w:r>
      <w:r>
        <w:rPr>
          <w:rFonts w:ascii="Times New Roman" w:cs="Times New Roman" w:eastAsia="Times New Roman" w:hAnsi="Times New Roman"/>
          <w:sz w:val="18"/>
          <w:szCs w:val="18"/>
          <w:color w:val="auto"/>
        </w:rPr>
        <w:t>” means, with respect to an Option or a Stock Appreciation Right, the last business day of the applicable Option term or Stock Appreciation Right term that was initially established by the Administrator for such Option or Stock Appreciation Right (e.g., the last business day prior to the tenth anniversary of the date of grant of such Option or Stock Appreciation Right if the Option or Stock Appreciation Right initially had a ten-year Option term or Stock Appreciation Right term, as applicable).</w:t>
      </w:r>
    </w:p>
    <w:p>
      <w:pPr>
        <w:spacing w:after="0" w:line="68" w:lineRule="exact"/>
        <w:rPr>
          <w:sz w:val="20"/>
          <w:szCs w:val="20"/>
          <w:color w:val="auto"/>
        </w:rPr>
      </w:pPr>
    </w:p>
    <w:p>
      <w:pPr>
        <w:ind w:right="120" w:firstLine="436"/>
        <w:spacing w:after="0" w:line="312" w:lineRule="auto"/>
        <w:rPr>
          <w:sz w:val="20"/>
          <w:szCs w:val="20"/>
          <w:color w:val="auto"/>
        </w:rPr>
      </w:pPr>
      <w:r>
        <w:rPr>
          <w:rFonts w:ascii="Times New Roman" w:cs="Times New Roman" w:eastAsia="Times New Roman" w:hAnsi="Times New Roman"/>
          <w:sz w:val="17"/>
          <w:szCs w:val="17"/>
          <w:color w:val="auto"/>
        </w:rPr>
        <w:t>2.4 “</w:t>
      </w:r>
      <w:r>
        <w:rPr>
          <w:rFonts w:ascii="Times New Roman" w:cs="Times New Roman" w:eastAsia="Times New Roman" w:hAnsi="Times New Roman"/>
          <w:sz w:val="17"/>
          <w:szCs w:val="17"/>
          <w:b w:val="1"/>
          <w:bCs w:val="1"/>
          <w:i w:val="1"/>
          <w:iCs w:val="1"/>
          <w:color w:val="auto"/>
        </w:rPr>
        <w:t>Award</w:t>
      </w:r>
      <w:r>
        <w:rPr>
          <w:rFonts w:ascii="Times New Roman" w:cs="Times New Roman" w:eastAsia="Times New Roman" w:hAnsi="Times New Roman"/>
          <w:sz w:val="17"/>
          <w:szCs w:val="17"/>
          <w:color w:val="auto"/>
        </w:rPr>
        <w:t>” means an Option award, Stock Appreciation Right award, Restricted Stock award, Restricted Stock Unit award, Performance Bonus Award, Performance Stock Unit award, Dividend Equivalents award or Other Stock or Cash Based Award granted to a Participant under the Plan.</w:t>
      </w:r>
    </w:p>
    <w:p>
      <w:pPr>
        <w:spacing w:after="0" w:line="26" w:lineRule="exact"/>
        <w:rPr>
          <w:sz w:val="20"/>
          <w:szCs w:val="20"/>
          <w:color w:val="auto"/>
        </w:rPr>
      </w:pPr>
    </w:p>
    <w:p>
      <w:pPr>
        <w:ind w:right="20" w:firstLine="436"/>
        <w:spacing w:after="0" w:line="282"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an agreement evidencing an Award, which may be written or electronic, that contains such terms and conditions as the Administrator determines, consistent with and subject to the terms and conditions of the Plan.</w:t>
      </w:r>
    </w:p>
    <w:p>
      <w:pPr>
        <w:spacing w:after="0" w:line="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ectPr>
          <w:pgSz w:w="11900" w:h="16838" w:orient="portrait"/>
          <w:cols w:equalWidth="0" w:num="1">
            <w:col w:w="10900"/>
          </w:cols>
          <w:pgMar w:left="500" w:top="117" w:right="499" w:bottom="1440" w:gutter="0" w:footer="0" w:header="0"/>
        </w:sectPr>
      </w:pPr>
    </w:p>
    <w:bookmarkStart w:id="484" w:name="page485"/>
    <w:bookmarkEnd w:id="484"/>
    <w:p>
      <w:pPr>
        <w:ind w:right="80" w:firstLine="436"/>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2.7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have the meaning ascribed to such term, or term of similar effect, in any offer letter, employment, severance or similar agreement, including any Award Agreement, between the Participant and the Company; provided, that in the absence of an offer letter, employment, severance or similar agreement containing such definition, “Cause” means, with respect to a Participant, the occurrence of any of the following: (a) a Participant’s gross negligence or willful misconduct in the performance of the Participant’s duties or the Participant’s willful or repeated failure to follow reasonable and lawful instructions from the Company or the applicable supervisor (other than any such failure resulting from incapacity due to Disability); (b) a Participant’s failure to comply with any valid legal directive of the Company or any successor; (c) a Participant’s commission, conviction of, or plea of guilty or no contest to, any felony; (d) a Participant’s commission, conviction of, or plea of guilty or no contest to, a crime involving fraud or dishonesty under the law of the United States or any state applicable; (e) a Participant’s material violation of any contract or agreement between a Participant and the Company or any statutory duty owed to the Company; (f) a Participant’s material violation of the Company’s written policies or codes of conduct, including written policies related to discrimination, harassment, performance of illegal or unethical activities and ethical misconduct; (g) a Participant’s unauthorized use or disclosure of the confidential information or trade secrets of the Company; and (h) a Participant’s engagement in conduct that brings the Company into public disgrace, embarrassment, disrepute or causes negative publicity, in each case, that would cause material adverse effects to the Company. The term “Company” will be interpreted to include any Subsidiary, Parent, affiliate, or any successor thereto, if appropriate. The determination that a termination of a Participant’s employment is either for Cause or without Cause shall be made by the Administrator, in its sole discretion.</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any of the following:</w:t>
      </w:r>
    </w:p>
    <w:p>
      <w:pPr>
        <w:spacing w:after="0" w:line="118" w:lineRule="exact"/>
        <w:rPr>
          <w:sz w:val="20"/>
          <w:szCs w:val="20"/>
          <w:color w:val="auto"/>
        </w:rPr>
      </w:pPr>
    </w:p>
    <w:p>
      <w:pPr>
        <w:ind w:firstLine="975"/>
        <w:spacing w:after="0" w:line="251" w:lineRule="auto"/>
        <w:tabs>
          <w:tab w:leader="none" w:pos="1223"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directly or indirectly acquires beneficial ownership (within the meaning of Rules 13d-3 and 13d-5 under the Exchange Act) of the Company’s securities possessing more than 50% of the total combined voting power of the Company’s securities outstanding immediately after such acquisition; provided, however, that the following acquisitions shall not constitute a Change in Control: (i) any acquisition by the Company or any of its Subsidiaries; (ii) any acquisition by an employee benefit plan maintained by the Company or any of its Subsidiaries, (iii) any acquisition which complies with Sections 2.7(c)(i), 2.7(c)(ii) and 2.7(c)(iii); or (iv) in respect of an Award held by a particular Participant, any acquisition by the Participant or any group of persons including the Participant (or any entity controlled by the Participant or any group of persons including the Participant);</w:t>
      </w:r>
    </w:p>
    <w:p>
      <w:pPr>
        <w:spacing w:after="0" w:line="82"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Incumbent Directors cease for any reason to constitute a majority of the Board;</w:t>
      </w:r>
    </w:p>
    <w:p>
      <w:pPr>
        <w:spacing w:after="0" w:line="113" w:lineRule="exact"/>
        <w:rPr>
          <w:rFonts w:ascii="Times New Roman" w:cs="Times New Roman" w:eastAsia="Times New Roman" w:hAnsi="Times New Roman"/>
          <w:sz w:val="18"/>
          <w:szCs w:val="18"/>
          <w:color w:val="auto"/>
        </w:rPr>
      </w:pPr>
    </w:p>
    <w:p>
      <w:pPr>
        <w:ind w:right="160" w:firstLine="975"/>
        <w:spacing w:after="0" w:line="257" w:lineRule="auto"/>
        <w:tabs>
          <w:tab w:leader="none" w:pos="1223"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60"/>
          </w:cols>
          <w:pgMar w:left="500" w:top="264" w:right="539" w:bottom="1440" w:gutter="0" w:footer="0" w:header="0"/>
        </w:sectPr>
      </w:pPr>
    </w:p>
    <w:bookmarkStart w:id="485" w:name="page486"/>
    <w:bookmarkEnd w:id="485"/>
    <w:p>
      <w:pPr>
        <w:ind w:right="80" w:firstLine="1411"/>
        <w:spacing w:after="0" w:line="255" w:lineRule="auto"/>
        <w:tabs>
          <w:tab w:leader="none" w:pos="163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18"/>
          <w:szCs w:val="18"/>
          <w:b w:val="1"/>
          <w:bCs w:val="1"/>
          <w:i w:val="1"/>
          <w:iCs w:val="1"/>
          <w:color w:val="auto"/>
        </w:rPr>
        <w:t>Successor Entity</w:t>
      </w:r>
      <w:r>
        <w:rPr>
          <w:rFonts w:ascii="Times New Roman" w:cs="Times New Roman" w:eastAsia="Times New Roman" w:hAnsi="Times New Roman"/>
          <w:sz w:val="18"/>
          <w:szCs w:val="18"/>
          <w:color w:val="auto"/>
        </w:rPr>
        <w:t>”)) directly or indirectly, at least a majority of the combined voting power of the Successor Entity’s outstanding voting securities immediately after the transaction; and</w:t>
      </w:r>
    </w:p>
    <w:p>
      <w:pPr>
        <w:spacing w:after="0" w:line="75" w:lineRule="exact"/>
        <w:rPr>
          <w:rFonts w:ascii="Times New Roman" w:cs="Times New Roman" w:eastAsia="Times New Roman" w:hAnsi="Times New Roman"/>
          <w:sz w:val="18"/>
          <w:szCs w:val="18"/>
          <w:color w:val="auto"/>
        </w:rPr>
      </w:pPr>
    </w:p>
    <w:p>
      <w:pPr>
        <w:jc w:val="both"/>
        <w:ind w:right="60" w:firstLine="1411"/>
        <w:spacing w:after="0" w:line="257" w:lineRule="auto"/>
        <w:tabs>
          <w:tab w:leader="none" w:pos="1679"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which no person or group beneficially owns voting securities representing 50% or more of the combined voting power of the Successor Entity;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no person or group shall be treated for purposes of this Section 2.7.(c)(ii) as beneficially owning 50% or more of the combined voting power of the Successor Entity solely as a result of the voting power held in the Company prior to the consummation of the transaction; or</w:t>
      </w:r>
    </w:p>
    <w:p>
      <w:pPr>
        <w:spacing w:after="0" w:line="75"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a liquidation or dissolution of the Company.</w:t>
      </w:r>
    </w:p>
    <w:p>
      <w:pPr>
        <w:spacing w:after="0" w:line="22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(a), (b), (c) or (d) of this Section 2.7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8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The Administrator shall have full and final authority, which shall be exercised in its sole discretion, to determine conclusively whether a Change in Control has occurred pursuant to the above definition, the date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71" w:lineRule="exact"/>
        <w:rPr>
          <w:sz w:val="20"/>
          <w:szCs w:val="20"/>
          <w:color w:val="auto"/>
        </w:rPr>
      </w:pPr>
    </w:p>
    <w:p>
      <w:pPr>
        <w:ind w:right="840" w:firstLine="436"/>
        <w:spacing w:after="0" w:line="282"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and all regulations, guidance, compliance programs and other interpretative authority issued thereunder.</w:t>
      </w:r>
    </w:p>
    <w:p>
      <w:pPr>
        <w:spacing w:after="0" w:line="48" w:lineRule="exact"/>
        <w:rPr>
          <w:sz w:val="20"/>
          <w:szCs w:val="20"/>
          <w:color w:val="auto"/>
        </w:rPr>
      </w:pPr>
    </w:p>
    <w:p>
      <w:pPr>
        <w:ind w:right="80" w:firstLine="436"/>
        <w:spacing w:after="0" w:line="256" w:lineRule="auto"/>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one or more committees or subcommittees of the Board, which may include one or more Directors or executive officers of the Company, to the extent permitted by Applicable Law.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Omada Health, Inc., a Delaware corporation, or any successor.</w:t>
      </w:r>
    </w:p>
    <w:p>
      <w:pPr>
        <w:spacing w:after="0" w:line="114" w:lineRule="exact"/>
        <w:rPr>
          <w:sz w:val="20"/>
          <w:szCs w:val="20"/>
          <w:color w:val="auto"/>
        </w:rPr>
      </w:pPr>
    </w:p>
    <w:p>
      <w:pPr>
        <w:ind w:firstLine="436"/>
        <w:spacing w:after="0" w:line="259"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any adviser, engaged by the Company or a Subsidiary to render services to such entity if the consultant or adviser: (i) renders bona fide services to the Company or a Subsidiary; (ii) renders services not in connection with the offer or sale of securities in a capital-raising transaction and does not directly or indirectly promote or maintain a market for the Company’s securities; and (iii) qualifies as a consultant or advisor under Instruction A.1(a)(1) of Form S-8 under the Securities Act.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500" w:top="268" w:right="519" w:bottom="1440" w:gutter="0" w:footer="0" w:header="0"/>
        </w:sectPr>
      </w:pPr>
    </w:p>
    <w:bookmarkStart w:id="486" w:name="page487"/>
    <w:bookmarkEnd w:id="486"/>
    <w:p>
      <w:pPr>
        <w:jc w:val="both"/>
        <w:ind w:right="240" w:firstLine="436"/>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2.14 “</w:t>
      </w:r>
      <w:r>
        <w:rPr>
          <w:rFonts w:ascii="Times New Roman" w:cs="Times New Roman" w:eastAsia="Times New Roman" w:hAnsi="Times New Roman"/>
          <w:sz w:val="18"/>
          <w:szCs w:val="18"/>
          <w:b w:val="1"/>
          <w:bCs w:val="1"/>
          <w:i w:val="1"/>
          <w:iCs w:val="1"/>
          <w:color w:val="auto"/>
        </w:rPr>
        <w:t>Designated Beneficiary</w:t>
      </w:r>
      <w:r>
        <w:rPr>
          <w:rFonts w:ascii="Times New Roman" w:cs="Times New Roman" w:eastAsia="Times New Roman" w:hAnsi="Times New Roman"/>
          <w:sz w:val="18"/>
          <w:szCs w:val="18"/>
          <w:color w:val="auto"/>
        </w:rPr>
        <w:t>” means, if permitted by the Company, the beneficiary or beneficiaries the Participant designates, in a manner the Company determines, to receive amounts due or exercise the Participant’s rights if the Participant dies. Without a Participant’s effective designation, “Designated Beneficiary” will mean the Participant’s estate or legal heirs.</w:t>
      </w:r>
    </w:p>
    <w:p>
      <w:pPr>
        <w:spacing w:after="0" w:line="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Board member.</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a permanent and total disability under Section 22(e)(3) of the Code.</w:t>
      </w:r>
    </w:p>
    <w:p>
      <w:pPr>
        <w:spacing w:after="0" w:line="114" w:lineRule="exact"/>
        <w:rPr>
          <w:sz w:val="20"/>
          <w:szCs w:val="20"/>
          <w:color w:val="auto"/>
        </w:rPr>
      </w:pPr>
    </w:p>
    <w:p>
      <w:pPr>
        <w:ind w:right="320" w:firstLine="436"/>
        <w:spacing w:after="0" w:line="265" w:lineRule="auto"/>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means a right granted to a Participant to receive the equivalent value (in cash or Shares) of dividends paid on a specified number of Shares. Such Dividend Equivalent shall be converted to cash or additional Shares, or a combination of cash and Shares, by such formula and at such time and subject to such limitations as may be determined by the Administrator.</w:t>
      </w:r>
    </w:p>
    <w:p>
      <w:pPr>
        <w:spacing w:after="0" w:line="62" w:lineRule="exact"/>
        <w:rPr>
          <w:sz w:val="20"/>
          <w:szCs w:val="20"/>
          <w:color w:val="auto"/>
        </w:rPr>
      </w:pPr>
    </w:p>
    <w:p>
      <w:pPr>
        <w:ind w:right="260" w:firstLine="436"/>
        <w:spacing w:after="0" w:line="282" w:lineRule="auto"/>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b w:val="1"/>
          <w:bCs w:val="1"/>
          <w:i w:val="1"/>
          <w:iCs w:val="1"/>
          <w:color w:val="auto"/>
        </w:rPr>
        <w:t>DRO</w:t>
      </w:r>
      <w:r>
        <w:rPr>
          <w:rFonts w:ascii="Times New Roman" w:cs="Times New Roman" w:eastAsia="Times New Roman" w:hAnsi="Times New Roman"/>
          <w:sz w:val="18"/>
          <w:szCs w:val="18"/>
          <w:color w:val="auto"/>
        </w:rPr>
        <w:t>” means a “domestic relations order” as defined by the Code or Title I of the Employee Retirement Income Security Act of 1974, as amended, or the rules thereunder.</w:t>
      </w:r>
    </w:p>
    <w:p>
      <w:pPr>
        <w:spacing w:after="0" w:line="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has the meaning set forth in Section 11.3.</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employee of the Company or any of its Subsidiaries.</w:t>
      </w:r>
    </w:p>
    <w:p>
      <w:pPr>
        <w:spacing w:after="0" w:line="114" w:lineRule="exact"/>
        <w:rPr>
          <w:sz w:val="20"/>
          <w:szCs w:val="20"/>
          <w:color w:val="auto"/>
        </w:rPr>
      </w:pPr>
    </w:p>
    <w:p>
      <w:pPr>
        <w:ind w:firstLine="436"/>
        <w:spacing w:after="0" w:line="259" w:lineRule="auto"/>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b w:val="1"/>
          <w:bCs w:val="1"/>
          <w:i w:val="1"/>
          <w:iCs w:val="1"/>
          <w:color w:val="auto"/>
        </w:rPr>
        <w:t>Equity Restructuring</w:t>
      </w:r>
      <w:r>
        <w:rPr>
          <w:rFonts w:ascii="Times New Roman" w:cs="Times New Roman" w:eastAsia="Times New Roman" w:hAnsi="Times New Roman"/>
          <w:sz w:val="18"/>
          <w:szCs w:val="18"/>
          <w:color w:val="auto"/>
        </w:rPr>
        <w:t>” means a nonreciprocal transaction between the Company and its stockholders, such as a stock dividend, stock split (including a reverse stock split), spin-off or recapitalization through a large, nonrecurring cash dividend, that affects the number or kind of Shares (or other Company securities) or the share price of Common Stock (or other Company securities) and causes a change in the per share value of the Common Stock underlying outstanding Awards.</w:t>
      </w:r>
    </w:p>
    <w:p>
      <w:pPr>
        <w:spacing w:after="0" w:line="68" w:lineRule="exact"/>
        <w:rPr>
          <w:sz w:val="20"/>
          <w:szCs w:val="20"/>
          <w:color w:val="auto"/>
        </w:rPr>
      </w:pPr>
    </w:p>
    <w:p>
      <w:pPr>
        <w:ind w:right="620" w:firstLine="436"/>
        <w:spacing w:after="0" w:line="282" w:lineRule="auto"/>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 and all regulations, guidance and other interpretative authority issued thereunder.</w:t>
      </w:r>
    </w:p>
    <w:p>
      <w:pPr>
        <w:spacing w:after="0" w:line="48" w:lineRule="exact"/>
        <w:rPr>
          <w:sz w:val="20"/>
          <w:szCs w:val="20"/>
          <w:color w:val="auto"/>
        </w:rPr>
      </w:pPr>
    </w:p>
    <w:p>
      <w:pPr>
        <w:ind w:right="100" w:firstLine="436"/>
        <w:spacing w:after="0" w:line="268" w:lineRule="auto"/>
        <w:rPr>
          <w:sz w:val="20"/>
          <w:szCs w:val="20"/>
          <w:color w:val="auto"/>
        </w:rPr>
      </w:pPr>
      <w:r>
        <w:rPr>
          <w:rFonts w:ascii="Times New Roman" w:cs="Times New Roman" w:eastAsia="Times New Roman" w:hAnsi="Times New Roman"/>
          <w:sz w:val="17"/>
          <w:szCs w:val="17"/>
          <w:color w:val="auto"/>
        </w:rPr>
        <w:t>2.23 “</w:t>
      </w:r>
      <w:r>
        <w:rPr>
          <w:rFonts w:ascii="Times New Roman" w:cs="Times New Roman" w:eastAsia="Times New Roman" w:hAnsi="Times New Roman"/>
          <w:sz w:val="17"/>
          <w:szCs w:val="17"/>
          <w:b w:val="1"/>
          <w:bCs w:val="1"/>
          <w:i w:val="1"/>
          <w:iCs w:val="1"/>
          <w:color w:val="auto"/>
        </w:rPr>
        <w:t>Fair Market Value</w:t>
      </w:r>
      <w:r>
        <w:rPr>
          <w:rFonts w:ascii="Times New Roman" w:cs="Times New Roman" w:eastAsia="Times New Roman" w:hAnsi="Times New Roman"/>
          <w:sz w:val="17"/>
          <w:szCs w:val="17"/>
          <w:color w:val="auto"/>
        </w:rPr>
        <w:t xml:space="preserve">” means, as of any date, the value of a Share determined as follows: (i) if the Common Stock is listed on any established stock exchange, the value of a Share will be the closing sales price for a Share as quoted on such exchange for such date, or if no sale occurred on such date, the last day preceding such date during which a sale occurred, as reported in </w:t>
      </w:r>
      <w:r>
        <w:rPr>
          <w:rFonts w:ascii="Times New Roman" w:cs="Times New Roman" w:eastAsia="Times New Roman" w:hAnsi="Times New Roman"/>
          <w:sz w:val="17"/>
          <w:szCs w:val="17"/>
          <w:i w:val="1"/>
          <w:iCs w:val="1"/>
          <w:color w:val="auto"/>
        </w:rPr>
        <w:t>The Wall Street Journal</w:t>
      </w:r>
      <w:r>
        <w:rPr>
          <w:rFonts w:ascii="Times New Roman" w:cs="Times New Roman" w:eastAsia="Times New Roman" w:hAnsi="Times New Roman"/>
          <w:sz w:val="17"/>
          <w:szCs w:val="17"/>
          <w:color w:val="auto"/>
        </w:rPr>
        <w:t xml:space="preserve"> or another source the Administrator deems reliable; (ii) if the Common Stock is not listed on an established stock exchange but is quoted on a national market or other quotation system, the value of a Share will be the closing sales price for a Share on such date, or if no sales occurred on such date, then on the last date preceding such date during which a sale occurred, as reported in </w:t>
      </w:r>
      <w:r>
        <w:rPr>
          <w:rFonts w:ascii="Times New Roman" w:cs="Times New Roman" w:eastAsia="Times New Roman" w:hAnsi="Times New Roman"/>
          <w:sz w:val="17"/>
          <w:szCs w:val="17"/>
          <w:i w:val="1"/>
          <w:iCs w:val="1"/>
          <w:color w:val="auto"/>
        </w:rPr>
        <w:t>The Wall Street Journal</w:t>
      </w:r>
      <w:r>
        <w:rPr>
          <w:rFonts w:ascii="Times New Roman" w:cs="Times New Roman" w:eastAsia="Times New Roman" w:hAnsi="Times New Roman"/>
          <w:sz w:val="17"/>
          <w:szCs w:val="17"/>
          <w:color w:val="auto"/>
        </w:rPr>
        <w:t xml:space="preserve"> or another source the Administrator deems reliable; or (iii) if the Common Stock is not listed on any established stock exchange or quoted on a national market or other quotation system, the value established by the Administrator in its sole discretion. Notwithstanding the foregoing, with respect to any Award granted after the Effective Date but prior to the date the Company’s registration statement relating to its initial public offering becomes effective, the Fair Market Value means the initial public offering price of a Share as set forth in the Company’s final prospectus relating to its initial public offering filed with the Securities and Exchange Commission.</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500" w:top="264" w:right="519" w:bottom="1440" w:gutter="0" w:footer="0" w:header="0"/>
        </w:sectPr>
      </w:pPr>
    </w:p>
    <w:bookmarkStart w:id="487" w:name="page488"/>
    <w:bookmarkEnd w:id="487"/>
    <w:p>
      <w:pPr>
        <w:ind w:left="6" w:right="180" w:firstLine="436"/>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1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2.24 “</w:t>
      </w:r>
      <w:r>
        <w:rPr>
          <w:rFonts w:ascii="Times New Roman" w:cs="Times New Roman" w:eastAsia="Times New Roman" w:hAnsi="Times New Roman"/>
          <w:sz w:val="18"/>
          <w:szCs w:val="18"/>
          <w:b w:val="1"/>
          <w:bCs w:val="1"/>
          <w:i w:val="1"/>
          <w:iCs w:val="1"/>
          <w:color w:val="auto"/>
        </w:rPr>
        <w:t>Greater Than 10% Stockholder</w:t>
      </w:r>
      <w:r>
        <w:rPr>
          <w:rFonts w:ascii="Times New Roman" w:cs="Times New Roman" w:eastAsia="Times New Roman" w:hAnsi="Times New Roman"/>
          <w:sz w:val="18"/>
          <w:szCs w:val="18"/>
          <w:color w:val="auto"/>
        </w:rPr>
        <w:t>” means an individual then owning (within the meaning of Section 424(d) of the Code) more than 10% of the total combined voting power of all classes of stock of the Company or any parent corporation or subsidiary corporation of the Company, as determined in accordance with Section 424(e) and (f) of the Code, respectively.</w:t>
      </w:r>
    </w:p>
    <w:p>
      <w:pPr>
        <w:spacing w:after="0" w:line="62" w:lineRule="exact"/>
        <w:rPr>
          <w:sz w:val="20"/>
          <w:szCs w:val="20"/>
          <w:color w:val="auto"/>
        </w:rPr>
      </w:pPr>
    </w:p>
    <w:p>
      <w:pPr>
        <w:ind w:left="6" w:right="20" w:firstLine="436"/>
        <w:spacing w:after="0" w:line="282" w:lineRule="auto"/>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that meets the requirements to qualify as an “incentive stock option” as defined in Section 422 of the Code.</w:t>
      </w:r>
    </w:p>
    <w:p>
      <w:pPr>
        <w:spacing w:after="0" w:line="48" w:lineRule="exact"/>
        <w:rPr>
          <w:sz w:val="20"/>
          <w:szCs w:val="20"/>
          <w:color w:val="auto"/>
        </w:rPr>
      </w:pPr>
    </w:p>
    <w:p>
      <w:pPr>
        <w:ind w:left="6" w:right="40" w:firstLine="436"/>
        <w:spacing w:after="0" w:line="268" w:lineRule="auto"/>
        <w:rPr>
          <w:sz w:val="20"/>
          <w:szCs w:val="20"/>
          <w:color w:val="auto"/>
        </w:rPr>
      </w:pPr>
      <w:r>
        <w:rPr>
          <w:rFonts w:ascii="Times New Roman" w:cs="Times New Roman" w:eastAsia="Times New Roman" w:hAnsi="Times New Roman"/>
          <w:sz w:val="17"/>
          <w:szCs w:val="17"/>
          <w:color w:val="auto"/>
        </w:rPr>
        <w:t>2.26 “</w:t>
      </w:r>
      <w:r>
        <w:rPr>
          <w:rFonts w:ascii="Times New Roman" w:cs="Times New Roman" w:eastAsia="Times New Roman" w:hAnsi="Times New Roman"/>
          <w:sz w:val="17"/>
          <w:szCs w:val="17"/>
          <w:b w:val="1"/>
          <w:bCs w:val="1"/>
          <w:i w:val="1"/>
          <w:iCs w:val="1"/>
          <w:color w:val="auto"/>
        </w:rPr>
        <w:t>Incumbent Directors”</w:t>
      </w:r>
      <w:r>
        <w:rPr>
          <w:rFonts w:ascii="Times New Roman" w:cs="Times New Roman" w:eastAsia="Times New Roman" w:hAnsi="Times New Roman"/>
          <w:sz w:val="17"/>
          <w:szCs w:val="17"/>
          <w:color w:val="auto"/>
        </w:rPr>
        <w:t xml:space="preserve"> means, for any period of 12 consecutive months, individuals who, at the beginning of such period, constitute the Board together with any new Director(s) (other than a Director designated by a person who shall have entered into an agreement with the Company to effect a transaction described in clause (a) or (c) of the Change in Control definition) whose election or nomination for election to the Board was approved by a vote of at least a majority (either by a specific vote or by approval of the proxy statement of the Company in which such person is named as a nominee for Director without objection to such nomination) of the Directors then still in office who either were Directors at the beginning of the</w:t>
      </w:r>
    </w:p>
    <w:p>
      <w:pPr>
        <w:ind w:left="6" w:right="20"/>
        <w:spacing w:after="0" w:line="251" w:lineRule="auto"/>
        <w:rPr>
          <w:sz w:val="20"/>
          <w:szCs w:val="20"/>
          <w:color w:val="auto"/>
        </w:rPr>
      </w:pPr>
      <w:r>
        <w:rPr>
          <w:rFonts w:ascii="Times New Roman" w:cs="Times New Roman" w:eastAsia="Times New Roman" w:hAnsi="Times New Roman"/>
          <w:sz w:val="18"/>
          <w:szCs w:val="18"/>
          <w:color w:val="auto"/>
        </w:rPr>
        <w:t>12-month period or whose election or nomination for election was previously so approved.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spacing w:after="0" w:line="76"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b w:val="1"/>
          <w:bCs w:val="1"/>
          <w:i w:val="1"/>
          <w:iCs w:val="1"/>
          <w:color w:val="auto"/>
        </w:rPr>
        <w:t>Non-Employee Directo</w:t>
      </w: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18"/>
          <w:szCs w:val="18"/>
          <w:color w:val="auto"/>
        </w:rPr>
        <w:t>” means a Director who is not an Employee.</w:t>
      </w:r>
    </w:p>
    <w:p>
      <w:pPr>
        <w:spacing w:after="0" w:line="114"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b w:val="1"/>
          <w:bCs w:val="1"/>
          <w:i w:val="1"/>
          <w:iCs w:val="1"/>
          <w:color w:val="auto"/>
        </w:rPr>
        <w:t>Nonqualified Stock Option</w:t>
      </w:r>
      <w:r>
        <w:rPr>
          <w:rFonts w:ascii="Times New Roman" w:cs="Times New Roman" w:eastAsia="Times New Roman" w:hAnsi="Times New Roman"/>
          <w:sz w:val="18"/>
          <w:szCs w:val="18"/>
          <w:color w:val="auto"/>
        </w:rPr>
        <w:t>” means an Option that is not an Incentive Stock Option.</w:t>
      </w:r>
    </w:p>
    <w:p>
      <w:pPr>
        <w:spacing w:after="0" w:line="114" w:lineRule="exact"/>
        <w:rPr>
          <w:sz w:val="20"/>
          <w:szCs w:val="20"/>
          <w:color w:val="auto"/>
        </w:rPr>
      </w:pPr>
    </w:p>
    <w:p>
      <w:pPr>
        <w:ind w:left="6" w:right="220" w:firstLine="436"/>
        <w:spacing w:after="0" w:line="282" w:lineRule="auto"/>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 right granted under Article VI to purchase a specified number of Shares at a specified price per Share during a specified time period. An Option may be either an Incentive Stock Option or a Nonqualified Stock Option.</w:t>
      </w:r>
    </w:p>
    <w:p>
      <w:pPr>
        <w:spacing w:after="0" w:line="48" w:lineRule="exact"/>
        <w:rPr>
          <w:sz w:val="20"/>
          <w:szCs w:val="20"/>
          <w:color w:val="auto"/>
        </w:rPr>
      </w:pPr>
    </w:p>
    <w:p>
      <w:pPr>
        <w:ind w:left="6" w:right="120" w:firstLine="436"/>
        <w:spacing w:after="0" w:line="282" w:lineRule="auto"/>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b w:val="1"/>
          <w:bCs w:val="1"/>
          <w:i w:val="1"/>
          <w:iCs w:val="1"/>
          <w:color w:val="auto"/>
        </w:rPr>
        <w:t>Other Stock or Cash Based Awards</w:t>
      </w:r>
      <w:r>
        <w:rPr>
          <w:rFonts w:ascii="Times New Roman" w:cs="Times New Roman" w:eastAsia="Times New Roman" w:hAnsi="Times New Roman"/>
          <w:sz w:val="18"/>
          <w:szCs w:val="18"/>
          <w:color w:val="auto"/>
        </w:rPr>
        <w:t>” means cash awards, awards of Shares, and other awards valued wholly or partially by referring to, or are otherwise based on, Shares or other property.</w:t>
      </w:r>
    </w:p>
    <w:p>
      <w:pPr>
        <w:spacing w:after="0" w:line="48" w:lineRule="exact"/>
        <w:rPr>
          <w:sz w:val="20"/>
          <w:szCs w:val="20"/>
          <w:color w:val="auto"/>
        </w:rPr>
      </w:pPr>
    </w:p>
    <w:p>
      <w:pPr>
        <w:ind w:left="6" w:firstLine="436"/>
        <w:spacing w:after="0" w:line="269" w:lineRule="auto"/>
        <w:rPr>
          <w:sz w:val="20"/>
          <w:szCs w:val="20"/>
          <w:color w:val="auto"/>
        </w:rPr>
      </w:pPr>
      <w:r>
        <w:rPr>
          <w:rFonts w:ascii="Times New Roman" w:cs="Times New Roman" w:eastAsia="Times New Roman" w:hAnsi="Times New Roman"/>
          <w:sz w:val="17"/>
          <w:szCs w:val="17"/>
          <w:color w:val="auto"/>
        </w:rPr>
        <w:t>2.31 “</w:t>
      </w:r>
      <w:r>
        <w:rPr>
          <w:rFonts w:ascii="Times New Roman" w:cs="Times New Roman" w:eastAsia="Times New Roman" w:hAnsi="Times New Roman"/>
          <w:sz w:val="17"/>
          <w:szCs w:val="17"/>
          <w:b w:val="1"/>
          <w:bCs w:val="1"/>
          <w:i w:val="1"/>
          <w:iCs w:val="1"/>
          <w:color w:val="auto"/>
        </w:rPr>
        <w:t>Overall Share Limit</w:t>
      </w:r>
      <w:r>
        <w:rPr>
          <w:rFonts w:ascii="Times New Roman" w:cs="Times New Roman" w:eastAsia="Times New Roman" w:hAnsi="Times New Roman"/>
          <w:sz w:val="17"/>
          <w:szCs w:val="17"/>
          <w:color w:val="auto"/>
        </w:rPr>
        <w:t>” means the sum of (i) 5,045,541 Shares plus (ii) any Shares that are subject to Prior Plan Awards that become available for issuance under the Plan as Shares pursuant to Article V plus (iv) an increase commencing on the first day of each calendar year beginning January 1, 2026 and continuing annually on the anniversary thereof through (and including) January 1, 2035, equal to the lesser of (A) 5% of the shares of all classes of the Company’s common stock outstanding on the last day of the immediately preceding fiscal year (calculated on an as-converted basis) and</w:t>
      </w:r>
    </w:p>
    <w:p>
      <w:pPr>
        <w:spacing w:after="0" w:line="1" w:lineRule="exact"/>
        <w:rPr>
          <w:sz w:val="20"/>
          <w:szCs w:val="20"/>
          <w:color w:val="auto"/>
        </w:rPr>
      </w:pPr>
    </w:p>
    <w:p>
      <w:pPr>
        <w:ind w:left="426" w:right="4880" w:hanging="426"/>
        <w:spacing w:after="0" w:line="379" w:lineRule="auto"/>
        <w:tabs>
          <w:tab w:leader="none" w:pos="272" w:val="left"/>
        </w:tabs>
        <w:numPr>
          <w:ilvl w:val="0"/>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smaller number of Shares as determined by the Board or the Committee. 2.32 “</w:t>
      </w:r>
      <w:r>
        <w:rPr>
          <w:rFonts w:ascii="Times New Roman" w:cs="Times New Roman" w:eastAsia="Times New Roman" w:hAnsi="Times New Roman"/>
          <w:sz w:val="17"/>
          <w:szCs w:val="17"/>
          <w:b w:val="1"/>
          <w:bCs w:val="1"/>
          <w:i w:val="1"/>
          <w:iCs w:val="1"/>
          <w:color w:val="auto"/>
        </w:rPr>
        <w:t>Participant</w:t>
      </w:r>
      <w:r>
        <w:rPr>
          <w:rFonts w:ascii="Times New Roman" w:cs="Times New Roman" w:eastAsia="Times New Roman" w:hAnsi="Times New Roman"/>
          <w:sz w:val="17"/>
          <w:szCs w:val="17"/>
          <w:color w:val="auto"/>
        </w:rPr>
        <w:t>” means a Service Provider who has been granted an Award.</w:t>
      </w:r>
    </w:p>
    <w:p>
      <w:pPr>
        <w:spacing w:after="0" w:line="1"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2.33 “</w:t>
      </w:r>
      <w:r>
        <w:rPr>
          <w:rFonts w:ascii="Times New Roman" w:cs="Times New Roman" w:eastAsia="Times New Roman" w:hAnsi="Times New Roman"/>
          <w:sz w:val="18"/>
          <w:szCs w:val="18"/>
          <w:b w:val="1"/>
          <w:bCs w:val="1"/>
          <w:i w:val="1"/>
          <w:iCs w:val="1"/>
          <w:color w:val="auto"/>
        </w:rPr>
        <w:t>Performance Bonus Award</w:t>
      </w:r>
      <w:r>
        <w:rPr>
          <w:rFonts w:ascii="Times New Roman" w:cs="Times New Roman" w:eastAsia="Times New Roman" w:hAnsi="Times New Roman"/>
          <w:sz w:val="18"/>
          <w:szCs w:val="18"/>
          <w:color w:val="auto"/>
        </w:rPr>
        <w:t>” has the meaning set forth in Section 8.3.</w:t>
      </w:r>
    </w:p>
    <w:p>
      <w:pPr>
        <w:spacing w:after="0" w:line="114" w:lineRule="exact"/>
        <w:rPr>
          <w:sz w:val="20"/>
          <w:szCs w:val="20"/>
          <w:color w:val="auto"/>
        </w:rPr>
      </w:pPr>
    </w:p>
    <w:p>
      <w:pPr>
        <w:ind w:left="6" w:right="520" w:firstLine="436"/>
        <w:spacing w:after="0" w:line="265" w:lineRule="auto"/>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b w:val="1"/>
          <w:bCs w:val="1"/>
          <w:i w:val="1"/>
          <w:iCs w:val="1"/>
          <w:color w:val="auto"/>
        </w:rPr>
        <w:t>Performance Stock Unit</w:t>
      </w:r>
      <w:r>
        <w:rPr>
          <w:rFonts w:ascii="Times New Roman" w:cs="Times New Roman" w:eastAsia="Times New Roman" w:hAnsi="Times New Roman"/>
          <w:sz w:val="18"/>
          <w:szCs w:val="18"/>
          <w:color w:val="auto"/>
        </w:rPr>
        <w:t>” means a right granted to a Participant pursuant to Section 8.1 and subject to Section 8.2, to receive cash or Shares, the payment of which is contingent upon achieving certain performance goals or other performance-based targets established by the Administrator.</w:t>
      </w:r>
    </w:p>
    <w:p>
      <w:pPr>
        <w:spacing w:after="0" w:line="62" w:lineRule="exact"/>
        <w:rPr>
          <w:sz w:val="20"/>
          <w:szCs w:val="20"/>
          <w:color w:val="auto"/>
        </w:rPr>
      </w:pPr>
    </w:p>
    <w:p>
      <w:pPr>
        <w:ind w:left="6" w:right="120" w:firstLine="436"/>
        <w:spacing w:after="0" w:line="265" w:lineRule="auto"/>
        <w:rPr>
          <w:sz w:val="20"/>
          <w:szCs w:val="20"/>
          <w:color w:val="auto"/>
        </w:rPr>
      </w:pPr>
      <w:r>
        <w:rPr>
          <w:rFonts w:ascii="Times New Roman" w:cs="Times New Roman" w:eastAsia="Times New Roman" w:hAnsi="Times New Roman"/>
          <w:sz w:val="18"/>
          <w:szCs w:val="18"/>
          <w:color w:val="auto"/>
        </w:rPr>
        <w:t>2.35 “</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means, with respect to a Participant, any “family member” of the Participant, as defined in the General Instructions to Form S-8 Registration Statement under the Securities Act (or any successor form thereto), or any other transferee specifically approved by the Administrator after taking into account Applicable Law.</w:t>
      </w:r>
    </w:p>
    <w:p>
      <w:pPr>
        <w:spacing w:after="0" w:line="107"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66"/>
          </w:cols>
          <w:pgMar w:left="494" w:top="263" w:right="539" w:bottom="1440" w:gutter="0" w:footer="0" w:header="0"/>
        </w:sectPr>
      </w:pPr>
    </w:p>
    <w:bookmarkStart w:id="488" w:name="page489"/>
    <w:bookmarkEnd w:id="488"/>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2.36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2025 Incentive Award Plan.</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2.37 “</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means the Omada Health, Inc. 2011 Stock Plan, as amended.</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2.38 “</w:t>
      </w:r>
      <w:r>
        <w:rPr>
          <w:rFonts w:ascii="Times New Roman" w:cs="Times New Roman" w:eastAsia="Times New Roman" w:hAnsi="Times New Roman"/>
          <w:sz w:val="18"/>
          <w:szCs w:val="18"/>
          <w:b w:val="1"/>
          <w:bCs w:val="1"/>
          <w:i w:val="1"/>
          <w:iCs w:val="1"/>
          <w:color w:val="auto"/>
        </w:rPr>
        <w:t>Prior Plan Award</w:t>
      </w:r>
      <w:r>
        <w:rPr>
          <w:rFonts w:ascii="Times New Roman" w:cs="Times New Roman" w:eastAsia="Times New Roman" w:hAnsi="Times New Roman"/>
          <w:sz w:val="18"/>
          <w:szCs w:val="18"/>
          <w:color w:val="auto"/>
        </w:rPr>
        <w:t>” means an award outstanding under the Prior Plan as of immediately prior to the Effective Date.</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2.39 “</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means Shares awarded to a Participant under Article VII, subject to certain vesting conditions and other restrictions.</w:t>
      </w:r>
    </w:p>
    <w:p>
      <w:pPr>
        <w:spacing w:after="0" w:line="114" w:lineRule="exact"/>
        <w:rPr>
          <w:sz w:val="20"/>
          <w:szCs w:val="20"/>
          <w:color w:val="auto"/>
        </w:rPr>
      </w:pPr>
    </w:p>
    <w:p>
      <w:pPr>
        <w:ind w:firstLine="436"/>
        <w:spacing w:after="0" w:line="265" w:lineRule="auto"/>
        <w:rPr>
          <w:sz w:val="20"/>
          <w:szCs w:val="20"/>
          <w:color w:val="auto"/>
        </w:rPr>
      </w:pPr>
      <w:r>
        <w:rPr>
          <w:rFonts w:ascii="Times New Roman" w:cs="Times New Roman" w:eastAsia="Times New Roman" w:hAnsi="Times New Roman"/>
          <w:sz w:val="18"/>
          <w:szCs w:val="18"/>
          <w:color w:val="auto"/>
        </w:rPr>
        <w:t>2.40 “</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color w:val="auto"/>
        </w:rPr>
        <w:t>” means an unfunded, unsecured right to receive, on the applicable settlement date, one Share or an amount in cash or other consideration determined by the Administrator to be of equal value as of such settlement date, subject to certain vesting conditions and other restrictions.</w:t>
      </w:r>
    </w:p>
    <w:p>
      <w:pPr>
        <w:spacing w:after="0" w:line="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2.41 “</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including any amendments thereto.</w:t>
      </w:r>
    </w:p>
    <w:p>
      <w:pPr>
        <w:spacing w:after="0" w:line="114" w:lineRule="exact"/>
        <w:rPr>
          <w:sz w:val="20"/>
          <w:szCs w:val="20"/>
          <w:color w:val="auto"/>
        </w:rPr>
      </w:pPr>
    </w:p>
    <w:p>
      <w:pPr>
        <w:ind w:right="60" w:firstLine="436"/>
        <w:spacing w:after="0" w:line="282" w:lineRule="auto"/>
        <w:rPr>
          <w:sz w:val="20"/>
          <w:szCs w:val="20"/>
          <w:color w:val="auto"/>
        </w:rPr>
      </w:pPr>
      <w:r>
        <w:rPr>
          <w:rFonts w:ascii="Times New Roman" w:cs="Times New Roman" w:eastAsia="Times New Roman" w:hAnsi="Times New Roman"/>
          <w:sz w:val="18"/>
          <w:szCs w:val="18"/>
          <w:color w:val="auto"/>
        </w:rPr>
        <w:t>2.42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the regulations promulgated thereunder by the United States Treasury Department, as amended or as may be amended from time to time.</w:t>
      </w:r>
    </w:p>
    <w:p>
      <w:pPr>
        <w:spacing w:after="0" w:line="48" w:lineRule="exact"/>
        <w:rPr>
          <w:sz w:val="20"/>
          <w:szCs w:val="20"/>
          <w:color w:val="auto"/>
        </w:rPr>
      </w:pPr>
    </w:p>
    <w:p>
      <w:pPr>
        <w:ind w:right="500" w:firstLine="436"/>
        <w:spacing w:after="0" w:line="282" w:lineRule="auto"/>
        <w:rPr>
          <w:sz w:val="20"/>
          <w:szCs w:val="20"/>
          <w:color w:val="auto"/>
        </w:rPr>
      </w:pPr>
      <w:r>
        <w:rPr>
          <w:rFonts w:ascii="Times New Roman" w:cs="Times New Roman" w:eastAsia="Times New Roman" w:hAnsi="Times New Roman"/>
          <w:sz w:val="18"/>
          <w:szCs w:val="18"/>
          <w:color w:val="auto"/>
        </w:rPr>
        <w:t>2.43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and all regulations, guidance and other interpretative authority issued thereunder.</w:t>
      </w:r>
    </w:p>
    <w:p>
      <w:pPr>
        <w:spacing w:after="0" w:line="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2.44 “</w:t>
      </w:r>
      <w:r>
        <w:rPr>
          <w:rFonts w:ascii="Times New Roman" w:cs="Times New Roman" w:eastAsia="Times New Roman" w:hAnsi="Times New Roman"/>
          <w:sz w:val="18"/>
          <w:szCs w:val="18"/>
          <w:b w:val="1"/>
          <w:bCs w:val="1"/>
          <w:i w:val="1"/>
          <w:iCs w:val="1"/>
          <w:color w:val="auto"/>
        </w:rPr>
        <w:t>Service Provider</w:t>
      </w:r>
      <w:r>
        <w:rPr>
          <w:rFonts w:ascii="Times New Roman" w:cs="Times New Roman" w:eastAsia="Times New Roman" w:hAnsi="Times New Roman"/>
          <w:sz w:val="18"/>
          <w:szCs w:val="18"/>
          <w:color w:val="auto"/>
        </w:rPr>
        <w:t>” means an Employee, Consultant or Director.</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2.45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means shares of Common Stock.</w:t>
      </w:r>
    </w:p>
    <w:p>
      <w:pPr>
        <w:spacing w:after="0" w:line="114" w:lineRule="exact"/>
        <w:rPr>
          <w:sz w:val="20"/>
          <w:szCs w:val="20"/>
          <w:color w:val="auto"/>
        </w:rPr>
      </w:pPr>
    </w:p>
    <w:p>
      <w:pPr>
        <w:ind w:right="220" w:firstLine="436"/>
        <w:spacing w:after="0" w:line="312" w:lineRule="auto"/>
        <w:rPr>
          <w:sz w:val="20"/>
          <w:szCs w:val="20"/>
          <w:color w:val="auto"/>
        </w:rPr>
      </w:pPr>
      <w:r>
        <w:rPr>
          <w:rFonts w:ascii="Times New Roman" w:cs="Times New Roman" w:eastAsia="Times New Roman" w:hAnsi="Times New Roman"/>
          <w:sz w:val="17"/>
          <w:szCs w:val="17"/>
          <w:color w:val="auto"/>
        </w:rPr>
        <w:t>2.46 “</w:t>
      </w:r>
      <w:r>
        <w:rPr>
          <w:rFonts w:ascii="Times New Roman" w:cs="Times New Roman" w:eastAsia="Times New Roman" w:hAnsi="Times New Roman"/>
          <w:sz w:val="17"/>
          <w:szCs w:val="17"/>
          <w:b w:val="1"/>
          <w:bCs w:val="1"/>
          <w:i w:val="1"/>
          <w:iCs w:val="1"/>
          <w:color w:val="auto"/>
        </w:rPr>
        <w:t>Stock Appreciation Right</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SAR</w:t>
      </w:r>
      <w:r>
        <w:rPr>
          <w:rFonts w:ascii="Times New Roman" w:cs="Times New Roman" w:eastAsia="Times New Roman" w:hAnsi="Times New Roman"/>
          <w:sz w:val="17"/>
          <w:szCs w:val="17"/>
          <w:color w:val="auto"/>
        </w:rPr>
        <w:t>” means a right granted under Article VI to receive a payment equal to the excess of the Fair Market Value of a specified number of Shares on the date the right is exercised over the exercise price set forth in the applicable Award Agreement.</w:t>
      </w:r>
    </w:p>
    <w:p>
      <w:pPr>
        <w:spacing w:after="0" w:line="26" w:lineRule="exact"/>
        <w:rPr>
          <w:sz w:val="20"/>
          <w:szCs w:val="20"/>
          <w:color w:val="auto"/>
        </w:rPr>
      </w:pPr>
    </w:p>
    <w:p>
      <w:pPr>
        <w:ind w:firstLine="436"/>
        <w:spacing w:after="0" w:line="265" w:lineRule="auto"/>
        <w:rPr>
          <w:sz w:val="20"/>
          <w:szCs w:val="20"/>
          <w:color w:val="auto"/>
        </w:rPr>
      </w:pPr>
      <w:r>
        <w:rPr>
          <w:rFonts w:ascii="Times New Roman" w:cs="Times New Roman" w:eastAsia="Times New Roman" w:hAnsi="Times New Roman"/>
          <w:sz w:val="18"/>
          <w:szCs w:val="18"/>
          <w:color w:val="auto"/>
        </w:rPr>
        <w:t>2.47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entity (other than the Company), whether U.S. or non-U.S.,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62" w:lineRule="exact"/>
        <w:rPr>
          <w:sz w:val="20"/>
          <w:szCs w:val="20"/>
          <w:color w:val="auto"/>
        </w:rPr>
      </w:pPr>
    </w:p>
    <w:p>
      <w:pPr>
        <w:ind w:right="180" w:firstLine="436"/>
        <w:spacing w:after="0" w:line="265" w:lineRule="auto"/>
        <w:rPr>
          <w:sz w:val="20"/>
          <w:szCs w:val="20"/>
          <w:color w:val="auto"/>
        </w:rPr>
      </w:pPr>
      <w:r>
        <w:rPr>
          <w:rFonts w:ascii="Times New Roman" w:cs="Times New Roman" w:eastAsia="Times New Roman" w:hAnsi="Times New Roman"/>
          <w:sz w:val="18"/>
          <w:szCs w:val="18"/>
          <w:color w:val="auto"/>
        </w:rPr>
        <w:t>2.48 “</w:t>
      </w:r>
      <w:r>
        <w:rPr>
          <w:rFonts w:ascii="Times New Roman" w:cs="Times New Roman" w:eastAsia="Times New Roman" w:hAnsi="Times New Roman"/>
          <w:sz w:val="18"/>
          <w:szCs w:val="18"/>
          <w:b w:val="1"/>
          <w:bCs w:val="1"/>
          <w:i w:val="1"/>
          <w:iCs w:val="1"/>
          <w:color w:val="auto"/>
        </w:rPr>
        <w:t>Substitute Awards</w:t>
      </w:r>
      <w:r>
        <w:rPr>
          <w:rFonts w:ascii="Times New Roman" w:cs="Times New Roman" w:eastAsia="Times New Roman" w:hAnsi="Times New Roman"/>
          <w:sz w:val="18"/>
          <w:szCs w:val="18"/>
          <w:color w:val="auto"/>
        </w:rPr>
        <w:t>” means Awards granted or Shares issued by the Company in assumption of, or in substitution or exchange for, awards previously granted, or the right or obligation to make future awards, in each case by a company or other entity acquired by the Company or any Subsidiary or with which the Company or any Subsidiary combines.</w:t>
      </w:r>
    </w:p>
    <w:p>
      <w:pPr>
        <w:spacing w:after="0" w:line="62" w:lineRule="exact"/>
        <w:rPr>
          <w:sz w:val="20"/>
          <w:szCs w:val="20"/>
          <w:color w:val="auto"/>
        </w:rPr>
      </w:pPr>
    </w:p>
    <w:p>
      <w:pPr>
        <w:ind w:right="240" w:firstLine="436"/>
        <w:spacing w:after="0" w:line="265" w:lineRule="auto"/>
        <w:rPr>
          <w:sz w:val="20"/>
          <w:szCs w:val="20"/>
          <w:color w:val="auto"/>
        </w:rPr>
      </w:pPr>
      <w:r>
        <w:rPr>
          <w:rFonts w:ascii="Times New Roman" w:cs="Times New Roman" w:eastAsia="Times New Roman" w:hAnsi="Times New Roman"/>
          <w:sz w:val="18"/>
          <w:szCs w:val="18"/>
          <w:color w:val="auto"/>
        </w:rPr>
        <w:t>2.49 “</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means any U.S. and non-U.S. federal, state and/or local taxes (including, without limitation, income tax, social insurance contributions, fringe benefit tax, employment tax, stamp tax and any employer tax liability which has been transferred to a Participant) for which a Participant is liable in connection with Awards and/or Shares.</w:t>
      </w:r>
    </w:p>
    <w:p>
      <w:pPr>
        <w:spacing w:after="0" w:line="1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00"/>
          </w:cols>
          <w:pgMar w:left="500" w:top="264" w:right="599" w:bottom="1440" w:gutter="0" w:footer="0" w:header="0"/>
        </w:sectPr>
      </w:pPr>
    </w:p>
    <w:bookmarkStart w:id="489" w:name="page490"/>
    <w:bookmarkEnd w:id="489"/>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2.50 “</w:t>
      </w:r>
      <w:r>
        <w:rPr>
          <w:rFonts w:ascii="Times New Roman" w:cs="Times New Roman" w:eastAsia="Times New Roman" w:hAnsi="Times New Roman"/>
          <w:sz w:val="18"/>
          <w:szCs w:val="18"/>
          <w:b w:val="1"/>
          <w:bCs w:val="1"/>
          <w:i w:val="1"/>
          <w:iCs w:val="1"/>
          <w:color w:val="auto"/>
        </w:rPr>
        <w:t>Termination of Service</w:t>
      </w:r>
      <w:r>
        <w:rPr>
          <w:rFonts w:ascii="Times New Roman" w:cs="Times New Roman" w:eastAsia="Times New Roman" w:hAnsi="Times New Roman"/>
          <w:sz w:val="18"/>
          <w:szCs w:val="18"/>
          <w:color w:val="auto"/>
        </w:rPr>
        <w:t>” means:</w:t>
      </w:r>
    </w:p>
    <w:p>
      <w:pPr>
        <w:spacing w:after="0" w:line="118" w:lineRule="exact"/>
        <w:rPr>
          <w:sz w:val="20"/>
          <w:szCs w:val="20"/>
          <w:color w:val="auto"/>
        </w:rPr>
      </w:pPr>
    </w:p>
    <w:p>
      <w:pPr>
        <w:ind w:firstLine="975"/>
        <w:spacing w:after="0" w:line="262" w:lineRule="auto"/>
        <w:tabs>
          <w:tab w:leader="none" w:pos="1223"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 Consultant, the time when the engagement of a Participant as a Consultant to the Company or a Subsidiary is terminated for any reason, with or without Cause, including, without limitation, by resignation, discharge, death or retirement, but excluding terminations where the Consultant simultaneously commences or remains in employment or service with the Company or any Subsidiary.</w:t>
      </w:r>
    </w:p>
    <w:p>
      <w:pPr>
        <w:spacing w:after="0" w:line="70" w:lineRule="exact"/>
        <w:rPr>
          <w:rFonts w:ascii="Times New Roman" w:cs="Times New Roman" w:eastAsia="Times New Roman" w:hAnsi="Times New Roman"/>
          <w:sz w:val="18"/>
          <w:szCs w:val="18"/>
          <w:color w:val="auto"/>
        </w:rPr>
      </w:pPr>
    </w:p>
    <w:p>
      <w:pPr>
        <w:ind w:right="200" w:firstLine="975"/>
        <w:spacing w:after="0" w:line="262" w:lineRule="auto"/>
        <w:tabs>
          <w:tab w:leader="none" w:pos="1233"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 Non-Employee Director, the time when a Participant who is a Non-Employee Director ceases to be a Director for any reason, including, without limitation, a termination by resignation, failure to be elected, death or retirement, but excluding terminations where the Participant simultaneously commences or remains in employment or service with the Company or any Subsidiary.</w:t>
      </w:r>
    </w:p>
    <w:p>
      <w:pPr>
        <w:spacing w:after="0" w:line="70" w:lineRule="exact"/>
        <w:rPr>
          <w:rFonts w:ascii="Times New Roman" w:cs="Times New Roman" w:eastAsia="Times New Roman" w:hAnsi="Times New Roman"/>
          <w:sz w:val="18"/>
          <w:szCs w:val="18"/>
          <w:color w:val="auto"/>
        </w:rPr>
      </w:pPr>
    </w:p>
    <w:p>
      <w:pPr>
        <w:ind w:right="260" w:firstLine="975"/>
        <w:spacing w:after="0" w:line="262" w:lineRule="auto"/>
        <w:tabs>
          <w:tab w:leader="none" w:pos="1223"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 Employee, the time when the employee-employer relationship between a Participant and the Company or any Subsidiary is terminated for any reason, including, without limitation, a termination by resignation, discharge, death, disability or retirement; but excluding terminations where the Participant simultaneously commences or remains in employment or service with the Company or any Subsidiary.</w:t>
      </w:r>
    </w:p>
    <w:p>
      <w:pPr>
        <w:spacing w:after="0" w:line="177" w:lineRule="exact"/>
        <w:rPr>
          <w:sz w:val="20"/>
          <w:szCs w:val="20"/>
          <w:color w:val="auto"/>
        </w:rPr>
      </w:pPr>
    </w:p>
    <w:p>
      <w:pPr>
        <w:ind w:right="60" w:firstLine="436"/>
        <w:spacing w:after="0" w:line="253" w:lineRule="auto"/>
        <w:rPr>
          <w:sz w:val="20"/>
          <w:szCs w:val="20"/>
          <w:color w:val="auto"/>
        </w:rPr>
      </w:pPr>
      <w:r>
        <w:rPr>
          <w:rFonts w:ascii="Times New Roman" w:cs="Times New Roman" w:eastAsia="Times New Roman" w:hAnsi="Times New Roman"/>
          <w:sz w:val="18"/>
          <w:szCs w:val="18"/>
          <w:color w:val="auto"/>
        </w:rPr>
        <w:t>The Company, in its sole discretion, shall determine the effect of all matters and questions relating to any Termination of Service, including, without limitation, whether a Termination of Service has occurred, whether a Termination of Service resulted from a discharge for Cause and all questions of whether particular leaves of absence constitute a Termination of Service. For purposes of the Plan, a Participant’s employee-employer relationship or consultancy relationship shall be deemed to be terminated in the event that the Subsidiary employing or contracting with such Participant ceases to remain a Subsidiary following any merger, sale of stock or other corporate transaction or event (including, without limitation, a spin-off), even though the Participant may subsequently continue to perform services for that entity.</w:t>
      </w:r>
    </w:p>
    <w:p>
      <w:pPr>
        <w:spacing w:after="0" w:line="39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02" w:lineRule="exact"/>
        <w:rPr>
          <w:sz w:val="20"/>
          <w:szCs w:val="20"/>
          <w:color w:val="auto"/>
        </w:rPr>
      </w:pPr>
    </w:p>
    <w:p>
      <w:pPr>
        <w:jc w:val="both"/>
        <w:ind w:right="80" w:firstLine="436"/>
        <w:spacing w:after="0" w:line="262" w:lineRule="auto"/>
        <w:rPr>
          <w:sz w:val="20"/>
          <w:szCs w:val="20"/>
          <w:color w:val="auto"/>
        </w:rPr>
      </w:pPr>
      <w:r>
        <w:rPr>
          <w:rFonts w:ascii="Times New Roman" w:cs="Times New Roman" w:eastAsia="Times New Roman" w:hAnsi="Times New Roman"/>
          <w:sz w:val="18"/>
          <w:szCs w:val="18"/>
          <w:color w:val="auto"/>
        </w:rPr>
        <w:t>Service Providers are eligible to be granted Awards under the Plan, subject to the limitations described herein. No Service Provider shall have any right to be granted an Award pursuant to the Plan, and neither the Company nor the Administrator is obligated to treat Service Providers, Participants or any other persons uniformly.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ADMINISTRATION AND DELEGATION</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120" w:firstLine="975"/>
        <w:spacing w:after="0" w:line="255" w:lineRule="auto"/>
        <w:tabs>
          <w:tab w:leader="none" w:pos="122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reconcile inconsistencies in the Plan, any Award Agreement or any Award and make all other determinations that it deems necessary 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500" w:top="264" w:right="499" w:bottom="1440" w:gutter="0" w:footer="0" w:header="0"/>
        </w:sectPr>
      </w:pPr>
    </w:p>
    <w:bookmarkStart w:id="490" w:name="page491"/>
    <w:bookmarkEnd w:id="490"/>
    <w:p>
      <w:pPr>
        <w:ind w:left="6"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appropriate to administer the Plan and any Awards. The Administrator (and each member thereof) is entitled to, in good faith, rely or act upon any report or other information furnished to the Administrator or any member thereof by any officer or other Employee, the Company’s independent certified public accountants, or any executive compensation consultant or other professional retained by the Company to assist in the administration of the Plan. The Administrator’s determinations under the Plan are in its sole discretion and will be final, binding and conclusive on all persons having or claiming any interest in the Plan or any Award.</w:t>
      </w:r>
    </w:p>
    <w:p>
      <w:pPr>
        <w:spacing w:after="0" w:line="76" w:lineRule="exact"/>
        <w:rPr>
          <w:sz w:val="20"/>
          <w:szCs w:val="20"/>
          <w:color w:val="auto"/>
        </w:rPr>
      </w:pPr>
    </w:p>
    <w:p>
      <w:pPr>
        <w:ind w:left="1226" w:hanging="245"/>
        <w:spacing w:after="0"/>
        <w:tabs>
          <w:tab w:leader="none" w:pos="1226"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the Administrator has the exclusive power, authority and sole discretion to: (i) designate Participants;</w:t>
      </w:r>
    </w:p>
    <w:p>
      <w:pPr>
        <w:spacing w:after="0" w:line="25" w:lineRule="exact"/>
        <w:rPr>
          <w:rFonts w:ascii="Times New Roman" w:cs="Times New Roman" w:eastAsia="Times New Roman" w:hAnsi="Times New Roman"/>
          <w:sz w:val="18"/>
          <w:szCs w:val="18"/>
          <w:color w:val="auto"/>
        </w:rPr>
      </w:pPr>
    </w:p>
    <w:p>
      <w:pPr>
        <w:ind w:left="6" w:hanging="6"/>
        <w:spacing w:after="0" w:line="262" w:lineRule="auto"/>
        <w:tabs>
          <w:tab w:leader="none" w:pos="268"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type or types of Awards to be granted to each Participant; (iii) determine the number of Awards to be granted and the number of Shares to which an Award will relate; (iv) subject to the limitations in the Plan, determine the terms and conditions of any Award and related Award Agreement, including, but not limited to, the exercise price, grant price, purchase price, any performance criteria, any restrictions or limitations on the Award, any schedule for vesting, lapse of forfeiture restrictions or restrictions on the exercisability of an Award, and accelerations, waivers or amendments thereof;</w:t>
      </w:r>
    </w:p>
    <w:p>
      <w:pPr>
        <w:spacing w:after="0" w:line="1" w:lineRule="exact"/>
        <w:rPr>
          <w:rFonts w:ascii="Times New Roman" w:cs="Times New Roman" w:eastAsia="Times New Roman" w:hAnsi="Times New Roman"/>
          <w:sz w:val="17"/>
          <w:szCs w:val="17"/>
          <w:color w:val="auto"/>
        </w:rPr>
      </w:pPr>
    </w:p>
    <w:p>
      <w:pPr>
        <w:ind w:left="6" w:right="60" w:hanging="6"/>
        <w:spacing w:after="0" w:line="251" w:lineRule="auto"/>
        <w:tabs>
          <w:tab w:leader="none" w:pos="258"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what extent, and under what circumstances an Award may be settled in, or the exercise price of an Award may be paid in cash, Shares, or other property, or an Award may be canceled, forfeited, or surrendered; and (vi) make all other decisions and determinations that may be required pursuant to the Plan or as the Administrator deems necessary or advisable to administer the Plan.</w:t>
      </w:r>
    </w:p>
    <w:p>
      <w:pPr>
        <w:spacing w:after="0" w:line="80" w:lineRule="exact"/>
        <w:rPr>
          <w:sz w:val="20"/>
          <w:szCs w:val="20"/>
          <w:color w:val="auto"/>
        </w:rPr>
      </w:pPr>
    </w:p>
    <w:p>
      <w:pPr>
        <w:ind w:left="6" w:right="60" w:firstLine="436"/>
        <w:spacing w:after="0" w:line="250"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Delegation of Authority</w:t>
      </w:r>
      <w:r>
        <w:rPr>
          <w:rFonts w:ascii="Times New Roman" w:cs="Times New Roman" w:eastAsia="Times New Roman" w:hAnsi="Times New Roman"/>
          <w:sz w:val="18"/>
          <w:szCs w:val="18"/>
          <w:color w:val="auto"/>
        </w:rPr>
        <w:t>. To the extent permitted by Applicable Law, the Board or any Committee may delegate any or all of its powers under the Plan to one or more Committees or officers of the Company or any of its Subsidiaries; provided, however, that in no event shall an officer of the Company or any of its Subsidiaries be delegated the authority to grant Awards to, or amend Awards held by, the following individuals: (a) individuals who are subject to Section 16 of the Exchange Act, or (b) officers of the Company or any of its Subsidiaries or Directors to whom authority to grant or amend Awards has been delegated hereunder. Any delegation hereunder shall be subject to the restrictions and limits that the Board or the Administrator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Section 4.2 shall serve in such capacity at the pleasure of the Board or the Administrator, as applicable, and the Board or the Committee may abolish any committee at any time and re-vest in itself any previously delegated authority. Further, regardless of any delegation, the Board or the Administrator may, in its discretion, exercise any and all rights and duties as the Administrator under the Plan delegated thereby, except with respect to Awards that are required to be determined in the sole discretion of the Board or the Administrator under the rules of any securities exchange or automated quotation system on which the Shares are listed, quoted or traded.</w:t>
      </w:r>
    </w:p>
    <w:p>
      <w:pPr>
        <w:spacing w:after="0" w:line="200" w:lineRule="exact"/>
        <w:rPr>
          <w:sz w:val="20"/>
          <w:szCs w:val="20"/>
          <w:color w:val="auto"/>
        </w:rPr>
      </w:pPr>
    </w:p>
    <w:p>
      <w:pPr>
        <w:spacing w:after="0" w:line="20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STOCK AVAILABLE FOR AWARDS</w:t>
      </w:r>
    </w:p>
    <w:p>
      <w:pPr>
        <w:spacing w:after="0" w:line="202" w:lineRule="exact"/>
        <w:rPr>
          <w:sz w:val="20"/>
          <w:szCs w:val="20"/>
          <w:color w:val="auto"/>
        </w:rPr>
      </w:pPr>
    </w:p>
    <w:p>
      <w:pPr>
        <w:ind w:left="6" w:right="60" w:firstLine="436"/>
        <w:spacing w:after="0" w:line="257"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adjustment under Article IX and the terms of this Article V, Awards may be made under the Plan covering up to the Overall Share Limit. As of the Effective Date, the Company will cease granting awards under the Prior Plans; however, Prior Plan Awards will remain subject to the terms of the applicable Prior Plan. Shares issued or delivered under the Plan may consist of authorized but unissued Shares, Shares purchased on the open market or treasury Shares.</w:t>
      </w:r>
    </w:p>
    <w:p>
      <w:pPr>
        <w:spacing w:after="0" w:line="11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6"/>
          </w:cols>
          <w:pgMar w:left="494" w:top="268" w:right="499" w:bottom="1440" w:gutter="0" w:footer="0" w:header="0"/>
        </w:sectPr>
      </w:pPr>
    </w:p>
    <w:bookmarkStart w:id="491" w:name="page492"/>
    <w:bookmarkEnd w:id="491"/>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1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5.2 </w:t>
      </w:r>
      <w:r>
        <w:rPr>
          <w:rFonts w:ascii="Times New Roman" w:cs="Times New Roman" w:eastAsia="Times New Roman" w:hAnsi="Times New Roman"/>
          <w:sz w:val="18"/>
          <w:szCs w:val="18"/>
          <w:u w:val="single" w:color="auto"/>
          <w:color w:val="auto"/>
        </w:rPr>
        <w:t>Share Recycling</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75"/>
        <w:spacing w:after="0" w:line="252" w:lineRule="auto"/>
        <w:tabs>
          <w:tab w:leader="none" w:pos="1223"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or any part of an Award or Prior Plan Award expires, lapses or is terminated, converted into an award in respect of shares of another entity in connection with a spin-off or other similar event, exchanged or settled for cash, surrendered, repurchased, canceled without having been fully exercised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 or again be available, in each case, as Common Stock for Awards under the Plan. The payment of Dividend Equivalents in cash in conjunction with any outstanding Awards or Prior Plan Awards shall not count against the Overall Share Limit.</w:t>
      </w:r>
    </w:p>
    <w:p>
      <w:pPr>
        <w:spacing w:after="0" w:line="81" w:lineRule="exact"/>
        <w:rPr>
          <w:rFonts w:ascii="Times New Roman" w:cs="Times New Roman" w:eastAsia="Times New Roman" w:hAnsi="Times New Roman"/>
          <w:sz w:val="18"/>
          <w:szCs w:val="18"/>
          <w:color w:val="auto"/>
        </w:rPr>
      </w:pPr>
    </w:p>
    <w:p>
      <w:pPr>
        <w:ind w:right="120" w:firstLine="975"/>
        <w:spacing w:after="0" w:line="253" w:lineRule="auto"/>
        <w:tabs>
          <w:tab w:leader="none" w:pos="1233"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following Shares shall be available for future grants of Awards: (i) Shares tendered by a Participant or withheld by the Company in payment of the exercise price of an Option or any stock option granted under the applicable Prior Plan; (ii) Shares tendered by the Participant or withheld by the Company to satisfy any tax withholding obligation with respect to an Award or any Prior Plan Award; and (iii) Shares subject to a Stock Appreciation Right that are not issued in connection with the stock settlement of the Stock Appreciation Right on exercise thereof. Notwithstanding the provisions of this Section 5.2(b), no Shares may again be optioned, granted or awarded pursuant to an Incentive Stock Option if such action would cause such Option to fail to qualify as an incentive stock option under Section 422 of the Code.</w:t>
      </w:r>
    </w:p>
    <w:p>
      <w:pPr>
        <w:spacing w:after="0" w:line="80" w:lineRule="exact"/>
        <w:rPr>
          <w:sz w:val="20"/>
          <w:szCs w:val="20"/>
          <w:color w:val="auto"/>
        </w:rPr>
      </w:pPr>
    </w:p>
    <w:p>
      <w:pPr>
        <w:ind w:right="180" w:firstLine="436"/>
        <w:spacing w:after="0" w:line="277"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Incentive Stock Option Limitations</w:t>
      </w:r>
      <w:r>
        <w:rPr>
          <w:rFonts w:ascii="Times New Roman" w:cs="Times New Roman" w:eastAsia="Times New Roman" w:hAnsi="Times New Roman"/>
          <w:sz w:val="18"/>
          <w:szCs w:val="18"/>
          <w:color w:val="auto"/>
        </w:rPr>
        <w:t>. Notwithstanding anything to the contrary herein, no more than 15,136,624 Shares (as adjusted to reflect any Equity Restructuring) may be issued pursuant to the exercise of Incentive Stock Options.</w:t>
      </w:r>
    </w:p>
    <w:p>
      <w:pPr>
        <w:spacing w:after="0" w:line="57" w:lineRule="exact"/>
        <w:rPr>
          <w:sz w:val="20"/>
          <w:szCs w:val="20"/>
          <w:color w:val="auto"/>
        </w:rPr>
      </w:pPr>
    </w:p>
    <w:p>
      <w:pPr>
        <w:ind w:firstLine="436"/>
        <w:spacing w:after="0" w:line="250"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In connection with an entity’s merger or consolidation with the Company or any Subsidiary or the Company’s or any Subsidiary’s acquisition of an entity’s property or stock, the Administrator may grant Substitute Awards in respect of any options or other stock or stock-based awards granted before such merger or consolidation by such entity or its affiliate. Substitute Awards may be granted on such terms and conditions as the Administrator deems appropriate, notwithstanding limitations on Awards in the Plan. Substitute Awards will not count against the Overall Share Limit (nor shall Shares subject to a Substitute Award be added to the Shares available for Awards under the Plan as provided under Section 5.2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appropriately adjusted to reflect the transaction) may be used for Awards under the Plan and shall not count against the Overall Share Limit (and Shares subject to such Awards may again become available for Awards under the Plan as provided under Section 5.2 above); provided that Awards using such available shares shall not be made after the date awards or grants could have been made under the terms of the pre-existing plan, absent the acquisition or combination, and shall only be made to individuals who were not Service Providers prior to such acquisition or combination.</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500" w:top="267" w:right="519" w:bottom="1440" w:gutter="0" w:footer="0" w:header="0"/>
        </w:sectPr>
      </w:pPr>
    </w:p>
    <w:bookmarkStart w:id="492" w:name="page493"/>
    <w:bookmarkEnd w:id="492"/>
    <w:p>
      <w:pPr>
        <w:ind w:firstLine="43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5.5 </w:t>
      </w:r>
      <w:r>
        <w:rPr>
          <w:rFonts w:ascii="Times New Roman" w:cs="Times New Roman" w:eastAsia="Times New Roman" w:hAnsi="Times New Roman"/>
          <w:sz w:val="18"/>
          <w:szCs w:val="18"/>
          <w:u w:val="single" w:color="auto"/>
          <w:color w:val="auto"/>
        </w:rPr>
        <w:t>Non-Employee Director Award Limit</w:t>
      </w:r>
      <w:r>
        <w:rPr>
          <w:rFonts w:ascii="Times New Roman" w:cs="Times New Roman" w:eastAsia="Times New Roman" w:hAnsi="Times New Roman"/>
          <w:sz w:val="18"/>
          <w:szCs w:val="18"/>
          <w:color w:val="auto"/>
        </w:rPr>
        <w:t>. Notwithstanding any provision to the contrary in the Plan or in any policy of the Company regarding non-employee director compensation, the sum of the grant date fair value (determined as of the grant date in accordance with Financial Accounting Standards Board Accounting Standards Codification Topic 718, or any successor thereto) of all equity-based Awards and the maximum amount that may become payable pursuant to all cash-based Awards that may be granted to a Service Provider as compensation for services as a Non-Employee Director during any calendar year under the Plan shall not exceed $1,000,000 for such Service Provider’s first year of service as a Non-Employee Director and $750,000 for each year thereafter.</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OPTIONS AND STOCK APPRECIATION RIGHTS</w:t>
      </w:r>
    </w:p>
    <w:p>
      <w:pPr>
        <w:spacing w:after="0" w:line="202" w:lineRule="exact"/>
        <w:rPr>
          <w:sz w:val="20"/>
          <w:szCs w:val="20"/>
          <w:color w:val="auto"/>
        </w:rPr>
      </w:pPr>
    </w:p>
    <w:p>
      <w:pPr>
        <w:ind w:right="40" w:firstLine="436"/>
        <w:spacing w:after="0" w:line="25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grant Options or Stock Appreciation Rights to one or more Service Providers, subject to such terms and conditions not inconsistent with the Plan as the Administrator shall determine and the limitations in the Plan, including any limitations in the Plan that apply to Incentive Stock Options.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(x) the excess, if any, of the Fair Market Value of one Share on the date of exercise over the exercise price per Share of the Stock Appreciation Right by (y) the number of Shares with respect to which the Stock Appreciation Right is exercised, subject to any limitations of the Plan or that the Administrator may impose, and payable in cash, Shares valued at Fair Market Value on the date of exercise or a combination of the two as the Administrator may determine or provide in the Award Agreement.</w:t>
      </w:r>
    </w:p>
    <w:p>
      <w:pPr>
        <w:spacing w:after="0" w:line="79" w:lineRule="exact"/>
        <w:rPr>
          <w:sz w:val="20"/>
          <w:szCs w:val="20"/>
          <w:color w:val="auto"/>
        </w:rPr>
      </w:pPr>
    </w:p>
    <w:p>
      <w:pPr>
        <w:ind w:right="80" w:firstLine="436"/>
        <w:spacing w:after="0" w:line="271" w:lineRule="auto"/>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xml:space="preserve">. The Administrator will establish each Option’s and Stock Appreciation Right’s exercise price and specify the exercise price in the Award Agreement. Subject to Section 6.6, the exercise price will not be less than 100% of the Fair Market Value on the grant date of the Option or Stock Appreciation Right. Notwithstanding the foregoing, in the case of (i) an Option or Stock Appreciation Right granted to participates who are not taxpayers within the United States, and (ii) an Option or Stock Appreciation Right that is a Substitute Award, the exercise price per share of the Shares subject to such Option or Stock Appreciation Right, as applicable, may be less than the Fair Market Value per share on the date of grant;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exercise price of any Substitute Award shall be determined in accordance with the applicable requirements of Sections 424 and 409A of the Code.</w:t>
      </w:r>
    </w:p>
    <w:p>
      <w:pPr>
        <w:spacing w:after="0" w:line="65" w:lineRule="exact"/>
        <w:rPr>
          <w:sz w:val="20"/>
          <w:szCs w:val="20"/>
          <w:color w:val="auto"/>
        </w:rPr>
      </w:pPr>
    </w:p>
    <w:p>
      <w:pPr>
        <w:ind w:right="100" w:firstLine="436"/>
        <w:spacing w:after="0" w:line="25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Duration of Options</w:t>
      </w:r>
      <w:r>
        <w:rPr>
          <w:rFonts w:ascii="Times New Roman" w:cs="Times New Roman" w:eastAsia="Times New Roman" w:hAnsi="Times New Roman"/>
          <w:sz w:val="18"/>
          <w:szCs w:val="18"/>
          <w:color w:val="auto"/>
        </w:rPr>
        <w:t>. Subject to Section 6.6, each Option or Stock Appreciation Right will be exercisable at such times and as specified in the Award Agreement, provided that the term of an Option or Stock Appreciation Right will not exceed ten years; provided, further, that, unless otherwise determined by the Administrator or specified in the Award Agreement, (a) no portion of an Option or Stock Appreciation Right which is unexercisable at a Participant’s Termination of Service shall thereafter become exercisable and (b) the portion of an Option or Stock Appreciation Right that is unexercisable at a Participant’s Termination of Service shall automatically expire on the date of such Termination of Service. In addition, in no event shall an Option or Stock Appreciation Right granted to an Employee who is a non-exempt employee for purposes of overtime pay under the U.S. Fair Labor Standards Act of 1938 be exercisable earlier than six months after its date of grant. Notwithstanding the foregoing, if the Participant, prior to the end of the term of an Option or Stock Appreciation Right, commits an act of Cause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500" w:top="268" w:right="519" w:bottom="1440" w:gutter="0" w:footer="0" w:header="0"/>
        </w:sectPr>
      </w:pPr>
    </w:p>
    <w:bookmarkStart w:id="493" w:name="page494"/>
    <w:bookmarkEnd w:id="493"/>
    <w:p>
      <w:pPr>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(as determined by the Administrator), or violates any non-competition, non-solicitation or confidentiality provisions of any employment contract, confidentiality and nondisclosure agreement or other agreement between the Participant and the Company or any of its Subsidiaries, the right to exercise the Option or Stock Appreciation Right, as applicable, may be terminated by the Company and the Company may suspend the Participant’s right to exercise the Option or Stock Appreciation Right when it reasonably believes that the Participant may have participated in any such act or violation.</w:t>
      </w:r>
    </w:p>
    <w:p>
      <w:pPr>
        <w:spacing w:after="0" w:line="59"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Options and Stock Appreciation Rights may be exercised by delivering to the Company (or such other person or entity designated by the Administrator) a notice of exercise, in a form and manner the Company approves (which may be written, electronic or telephonic and may contain representations and warranties deemed advisable by the Administrator), signed or authenticated by the person authorized to exercise the Option or Stock Appreciation Right, together with, as applicable, (a) payment in full of the exercise price for the number of Shares for which the Option is exercised in a manner specified in Section 6.5 and (b) satisfaction in full of any withholding obligation for Tax-Related Items in a manner specified in Section 10.5. The Administrator may, in its discretion, limit exercise with respect to fractional Shares and require that any partial exercise of an Option or Stock Appreciation Right be with respect to a minimum number of Shares.</w:t>
      </w:r>
    </w:p>
    <w:p>
      <w:pPr>
        <w:spacing w:after="0" w:line="82" w:lineRule="exact"/>
        <w:rPr>
          <w:sz w:val="20"/>
          <w:szCs w:val="20"/>
          <w:color w:val="auto"/>
        </w:rPr>
      </w:pPr>
    </w:p>
    <w:p>
      <w:pPr>
        <w:ind w:right="160" w:firstLine="436"/>
        <w:spacing w:after="0" w:line="277"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Payment Upon Exercise</w:t>
      </w:r>
      <w:r>
        <w:rPr>
          <w:rFonts w:ascii="Times New Roman" w:cs="Times New Roman" w:eastAsia="Times New Roman" w:hAnsi="Times New Roman"/>
          <w:sz w:val="18"/>
          <w:szCs w:val="18"/>
          <w:color w:val="auto"/>
        </w:rPr>
        <w:t>. The Administrator shall determine the methods by which payment of the exercise price of an Option shall be made, including, without limitation:</w:t>
      </w:r>
    </w:p>
    <w:p>
      <w:pPr>
        <w:spacing w:after="0" w:line="57" w:lineRule="exact"/>
        <w:rPr>
          <w:sz w:val="20"/>
          <w:szCs w:val="20"/>
          <w:color w:val="auto"/>
        </w:rPr>
      </w:pPr>
    </w:p>
    <w:p>
      <w:pPr>
        <w:ind w:right="400" w:firstLine="975"/>
        <w:spacing w:after="0" w:line="277" w:lineRule="auto"/>
        <w:tabs>
          <w:tab w:leader="none" w:pos="1223"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check or wire transfer of immediately available funds; provided that the Company may limit the use of one of the foregoing methods if one or more of the methods below is permitted;</w:t>
      </w:r>
    </w:p>
    <w:p>
      <w:pPr>
        <w:spacing w:after="0" w:line="56" w:lineRule="exact"/>
        <w:rPr>
          <w:rFonts w:ascii="Times New Roman" w:cs="Times New Roman" w:eastAsia="Times New Roman" w:hAnsi="Times New Roman"/>
          <w:sz w:val="18"/>
          <w:szCs w:val="18"/>
          <w:color w:val="auto"/>
        </w:rPr>
      </w:pPr>
    </w:p>
    <w:p>
      <w:pPr>
        <w:ind w:right="80" w:firstLine="975"/>
        <w:spacing w:after="0" w:line="271" w:lineRule="auto"/>
        <w:tabs>
          <w:tab w:leader="none" w:pos="1233" w:val="left"/>
        </w:tabs>
        <w:numPr>
          <w:ilvl w:val="0"/>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there is a public market for Shares at the time of exercise, unless the Company otherwise determines, (A) delivery (including electronically or telephonically to the extent permitted by the Company) of a notice that the Participant has placed a market sell order with a broker acceptable to the Company with respect to Shares then issuable upon exercise of the Option and that the broker has been directed to deliver promptly to the Company funds sufficient to pay the exercise price, or (B) the Participant’s delivery to the Company of a copy of irrevocable and unconditional instructions to a broker acceptable to the Company to deliver promptly to the Company an amount sufficient to pay the exercise price by cash, wire transfer of immediately available funds or check; provided that such amount is paid to the Company at such time as may be required by the Company;</w:t>
      </w:r>
    </w:p>
    <w:p>
      <w:pPr>
        <w:spacing w:after="0" w:line="64" w:lineRule="exact"/>
        <w:rPr>
          <w:rFonts w:ascii="Times New Roman" w:cs="Times New Roman" w:eastAsia="Times New Roman" w:hAnsi="Times New Roman"/>
          <w:sz w:val="17"/>
          <w:szCs w:val="17"/>
          <w:color w:val="auto"/>
        </w:rPr>
      </w:pPr>
    </w:p>
    <w:p>
      <w:pPr>
        <w:ind w:right="420" w:firstLine="975"/>
        <w:spacing w:after="0" w:line="277" w:lineRule="auto"/>
        <w:tabs>
          <w:tab w:leader="none" w:pos="1223"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delivery (either by actual delivery or attestation) of Shares owned by the Participant valued at their fair market value on the date of delivery;</w:t>
      </w:r>
    </w:p>
    <w:p>
      <w:pPr>
        <w:spacing w:after="0" w:line="56" w:lineRule="exact"/>
        <w:rPr>
          <w:rFonts w:ascii="Times New Roman" w:cs="Times New Roman" w:eastAsia="Times New Roman" w:hAnsi="Times New Roman"/>
          <w:sz w:val="18"/>
          <w:szCs w:val="18"/>
          <w:color w:val="auto"/>
        </w:rPr>
      </w:pPr>
    </w:p>
    <w:p>
      <w:pPr>
        <w:ind w:right="160" w:firstLine="975"/>
        <w:spacing w:after="0" w:line="277" w:lineRule="auto"/>
        <w:tabs>
          <w:tab w:leader="none" w:pos="1233"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surrendering Shares then issuable upon the Option’s exercise valued at their fair market value on the exercise date;</w:t>
      </w:r>
    </w:p>
    <w:p>
      <w:pPr>
        <w:spacing w:after="0" w:line="56" w:lineRule="exact"/>
        <w:rPr>
          <w:rFonts w:ascii="Times New Roman" w:cs="Times New Roman" w:eastAsia="Times New Roman" w:hAnsi="Times New Roman"/>
          <w:sz w:val="18"/>
          <w:szCs w:val="18"/>
          <w:color w:val="auto"/>
        </w:rPr>
      </w:pPr>
    </w:p>
    <w:p>
      <w:pPr>
        <w:ind w:right="200" w:firstLine="975"/>
        <w:spacing w:after="0" w:line="277" w:lineRule="auto"/>
        <w:tabs>
          <w:tab w:leader="none" w:pos="1223"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other than for Participants subject to Section 13(k) of the Exchange Act with respect to the Company or its Subsidiaries, delivery of a promissory note or any other lawful consideration; or</w:t>
      </w:r>
    </w:p>
    <w:p>
      <w:pPr>
        <w:spacing w:after="0" w:line="56" w:lineRule="exact"/>
        <w:rPr>
          <w:rFonts w:ascii="Times New Roman" w:cs="Times New Roman" w:eastAsia="Times New Roman" w:hAnsi="Times New Roman"/>
          <w:sz w:val="18"/>
          <w:szCs w:val="18"/>
          <w:color w:val="auto"/>
        </w:rPr>
      </w:pPr>
    </w:p>
    <w:p>
      <w:pPr>
        <w:ind w:left="1200" w:hanging="225"/>
        <w:spacing w:after="0"/>
        <w:tabs>
          <w:tab w:leader="none" w:pos="120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any combination of the above payment forms.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80"/>
          </w:cols>
          <w:pgMar w:left="500" w:top="268" w:right="519" w:bottom="1440" w:gutter="0" w:footer="0" w:header="0"/>
        </w:sectPr>
      </w:pPr>
    </w:p>
    <w:bookmarkStart w:id="494" w:name="page495"/>
    <w:bookmarkEnd w:id="494"/>
    <w:p>
      <w:pPr>
        <w:ind w:firstLine="436"/>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6.6 </w:t>
      </w:r>
      <w:r>
        <w:rPr>
          <w:rFonts w:ascii="Times New Roman" w:cs="Times New Roman" w:eastAsia="Times New Roman" w:hAnsi="Times New Roman"/>
          <w:sz w:val="17"/>
          <w:szCs w:val="17"/>
          <w:u w:val="single" w:color="auto"/>
          <w:color w:val="auto"/>
        </w:rPr>
        <w:t>Expiration of Option Term or Stock Appreciation Right Term: Automatic Exercise of In-The-Money Options and Stock Appreciation Rights</w:t>
      </w:r>
      <w:r>
        <w:rPr>
          <w:rFonts w:ascii="Times New Roman" w:cs="Times New Roman" w:eastAsia="Times New Roman" w:hAnsi="Times New Roman"/>
          <w:sz w:val="17"/>
          <w:szCs w:val="17"/>
          <w:color w:val="auto"/>
        </w:rPr>
        <w:t>. Unless otherwise provided by the Administrator in an Award Agreement or otherwise or as otherwise directed by a holder of an Option or a Stock Appreciation Right in writing to the Company, each vested and exercisable Option and Stock Appreciation Right outstanding on the Automatic Exercise Date with an exercise price per Share that is less than the sum of the Fair Market Value and any related broker’s fees (as described in Section 11.20(c)) per Share as of such date shall automatically and without further action by the holder of the Option or Stock Appreciation Right or the Company be exercised on the Automatic Exercise Date. In the sole discretion of the Administrator, payment of the exercise price of any such Option shall be made pursuant to Section 6.5(b) or 6.5(d) and the Company or any Subsidiary shall be entitled to deduct or withhold an amount sufficient to satisfy any withholding obligation for Tax-Related Items associated with such exercise in accordance with Section 10.5. Unless otherwise determined by the Administrator, this Section 6.6 shall not apply to an Option or Stock Appreciation Right if the holder of such Option or Stock Appreciation Right incurs a Termination of Service on or before the Automatic Exercise Date. For the avoidance of doubt, no Option or Stock Appreciation Right with an exercise price per Share that is equal to or greater than the Fair Market Value on the Automatic Exercise Date shall be exercised pursuant to this Section 6.6.</w:t>
      </w:r>
    </w:p>
    <w:p>
      <w:pPr>
        <w:spacing w:after="0" w:line="75" w:lineRule="exact"/>
        <w:rPr>
          <w:sz w:val="20"/>
          <w:szCs w:val="20"/>
          <w:color w:val="auto"/>
        </w:rPr>
      </w:pPr>
    </w:p>
    <w:p>
      <w:pPr>
        <w:ind w:firstLine="436"/>
        <w:spacing w:after="0" w:line="250"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Additional Terms of Incentive Stock Options</w:t>
      </w:r>
      <w:r>
        <w:rPr>
          <w:rFonts w:ascii="Times New Roman" w:cs="Times New Roman" w:eastAsia="Times New Roman" w:hAnsi="Times New Roman"/>
          <w:sz w:val="18"/>
          <w:szCs w:val="18"/>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(and Award Agreements related thereto)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the later of (a) two years from the grant date of the Option or (b)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STOCK; RESTRICTED STOCK UNITS</w:t>
      </w:r>
    </w:p>
    <w:p>
      <w:pPr>
        <w:spacing w:after="0" w:line="202"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grant Restricted Stock, or the right to purchase Restricted Stock, to any Service Provider, subject to forfeiture or the Company’s right to repurchase all or part of the underlying Shares at their issue price or other stated or formula price from the Participant if conditions the Administrator specifies in the Award Agreement are not satisfied before the end of the applicable restriction period or periods that the Administrator establishes for such Award. In addition, the Administrator may grant Restricted Stock Units, which may be subject to vesting and forfeiture conditions during the applicable restriction period or periods, as set forth in an Award Agreement, to Service Providers. The Administrator shall establish the purchase price, if any, and form of payment for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60"/>
          </w:cols>
          <w:pgMar w:left="500" w:top="268" w:right="539" w:bottom="1440" w:gutter="0" w:footer="0" w:header="0"/>
        </w:sectPr>
      </w:pPr>
    </w:p>
    <w:bookmarkStart w:id="495" w:name="page496"/>
    <w:bookmarkEnd w:id="495"/>
    <w:p>
      <w:pPr>
        <w:ind w:right="12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Restricted Stock and Restricted Stock Units; provided, however, that if a purchase price is charged, such purchase price shall be no less than the par value, if any, of the Shares to be purchased, unless otherwise permitted by Applicable Law. In all cases, legal consideration shall be required for each issuance of Restricted Stock and Restricted Stock Units to the extent required by Applicable Law. The Award Agreement for each Award of Restricted Stock and Restricted Stock Units shall set forth the terms and conditions not inconsistent with the Plan as the Administrator shall determine.</w:t>
      </w:r>
    </w:p>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firstLine="975"/>
        <w:spacing w:after="0" w:line="251" w:lineRule="auto"/>
        <w:tabs>
          <w:tab w:leader="none" w:pos="1223"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Rights</w:t>
      </w:r>
      <w:r>
        <w:rPr>
          <w:rFonts w:ascii="Times New Roman" w:cs="Times New Roman" w:eastAsia="Times New Roman" w:hAnsi="Times New Roman"/>
          <w:sz w:val="18"/>
          <w:szCs w:val="18"/>
          <w:color w:val="auto"/>
        </w:rPr>
        <w:t>. Unless otherwise determined by the Administrator, each Participant holding Shares of Restricted Stock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all the rights of a stockholder with respect to such Shares, subject to the restrictions in the Plan and the applicable Award Agreement, including the right to receive all dividends and other distributions paid or made with respect to the Shares to the extent such dividends and other distributions have a record date that is on or after the date on which such Participant becomes the record holder of such Shares; provided, however, that with respect to a share of Restricted Stock subject to restrictions or vesting conditions, except in connection with a spin-off or other similar event as otherwise permitted under Section 9.2, dividends which are paid to Company stockholders prior to the removal of restrictions and satisfaction of vesting conditions shall only be paid to the Participant to the extent that the restrictions are subsequently removed and the vesting conditions are subsequently satisfied and the share of Restricted Stock vests. All such dividends will be made no later than March 15 of the calendar year immediately following the calendar year in which the right to the dividend payments became nonforfeitable.</w:t>
      </w:r>
    </w:p>
    <w:p>
      <w:pPr>
        <w:spacing w:after="0" w:line="82" w:lineRule="exact"/>
        <w:rPr>
          <w:rFonts w:ascii="Times New Roman" w:cs="Times New Roman" w:eastAsia="Times New Roman" w:hAnsi="Times New Roman"/>
          <w:sz w:val="18"/>
          <w:szCs w:val="18"/>
          <w:color w:val="auto"/>
        </w:rPr>
      </w:pPr>
    </w:p>
    <w:p>
      <w:pPr>
        <w:ind w:right="400" w:firstLine="975"/>
        <w:spacing w:after="0" w:line="279" w:lineRule="auto"/>
        <w:tabs>
          <w:tab w:leader="none" w:pos="1233"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Certificates</w:t>
      </w:r>
      <w:r>
        <w:rPr>
          <w:rFonts w:ascii="Times New Roman" w:cs="Times New Roman" w:eastAsia="Times New Roman" w:hAnsi="Times New Roman"/>
          <w:sz w:val="18"/>
          <w:szCs w:val="18"/>
          <w:color w:val="auto"/>
        </w:rPr>
        <w:t>. The Company may require that the Participant deposit in escrow with the Company (or its designee) any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certificates issued in respect of Shares of Restricted Stock, together with a stock power endorsed in blank.</w:t>
      </w:r>
    </w:p>
    <w:p>
      <w:pPr>
        <w:spacing w:after="0" w:line="53" w:lineRule="exact"/>
        <w:rPr>
          <w:rFonts w:ascii="Times New Roman" w:cs="Times New Roman" w:eastAsia="Times New Roman" w:hAnsi="Times New Roman"/>
          <w:sz w:val="18"/>
          <w:szCs w:val="18"/>
          <w:color w:val="auto"/>
        </w:rPr>
      </w:pPr>
    </w:p>
    <w:p>
      <w:pPr>
        <w:ind w:right="80" w:firstLine="975"/>
        <w:spacing w:after="0" w:line="258" w:lineRule="auto"/>
        <w:tabs>
          <w:tab w:leader="none" w:pos="1223"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83(b) Election</w:t>
      </w:r>
      <w:r>
        <w:rPr>
          <w:rFonts w:ascii="Times New Roman" w:cs="Times New Roman" w:eastAsia="Times New Roman" w:hAnsi="Times New Roman"/>
          <w:sz w:val="18"/>
          <w:szCs w:val="18"/>
          <w:color w:val="auto"/>
        </w:rPr>
        <w:t>. If a Participant makes an election under Section 83(b) of the Code to be taxed with respect to the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as of the date of transfer of the Restricted Stock rather than as of the date or dates upon which such Participant would otherwise be taxable under Section 83(a) of the Code, such Participant shall be required to deliver a copy of such election to the Company promptly after filing such election with the Internal Revenue Service along with proof of the timely filing thereof.</w:t>
      </w:r>
    </w:p>
    <w:p>
      <w:pPr>
        <w:spacing w:after="0" w:line="74" w:lineRule="exact"/>
        <w:rPr>
          <w:sz w:val="20"/>
          <w:szCs w:val="20"/>
          <w:color w:val="auto"/>
        </w:rPr>
      </w:pPr>
    </w:p>
    <w:p>
      <w:pPr>
        <w:ind w:right="140" w:firstLine="436"/>
        <w:spacing w:after="0" w:line="255"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The Administrator may provide that settlement of Restricted Stock Units will occur upon or as soon as reasonably practicable after the Restricted Stock Units vest or will instead be deferred, on a mandatory basis or at the Participant’s election, subject to compliance with Applicable Law. A Participant holding Restricted Stock Units will have only the rights of a general unsecured creditor of the Company (solely to the extent of any rights then applicable to Participant with respect to such Restricted Stock Units) until delivery of Shares, cash or other securities or property is made as specified in the applicable Award Agreement.</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TYPES OF AWARDS</w:t>
      </w:r>
    </w:p>
    <w:p>
      <w:pPr>
        <w:spacing w:after="0" w:line="202" w:lineRule="exact"/>
        <w:rPr>
          <w:sz w:val="20"/>
          <w:szCs w:val="20"/>
          <w:color w:val="auto"/>
        </w:rPr>
      </w:pPr>
    </w:p>
    <w:p>
      <w:pPr>
        <w:ind w:right="100" w:firstLine="436"/>
        <w:spacing w:after="0" w:line="26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grant Performance Stock Unit awards, Performance Bonus Awards, Dividend Equivalents or Other Stock or Cash Based Awards, to one or more Service Providers, in such amounts and subject to such terms and conditions not inconsistent with the Plan as the Administrator shall determine.</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40"/>
          </w:cols>
          <w:pgMar w:left="500" w:top="268" w:right="559" w:bottom="1440" w:gutter="0" w:footer="0" w:header="0"/>
        </w:sectPr>
      </w:pPr>
    </w:p>
    <w:bookmarkStart w:id="496" w:name="page497"/>
    <w:bookmarkEnd w:id="496"/>
    <w:p>
      <w:pPr>
        <w:ind w:right="140" w:firstLine="436"/>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8.2 </w:t>
      </w:r>
      <w:r>
        <w:rPr>
          <w:rFonts w:ascii="Times New Roman" w:cs="Times New Roman" w:eastAsia="Times New Roman" w:hAnsi="Times New Roman"/>
          <w:sz w:val="17"/>
          <w:szCs w:val="17"/>
          <w:u w:val="single" w:color="auto"/>
          <w:color w:val="auto"/>
        </w:rPr>
        <w:t>Performance Stock Unit Awards</w:t>
      </w:r>
      <w:r>
        <w:rPr>
          <w:rFonts w:ascii="Times New Roman" w:cs="Times New Roman" w:eastAsia="Times New Roman" w:hAnsi="Times New Roman"/>
          <w:sz w:val="17"/>
          <w:szCs w:val="17"/>
          <w:color w:val="auto"/>
        </w:rPr>
        <w:t>. Each Performance Stock Unit award shall be denominated in a number of Shares or in unit equivalents of Shares or units of value (including a dollar value of Shares) and may be linked to any one or more of performance or other specific criteria, including service to the Company or Subsidiaries, determined to be appropriate by the Administrator, in each case on a specified date or dates or over any period or periods determined by the Administrator. In making such determinations, the Administrator may consider (among such other factors as it deems relevant in light of the specific type of award) the contributions, responsibilities and other compensation of the particular Participant.</w:t>
      </w:r>
    </w:p>
    <w:p>
      <w:pPr>
        <w:spacing w:after="0" w:line="64" w:lineRule="exact"/>
        <w:rPr>
          <w:sz w:val="20"/>
          <w:szCs w:val="20"/>
          <w:color w:val="auto"/>
        </w:rPr>
      </w:pPr>
    </w:p>
    <w:p>
      <w:pPr>
        <w:ind w:right="20" w:firstLine="436"/>
        <w:spacing w:after="0" w:line="257"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Performance Bonus Awards</w:t>
      </w:r>
      <w:r>
        <w:rPr>
          <w:rFonts w:ascii="Times New Roman" w:cs="Times New Roman" w:eastAsia="Times New Roman" w:hAnsi="Times New Roman"/>
          <w:sz w:val="18"/>
          <w:szCs w:val="18"/>
          <w:color w:val="auto"/>
        </w:rPr>
        <w:t>. Each right to receive a bonus granted under this Section 8.3 shall be denominated in the form of cash (but may be payable in cash, stock or a combination thereof) (a “</w:t>
      </w:r>
      <w:r>
        <w:rPr>
          <w:rFonts w:ascii="Times New Roman" w:cs="Times New Roman" w:eastAsia="Times New Roman" w:hAnsi="Times New Roman"/>
          <w:sz w:val="18"/>
          <w:szCs w:val="18"/>
          <w:b w:val="1"/>
          <w:bCs w:val="1"/>
          <w:i w:val="1"/>
          <w:iCs w:val="1"/>
          <w:color w:val="auto"/>
        </w:rPr>
        <w:t>Performance Bonus Award</w:t>
      </w:r>
      <w:r>
        <w:rPr>
          <w:rFonts w:ascii="Times New Roman" w:cs="Times New Roman" w:eastAsia="Times New Roman" w:hAnsi="Times New Roman"/>
          <w:sz w:val="18"/>
          <w:szCs w:val="18"/>
          <w:color w:val="auto"/>
        </w:rPr>
        <w:t>”) and shall be payable upon the attainment of performance goals that are established by the Administrator and relate to one or more of performance or other specific criteria, including service to the Company or Subsidiaries, in each case on a specified date or dates or over any period or periods determined by the Administrator.</w:t>
      </w:r>
    </w:p>
    <w:p>
      <w:pPr>
        <w:spacing w:after="0" w:line="75" w:lineRule="exact"/>
        <w:rPr>
          <w:sz w:val="20"/>
          <w:szCs w:val="20"/>
          <w:color w:val="auto"/>
        </w:rPr>
      </w:pPr>
    </w:p>
    <w:p>
      <w:pPr>
        <w:ind w:right="120" w:firstLine="436"/>
        <w:spacing w:after="0" w:line="252"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If the Administrator provides, an Award (other than an Option or Stock Appreciation Right) may provide a Participant with the right to receive Dividend Equivalents. Dividend Equivalents may be paid currently or credited to an account for the Participant, settled in cash or Shares and subject to the same restrictions on transferability and forfeitability as the Award with respect to which the Dividend Equivalents are granted and subject to other terms and conditions as set forth in the Award Agreement. Notwithstanding anything to the contrary herein, Dividend Equivalents with respect to an Award subject to vesting shall either (a) to the extent permitted by Applicable Law, not be paid or credited or (b) be accumulated and subject to vesting to the same extent as the related Award. All such Dividend Equivalents shall be paid no later than March 15 of the calendar year immediately following the calendar year in which the right to the Dividend Equivalent payments became nonforfeitable unless otherwise determined by the Administrator or unless deferred in a manner intended to comply with Section 409A.</w:t>
      </w:r>
    </w:p>
    <w:p>
      <w:pPr>
        <w:spacing w:after="0" w:line="78"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Other Stock or Cash Based Awards</w:t>
      </w:r>
      <w:r>
        <w:rPr>
          <w:rFonts w:ascii="Times New Roman" w:cs="Times New Roman" w:eastAsia="Times New Roman" w:hAnsi="Times New Roman"/>
          <w:sz w:val="18"/>
          <w:szCs w:val="18"/>
          <w:color w:val="auto"/>
        </w:rPr>
        <w:t>. Other Stock or Cash Based Awards may be granted to Participants, including Awards entitling Participants to receive cash or Shares to be delivered in the future and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subject to compliance with, or an exemption from, Section 409A. Other Stock or Cash Based Awards may be paid in Shares, cash or other property, as the Administrator determines. Subject to the provisions of the Plan, the Administrator will determine the terms and conditions of each Other Stock or Cash Based Award, including any purchase price, performance goal(s), transfer restrictions, and vesting conditions, which will be set forth in the applicable Award Agreement. Except in connection with a spin-off or other similar event as otherwise permitted under Article IX, dividends that are paid prior to vesting of any Other Stock or Cash Based Award shall only be paid to the applicable Participant to the extent that the vesting conditions are subsequently satisfied and the Other Stock or Cash Based Award vests.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80"/>
          </w:cols>
          <w:pgMar w:left="500" w:top="268" w:right="519" w:bottom="1440" w:gutter="0" w:footer="0" w:header="0"/>
        </w:sectPr>
      </w:pPr>
    </w:p>
    <w:bookmarkStart w:id="497" w:name="page498"/>
    <w:bookmarkEnd w:id="49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2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ARTICLE IX.</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ADJUSTMENTS FOR CHANGES IN COMMON STOCK</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CERTAIN OTHER EVENTS</w:t>
      </w:r>
    </w:p>
    <w:p>
      <w:pPr>
        <w:spacing w:after="0" w:line="202"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Equity Restructuring</w:t>
      </w:r>
      <w:r>
        <w:rPr>
          <w:rFonts w:ascii="Times New Roman" w:cs="Times New Roman" w:eastAsia="Times New Roman" w:hAnsi="Times New Roman"/>
          <w:sz w:val="18"/>
          <w:szCs w:val="18"/>
          <w:color w:val="auto"/>
        </w:rPr>
        <w:t>. In connection with any Equity Restructuring, notwithstanding anything to the contrary in this Article IX, the Administrator will equitably adjust the terms of the Plan and each outstanding Award as it deems appropriate to reflect the Equity Restructuring, which may include (a) adjusting the number and type of securities subject to each outstanding Award or with respect to which Awards may be granted under the Plan (including, but not limited to, adjustments of the limitations in Article V hereof on the maximum number and kind of shares that may be issued); (b) adjusting the terms and conditions of (including the grant or exercise price), and the performance goals or other criteria included in, outstanding Awards; and (c) granting new Awards or making cash payments to Participants. The adjustments provided under this Section 9.1 will be nondiscretionary and final and binding on all interested parties, including the affected Participant and the Company; provided that the Administrator will determine whether an adjustment is equitable.</w:t>
      </w:r>
    </w:p>
    <w:p>
      <w:pPr>
        <w:spacing w:after="0" w:line="78" w:lineRule="exact"/>
        <w:rPr>
          <w:sz w:val="20"/>
          <w:szCs w:val="20"/>
          <w:color w:val="auto"/>
        </w:rPr>
      </w:pPr>
    </w:p>
    <w:p>
      <w:pPr>
        <w:ind w:right="40" w:firstLine="436"/>
        <w:spacing w:after="0" w:line="250"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In the event of any extraordinary dividend or other distribution (whether in the form of cash, Common Stock, other securities, or other property), reorganization, merger, consolidation, split-up, spin off,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 or accounting principles:</w:t>
      </w:r>
    </w:p>
    <w:p>
      <w:pPr>
        <w:spacing w:after="0" w:line="84" w:lineRule="exact"/>
        <w:rPr>
          <w:sz w:val="20"/>
          <w:szCs w:val="20"/>
          <w:color w:val="auto"/>
        </w:rPr>
      </w:pPr>
    </w:p>
    <w:p>
      <w:pPr>
        <w:ind w:right="40" w:firstLine="975"/>
        <w:spacing w:after="0" w:line="255" w:lineRule="auto"/>
        <w:tabs>
          <w:tab w:leader="none" w:pos="1223"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in each case as of the date of such cancellation;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75" w:lineRule="exact"/>
        <w:rPr>
          <w:rFonts w:ascii="Times New Roman" w:cs="Times New Roman" w:eastAsia="Times New Roman" w:hAnsi="Times New Roman"/>
          <w:sz w:val="18"/>
          <w:szCs w:val="18"/>
          <w:color w:val="auto"/>
        </w:rPr>
      </w:pPr>
    </w:p>
    <w:p>
      <w:pPr>
        <w:ind w:right="120" w:firstLine="975"/>
        <w:spacing w:after="0" w:line="277" w:lineRule="auto"/>
        <w:tabs>
          <w:tab w:leader="none" w:pos="1233"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shall vest and, to the extent applicable, be exercisable as to all Shares (or other property) covered thereby, notwithstanding anything to the contrary in the Plan or the provisions of such Award;</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80"/>
          </w:cols>
          <w:pgMar w:left="500" w:top="263" w:right="519" w:bottom="1440" w:gutter="0" w:footer="0" w:header="0"/>
        </w:sectPr>
      </w:pPr>
    </w:p>
    <w:bookmarkStart w:id="498" w:name="page499"/>
    <w:bookmarkEnd w:id="498"/>
    <w:p>
      <w:pPr>
        <w:ind w:right="80" w:firstLine="975"/>
        <w:spacing w:after="0" w:line="257" w:lineRule="auto"/>
        <w:tabs>
          <w:tab w:leader="none" w:pos="1223"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2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To provide that such Award be assumed by the successor or survivor corporation or entity, or a parent or subsidiary thereof, or shall be substituted for by awards covering the stock of the successor or survivor corporation or entity, or a parent or subsidiary thereof, or equivalent value thereof in cash, with appropriate adjustments as to the number and kind of shares and applicable exercise or purchase price, in all cases, as determined by the Administrator;</w:t>
      </w:r>
    </w:p>
    <w:p>
      <w:pPr>
        <w:spacing w:after="0" w:line="75" w:lineRule="exact"/>
        <w:rPr>
          <w:rFonts w:ascii="Times New Roman" w:cs="Times New Roman" w:eastAsia="Times New Roman" w:hAnsi="Times New Roman"/>
          <w:sz w:val="18"/>
          <w:szCs w:val="18"/>
          <w:color w:val="auto"/>
        </w:rPr>
      </w:pPr>
    </w:p>
    <w:p>
      <w:pPr>
        <w:ind w:firstLine="975"/>
        <w:spacing w:after="0" w:line="257" w:lineRule="auto"/>
        <w:tabs>
          <w:tab w:leader="none" w:pos="1233"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adjustments in the number and type of Shares (or other securities or property) subject to outstanding Awards or with respect to which Awards may be granted under the Plan (including, but not limited to, adjustments of the limitations in Article V hereof on the maximum number and kind of Shares which may be issued) or in the terms and conditions of (including the grant or exercise price or applicable performance goals), and the criteria included in, outstanding Awards;</w:t>
      </w:r>
    </w:p>
    <w:p>
      <w:pPr>
        <w:spacing w:after="0" w:line="75"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replace such Award with other rights or property selected by the Administrator; or</w:t>
      </w:r>
    </w:p>
    <w:p>
      <w:pPr>
        <w:spacing w:after="0" w:line="113" w:lineRule="exact"/>
        <w:rPr>
          <w:rFonts w:ascii="Times New Roman" w:cs="Times New Roman" w:eastAsia="Times New Roman" w:hAnsi="Times New Roman"/>
          <w:sz w:val="18"/>
          <w:szCs w:val="18"/>
          <w:color w:val="auto"/>
        </w:rPr>
      </w:pPr>
    </w:p>
    <w:p>
      <w:pPr>
        <w:ind w:left="1200" w:hanging="225"/>
        <w:spacing w:after="0"/>
        <w:tabs>
          <w:tab w:leader="none" w:pos="120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Award will terminate and cannot vest, be exercised or become payable after the applicable event.</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0" w:firstLine="975"/>
        <w:spacing w:after="0" w:line="253" w:lineRule="auto"/>
        <w:tabs>
          <w:tab w:leader="none" w:pos="1223"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in the event of a Change in Control, unless the Administrator elects to (i) terminate an Award (after giving effect to any acceleration, including as set forth herein), or (ii) cause an Award to become fully exercisable and no longer subject to any forfeiture restrictions prior to the consummation of a Change in Control, pursuant to Section 9.2, (A) such Award (other than any portion subject to performance-based vesting) shall continue in effect or be assumed or an equivalent Award substituted by the successor corporation or a parent or subsidiary of the successor corporation and (B) the portion of such Award subject to performance-based vesting shall be subject to the terms and conditions of the applicable Award Agreement and, in the absence of applicable terms and conditions, the Administrator’s discretion.</w:t>
      </w:r>
    </w:p>
    <w:p>
      <w:pPr>
        <w:spacing w:after="0" w:line="80" w:lineRule="exact"/>
        <w:rPr>
          <w:rFonts w:ascii="Times New Roman" w:cs="Times New Roman" w:eastAsia="Times New Roman" w:hAnsi="Times New Roman"/>
          <w:sz w:val="18"/>
          <w:szCs w:val="18"/>
          <w:color w:val="auto"/>
        </w:rPr>
      </w:pPr>
    </w:p>
    <w:p>
      <w:pPr>
        <w:ind w:right="40" w:firstLine="975"/>
        <w:spacing w:after="0" w:line="252" w:lineRule="auto"/>
        <w:tabs>
          <w:tab w:leader="none" w:pos="1233"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successor corporation in a Change in Control refuses to assume or substitute for an Award (other than any portion subject to performance-based vesting, which shall be handled as specified in the individual Award Agreement or as otherwise provided by the Administrator), the Administrator shall cause such Award to become fully vested and, if applicable, exercisable immediately prior to the consummation of such transaction and all forfeiture restrictions on such Award to lapse and, to the extent unexercised upon the consummation of such transaction, to terminate in exchange for cash, rights or other property. The Administrator shall notify the Participant of any Award that becomes exercisable pursuant to the preceding sentence that such Award shall be fully exercisable for a period of time as determined by the Administrator from the date of such notice (which shall be fifteen (15) days if no period is determined by the Administrator), contingent upon the occurrence of the Change in Control, and such Award shall terminate upon the consummation of the Change in Control in accordance with the preceding sentence.</w:t>
      </w:r>
    </w:p>
    <w:p>
      <w:pPr>
        <w:spacing w:after="0" w:line="78" w:lineRule="exact"/>
        <w:rPr>
          <w:rFonts w:ascii="Times New Roman" w:cs="Times New Roman" w:eastAsia="Times New Roman" w:hAnsi="Times New Roman"/>
          <w:sz w:val="18"/>
          <w:szCs w:val="18"/>
          <w:color w:val="auto"/>
        </w:rPr>
      </w:pPr>
    </w:p>
    <w:p>
      <w:pPr>
        <w:ind w:right="220" w:firstLine="975"/>
        <w:spacing w:after="0" w:line="253" w:lineRule="auto"/>
        <w:tabs>
          <w:tab w:leader="none" w:pos="1223"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Stand Still</w:t>
      </w:r>
      <w:r>
        <w:rPr>
          <w:rFonts w:ascii="Times New Roman" w:cs="Times New Roman" w:eastAsia="Times New Roman" w:hAnsi="Times New Roman"/>
          <w:sz w:val="18"/>
          <w:szCs w:val="18"/>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or for reasons of administrative convenience or to facilitate compliance with any Applicable Law, the Administrator may refuse to permit the exercise or settlement of one or more Awards for such period of time as the Company may determine to be reasonably appropriate under the circumstances.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80"/>
          </w:cols>
          <w:pgMar w:left="500" w:top="267" w:right="519" w:bottom="1440" w:gutter="0" w:footer="0" w:header="0"/>
        </w:sectPr>
      </w:pPr>
    </w:p>
    <w:bookmarkStart w:id="499" w:name="page500"/>
    <w:bookmarkEnd w:id="499"/>
    <w:p>
      <w:pPr>
        <w:ind w:left="6" w:firstLine="436"/>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9.4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9.1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(a) any adjustment, recapitalization, reorganization or other change in the Company’s capital structure or its business, (b) any merger, consolidation, spinoff, dissolution or liquidation of the Company or sale of Company assets or (c) any sale or issuance of securities, including securities with rights superior to those of the Shares or securities convertible into or exchangeable for Shares. The Administrator may treat Participants and Awards (or portions thereof) differently under this Article IX.</w:t>
      </w:r>
    </w:p>
    <w:p>
      <w:pPr>
        <w:spacing w:after="0" w:line="39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PROVISIONS APPLICABLE TO AWARDS</w:t>
      </w:r>
    </w:p>
    <w:p>
      <w:pPr>
        <w:spacing w:after="0" w:line="202"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6" w:right="60" w:firstLine="975"/>
        <w:spacing w:after="0" w:line="252" w:lineRule="auto"/>
        <w:tabs>
          <w:tab w:leader="none" w:pos="1229"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may be sold, assigned, transferred, pledged or otherwise encumbered, either voluntarily or by operation of law, except by will or the laws of descent and distribution, or, subject to the Administrator’s consent, pursuant to a DRO, unless and until such Award has been exercised or the Shares underlying such Award have been issued, and all restrictions applicable to such Shares have lapsed. During the life of a Participant, Awards will be exercisable only by the Participant, unless it has been disposed of pursuant to a DRO. After the death of a Participant, any exercisable portion of an Award may, prior to the time when such portion becomes unexercisable under the Plan or the applicable Award Agreement, be exercised by the Participant’s personal representative or by any person empowered to do so under the deceased Participant’s will or under the then-Applicable Law of descent and distribution. References to a Participant, to the extent relevant in the context, will include references to a transferee approved by the Administrator.</w:t>
      </w:r>
    </w:p>
    <w:p>
      <w:pPr>
        <w:spacing w:after="0" w:line="78" w:lineRule="exact"/>
        <w:rPr>
          <w:rFonts w:ascii="Times New Roman" w:cs="Times New Roman" w:eastAsia="Times New Roman" w:hAnsi="Times New Roman"/>
          <w:sz w:val="18"/>
          <w:szCs w:val="18"/>
          <w:color w:val="auto"/>
        </w:rPr>
      </w:pPr>
    </w:p>
    <w:p>
      <w:pPr>
        <w:ind w:left="6" w:right="180" w:firstLine="975"/>
        <w:spacing w:after="0" w:line="267" w:lineRule="auto"/>
        <w:tabs>
          <w:tab w:leader="none" w:pos="1239" w:val="left"/>
        </w:tabs>
        <w:numPr>
          <w:ilvl w:val="1"/>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Section 10.1(a), the Administrator, in its sole discretion, may determine to permit a Participant or a Permitted Transferee of such Participant to transfer an Award other than an Incentive Stock Option (unless such Incentive Stock Option is intended to become a Nonqualified Stock Option) to any one or more Permitted Transferees of such Participant, subject to the following terms and conditions: (i) an Award transferred to a Permitted Transferee shall not be assignable or transferable by the Permitted Transferee other than (A) to another Permitted Transferee of the applicable Participant or (B) by will or the laws of descent and distribution or, subject to the consent of the Administrator, pursuant to a DRO;</w:t>
      </w:r>
    </w:p>
    <w:p>
      <w:pPr>
        <w:ind w:left="6" w:right="120" w:hanging="6"/>
        <w:spacing w:after="0" w:line="248" w:lineRule="auto"/>
        <w:tabs>
          <w:tab w:leader="none" w:pos="26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Award transferred to a Permitted Transferee shall continue to be subject to all the terms and conditions of the Award as applicable to the original Participant (other than the ability to further transfer the Award to any person other than another Permitted Transferee of the applicable Participant); (iii) the Participant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and (iv) any transfer of an Award to a Permitted Transferee shall be without consideration, except as required by Applicable Law. In addition, and further notwithstanding Section 10.1(a), the Administrator, in its sole discretion, may determine to permit a Participant to transfer Incentive Stock Options to a trust that constitutes a Permitted Transferee if, under Section 671 of the Code and other Applicable Law, the Participant is considered the sole beneficial owner of the Incentive Stock Option while it is held in the trust.</w:t>
      </w:r>
    </w:p>
    <w:p>
      <w:pPr>
        <w:spacing w:after="0" w:line="12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86"/>
          </w:cols>
          <w:pgMar w:left="494" w:top="268" w:right="519" w:bottom="1440" w:gutter="0" w:footer="0" w:header="0"/>
        </w:sectPr>
      </w:pPr>
    </w:p>
    <w:bookmarkStart w:id="500" w:name="page501"/>
    <w:bookmarkEnd w:id="500"/>
    <w:p>
      <w:pPr>
        <w:ind w:right="80" w:firstLine="975"/>
        <w:spacing w:after="0" w:line="268" w:lineRule="auto"/>
        <w:tabs>
          <w:tab w:leader="none" w:pos="1223"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Notwithstanding Section 10.1(a), if permitted by the Administrator, a Participant may, in the manner determined by the Administrator, designate a Designated Beneficiary. A Designated Beneficiary, legal guardian, legal representative, or other person claiming any rights pursuant to the Plan is subject to all terms and conditions of the Plan and any Award Agreement applicable to the Participant and any additional restrictions deemed necessary or appropriate by the Administrator. If the Participant is married or a domestic partner in a domestic partnership qualified under Applicable Law and resides in a community property state, a designation of a person other than the Participant’s spouse or domestic partner, as applicable, as the Participant’s Designated Beneficiary with respect to more than 50% of the Participant’s interest in the Award shall not be effective without the prior written or electronic consent of the Participant’s spouse or domestic partner. Subject to the foregoing, a beneficiary designation may be changed or revoked by a Participant at any time; provided that the change or revocation is delivered in writing to the Administrator prior to the Participant’s death.</w:t>
      </w:r>
    </w:p>
    <w:p>
      <w:pPr>
        <w:spacing w:after="0" w:line="70" w:lineRule="exact"/>
        <w:rPr>
          <w:sz w:val="20"/>
          <w:szCs w:val="20"/>
          <w:color w:val="auto"/>
        </w:rPr>
      </w:pPr>
    </w:p>
    <w:p>
      <w:pPr>
        <w:jc w:val="both"/>
        <w:ind w:right="120" w:firstLine="436"/>
        <w:spacing w:after="0" w:line="26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Each Award will be evidenced in an Award Agreement in such form as the Administrator determines in its discretion. Each Award may contain such terms and conditions as are determined by the Administrator in its sole discretion, to the extent not inconsistent with those set forth in the Plan.</w:t>
      </w:r>
    </w:p>
    <w:p>
      <w:pPr>
        <w:spacing w:after="0" w:line="70" w:lineRule="exact"/>
        <w:rPr>
          <w:sz w:val="20"/>
          <w:szCs w:val="20"/>
          <w:color w:val="auto"/>
        </w:rPr>
      </w:pPr>
    </w:p>
    <w:p>
      <w:pPr>
        <w:ind w:firstLine="436"/>
        <w:spacing w:after="0" w:line="308" w:lineRule="auto"/>
        <w:rPr>
          <w:sz w:val="20"/>
          <w:szCs w:val="20"/>
          <w:color w:val="auto"/>
        </w:rPr>
      </w:pPr>
      <w:r>
        <w:rPr>
          <w:rFonts w:ascii="Times New Roman" w:cs="Times New Roman" w:eastAsia="Times New Roman" w:hAnsi="Times New Roman"/>
          <w:sz w:val="17"/>
          <w:szCs w:val="17"/>
          <w:color w:val="auto"/>
        </w:rPr>
        <w:t xml:space="preserve">10.3 </w:t>
      </w:r>
      <w:r>
        <w:rPr>
          <w:rFonts w:ascii="Times New Roman" w:cs="Times New Roman" w:eastAsia="Times New Roman" w:hAnsi="Times New Roman"/>
          <w:sz w:val="17"/>
          <w:szCs w:val="17"/>
          <w:u w:val="single" w:color="auto"/>
          <w:color w:val="auto"/>
        </w:rPr>
        <w:t>Discretion</w:t>
      </w:r>
      <w:r>
        <w:rPr>
          <w:rFonts w:ascii="Times New Roman" w:cs="Times New Roman" w:eastAsia="Times New Roman" w:hAnsi="Times New Roman"/>
          <w:sz w:val="17"/>
          <w:szCs w:val="17"/>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33" w:lineRule="exact"/>
        <w:rPr>
          <w:sz w:val="20"/>
          <w:szCs w:val="20"/>
          <w:color w:val="auto"/>
        </w:rPr>
      </w:pPr>
    </w:p>
    <w:p>
      <w:pPr>
        <w:jc w:val="both"/>
        <w:ind w:right="200" w:firstLine="436"/>
        <w:spacing w:after="0" w:line="255"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Changes in Participant’s Status</w:t>
      </w:r>
      <w:r>
        <w:rPr>
          <w:rFonts w:ascii="Times New Roman" w:cs="Times New Roman" w:eastAsia="Times New Roman" w:hAnsi="Times New Roman"/>
          <w:sz w:val="18"/>
          <w:szCs w:val="18"/>
          <w:color w:val="auto"/>
        </w:rPr>
        <w:t>.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 Except to the extent otherwise required by Applicable Law or expressly authorized by the Company or by the Company’s written policy on leaves of absence, no service credit shall be given for vesting purposes for any period the Participant is on a leave of absence.</w:t>
      </w:r>
    </w:p>
    <w:p>
      <w:pPr>
        <w:spacing w:after="0" w:line="76" w:lineRule="exact"/>
        <w:rPr>
          <w:sz w:val="20"/>
          <w:szCs w:val="20"/>
          <w:color w:val="auto"/>
        </w:rPr>
      </w:pPr>
    </w:p>
    <w:p>
      <w:pPr>
        <w:ind w:right="40" w:firstLine="436"/>
        <w:spacing w:after="0" w:line="251"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Each Participant must pay the Company or a Subsidiary or other Participant’s employing company, as applicable, or make provision satisfactory to the Administrator for payment of, any Tax-Related Items required by Applicable Law to be withheld in connection with such Participant’s Awards and/or Shares by the date of the event creating the liability for Tax-Related Items. At the Company’s discretion and subject to any Company insider trading policy (including black-out periods), any withholding obligation for Tax-Related Items may be satisfied by (i) deducting an amount sufficient to satisfy such withholding obligation from any payment of any kind otherwise due to a Participant; (ii) accepting a payment from the Participant in cash, by wire transfer of immediately available funds, or by check made payable to the order of the Company or a Subsidiary, as applicable; (iii) accepting the delivery of Shares, including Shares delivered by attestation; (iv) retaining Shares from the Award creating the withholding obligation for Tax-Related Items, valued on the date of delivery; (v) if there is a public market for Shares at the time the withholding obligation for Tax-Related Items is to be satisfied, selling Shares issued pursuant to the Award creating the withholding obligation for Tax-Related Items,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60"/>
          </w:cols>
          <w:pgMar w:left="500" w:top="268" w:right="539" w:bottom="1440" w:gutter="0" w:footer="0" w:header="0"/>
        </w:sectPr>
      </w:pPr>
    </w:p>
    <w:bookmarkStart w:id="501" w:name="page502"/>
    <w:bookmarkEnd w:id="501"/>
    <w:p>
      <w:pPr>
        <w:ind w:left="6"/>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2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either voluntarily by the Participant or mandatorily by the Company; (vi) accepting delivery of a promissory note or any other lawful consideration; or</w:t>
      </w:r>
    </w:p>
    <w:p>
      <w:pPr>
        <w:spacing w:after="0" w:line="26" w:lineRule="exact"/>
        <w:rPr>
          <w:sz w:val="20"/>
          <w:szCs w:val="20"/>
          <w:color w:val="auto"/>
        </w:rPr>
      </w:pPr>
    </w:p>
    <w:p>
      <w:pPr>
        <w:ind w:left="6" w:right="40" w:hanging="6"/>
        <w:spacing w:after="0" w:line="249" w:lineRule="auto"/>
        <w:tabs>
          <w:tab w:leader="none" w:pos="357"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payment forms. The amount withheld pursuant to any of the foregoing payment forms shall be determined by the Company and may be up to, but no greater than, the aggregate amount of such obligations based on the maximum statutory withholding rates in the applicable Participant’s jurisdiction for all Tax-Related Items that are applicable to such taxable income. If any tax withholding obligation will be satisfied under clause (v) of the preceding paragraph, each Participant’s acceptance of an Award under the Plan will constitute the Participant’s authorization to the Company and instruction and authorization to any brokerage firm selected by the Company to effect the sale to complete the transactions described in clause (v).</w:t>
      </w:r>
    </w:p>
    <w:p>
      <w:pPr>
        <w:spacing w:after="0" w:line="82" w:lineRule="exact"/>
        <w:rPr>
          <w:sz w:val="20"/>
          <w:szCs w:val="20"/>
          <w:color w:val="auto"/>
        </w:rPr>
      </w:pPr>
    </w:p>
    <w:p>
      <w:pPr>
        <w:ind w:left="6" w:right="60" w:firstLine="436"/>
        <w:spacing w:after="0" w:line="271" w:lineRule="auto"/>
        <w:rPr>
          <w:sz w:val="20"/>
          <w:szCs w:val="20"/>
          <w:color w:val="auto"/>
        </w:rPr>
      </w:pPr>
      <w:r>
        <w:rPr>
          <w:rFonts w:ascii="Times New Roman" w:cs="Times New Roman" w:eastAsia="Times New Roman" w:hAnsi="Times New Roman"/>
          <w:sz w:val="17"/>
          <w:szCs w:val="17"/>
          <w:color w:val="auto"/>
        </w:rPr>
        <w:t xml:space="preserve">10.6 </w:t>
      </w:r>
      <w:r>
        <w:rPr>
          <w:rFonts w:ascii="Times New Roman" w:cs="Times New Roman" w:eastAsia="Times New Roman" w:hAnsi="Times New Roman"/>
          <w:sz w:val="17"/>
          <w:szCs w:val="17"/>
          <w:u w:val="single" w:color="auto"/>
          <w:color w:val="auto"/>
        </w:rPr>
        <w:t>Amendment of Award; Repricing</w:t>
      </w:r>
      <w:r>
        <w:rPr>
          <w:rFonts w:ascii="Times New Roman" w:cs="Times New Roman" w:eastAsia="Times New Roman" w:hAnsi="Times New Roman"/>
          <w:sz w:val="17"/>
          <w:szCs w:val="17"/>
          <w:color w:val="auto"/>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(a) the action, taking into account any related action, does not materially and adversely affect the Participant’s rights under the Award, or (b) the change is permitted under Article IX or pursuant to Section 11.6. In addition, the Administrator shall, without the approval of the stockholders of the Company, have the authority to (i) amend any outstanding Option or Stock Appreciation Right to reduce its exercise price per Share or (ii) cancel any Option or Stock Appreciation Right in exchange for cash or another Award.</w:t>
      </w:r>
    </w:p>
    <w:p>
      <w:pPr>
        <w:spacing w:after="0" w:line="65" w:lineRule="exact"/>
        <w:rPr>
          <w:sz w:val="20"/>
          <w:szCs w:val="20"/>
          <w:color w:val="auto"/>
        </w:rPr>
      </w:pPr>
    </w:p>
    <w:p>
      <w:pPr>
        <w:ind w:left="6" w:firstLine="436"/>
        <w:spacing w:after="0" w:line="251"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Conditions on Delivery of Stock</w:t>
      </w:r>
      <w:r>
        <w:rPr>
          <w:rFonts w:ascii="Times New Roman" w:cs="Times New Roman" w:eastAsia="Times New Roman" w:hAnsi="Times New Roman"/>
          <w:sz w:val="18"/>
          <w:szCs w:val="18"/>
          <w:color w:val="auto"/>
        </w:rPr>
        <w:t>. The Company will not be obligated to deliver any Shares under the Plan or remove restrictions from Shares previously delivered under the Plan until (a) all Award conditions have been met or removed to the Company’s satisfaction, (b) as determined by the Company, all other legal matters regarding the issuance and delivery of such Shares have been satisfied, including, without limitation, any applicable securities laws and stock exchange or stock market rules and regulations, (c) any approvals from governmental agencies that the Company determines are necessary or advisable have been obtained, and (d) the Participant has executed and delivered to the Company such representations or agreements as the Administrator deems necessary or appropriate to satisfy Applicable Law. The inability or impracticability of the Company to obtain or maintain authority to issue or sell any securities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and shall constitute circumstances in which the Administrator may determine to amend or cancel Awards pertaining to such Shares, with or without consideration to the Participant.</w:t>
      </w:r>
    </w:p>
    <w:p>
      <w:pPr>
        <w:spacing w:after="0" w:line="79" w:lineRule="exact"/>
        <w:rPr>
          <w:sz w:val="20"/>
          <w:szCs w:val="20"/>
          <w:color w:val="auto"/>
        </w:rPr>
      </w:pPr>
    </w:p>
    <w:p>
      <w:pPr>
        <w:ind w:left="6" w:right="120" w:firstLine="436"/>
        <w:spacing w:after="0" w:line="277"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The Administrator may at any time provide that any Award will become immediately vested and fully or partially exercisable, free of some or all restrictions or conditions, or otherwise fully or partially realizable.</w:t>
      </w:r>
    </w:p>
    <w:p>
      <w:pPr>
        <w:spacing w:after="0" w:line="37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2" w:lineRule="exact"/>
        <w:rPr>
          <w:sz w:val="20"/>
          <w:szCs w:val="20"/>
          <w:color w:val="auto"/>
        </w:rPr>
      </w:pPr>
    </w:p>
    <w:p>
      <w:pPr>
        <w:ind w:left="6" w:right="80" w:firstLine="436"/>
        <w:spacing w:after="0" w:line="255"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No Right to Employment or Other Status</w:t>
      </w:r>
      <w:r>
        <w:rPr>
          <w:rFonts w:ascii="Times New Roman" w:cs="Times New Roman" w:eastAsia="Times New Roman" w:hAnsi="Times New Roman"/>
          <w:sz w:val="18"/>
          <w:szCs w:val="18"/>
          <w:color w:val="auto"/>
        </w:rPr>
        <w:t>. No person will have any claim or right to be granted an Award, and the grant of an Award will not be construed as giving a Participant the right to commence or continue employment or any other relationship with the Company or a Subsidiary. The Company and its Subsidiaries expressly reserve the right at any time to dismiss or otherwise terminate its relationship with a Participant free from any liability or claim under the Plan or any Award, except as expressly provided in an Award Agreement or other written agreement between the Participant and the Company or any Subsidiary.</w:t>
      </w:r>
    </w:p>
    <w:p>
      <w:pPr>
        <w:spacing w:after="0" w:line="11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86"/>
          </w:cols>
          <w:pgMar w:left="494" w:top="267" w:right="519" w:bottom="1440" w:gutter="0" w:footer="0" w:header="0"/>
        </w:sectPr>
      </w:pPr>
    </w:p>
    <w:bookmarkStart w:id="502" w:name="page503"/>
    <w:bookmarkEnd w:id="502"/>
    <w:p>
      <w:pPr>
        <w:ind w:right="80" w:firstLine="43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11.2 </w:t>
      </w:r>
      <w:r>
        <w:rPr>
          <w:rFonts w:ascii="Times New Roman" w:cs="Times New Roman" w:eastAsia="Times New Roman" w:hAnsi="Times New Roman"/>
          <w:sz w:val="18"/>
          <w:szCs w:val="18"/>
          <w:u w:val="single" w:color="auto"/>
          <w:color w:val="auto"/>
        </w:rPr>
        <w:t>No Rights as Stockholder; Certificates</w:t>
      </w:r>
      <w:r>
        <w:rPr>
          <w:rFonts w:ascii="Times New Roman" w:cs="Times New Roman" w:eastAsia="Times New Roman" w:hAnsi="Times New Roman"/>
          <w:sz w:val="18"/>
          <w:szCs w:val="18"/>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 requires,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any share certificate or book entry to reference restrictions applicable to the Shares (including, without limitation, restrictions applicable to Restricted Stock).</w:t>
      </w:r>
    </w:p>
    <w:p>
      <w:pPr>
        <w:spacing w:after="0" w:line="80"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Plan was approved by the Board on April 3, 2025. The Plan will become effective on the date immediately prior to the date the Company’s registration statement relating to its initial public offering becomes effective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provided that it is approved by the Company’s stockholders prior to such date and occurring within 12 months following the date the Board approved the Plan. If the Plan is not approved by the Company’s stockholders within the foregoing time frame, the Plan will not become effective. No Incentive Stock Option may be granted pursuant to the Plan after the tenth anniversary of the earlier of (a) the date the Plan was approved by the Board or (b) the date the Plan was approved by the Company’s stockholders.</w:t>
      </w:r>
    </w:p>
    <w:p>
      <w:pPr>
        <w:spacing w:after="0" w:line="80"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Amendment of Plan</w:t>
      </w:r>
      <w:r>
        <w:rPr>
          <w:rFonts w:ascii="Times New Roman" w:cs="Times New Roman" w:eastAsia="Times New Roman" w:hAnsi="Times New Roman"/>
          <w:sz w:val="18"/>
          <w:szCs w:val="18"/>
          <w:color w:val="auto"/>
        </w:rPr>
        <w:t>. The Board may amend, suspend or terminate the Plan at any time and from time to time; provided that (a) no amendment requiring stockholder approval to comply with Applicable Law shall be effective unless approved by the stockholders, and (b) no amendment, other than an increase to the Overall Share Limit or pursuant to Article IX or Section 11.6, may materially and adversely affect any Award outstanding at the time of such amendment without the affected Participant’s consent. No Awards may be granted under the Plan during any suspension period or after Plan termination. Awards outstanding at the time of any Plan suspension or termination will continue to be governed by the Plan and the Award Agreement, each as in effect before such suspension or termination. The Board will obtain stockholder approval of any Plan amendment to the extent necessary to comply with Applicable Law.</w:t>
      </w:r>
    </w:p>
    <w:p>
      <w:pPr>
        <w:spacing w:after="0" w:line="82"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Provisions for Foreign Participants</w:t>
      </w:r>
      <w:r>
        <w:rPr>
          <w:rFonts w:ascii="Times New Roman" w:cs="Times New Roman" w:eastAsia="Times New Roman" w:hAnsi="Times New Roman"/>
          <w:sz w:val="18"/>
          <w:szCs w:val="18"/>
          <w:color w:val="auto"/>
        </w:rPr>
        <w:t>. The Administrator may modify Awards granted to Participants who are nationals of a country other than the United States or employed or residing outside the United States, establish subplans or procedures under the Plan or take any other necessary or appropriate action to address Applicable Law, including (a) differences in laws, rules, regulations or customs of such jurisdictions with respect to tax, securities, currency, employee benefit or other matters, (b) listing and other requirements of any non-U.S. securities exchange, and (c) any necessary local governmental or regulatory exemptions or approvals.</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right="20" w:firstLine="975"/>
        <w:spacing w:after="0" w:line="258" w:lineRule="auto"/>
        <w:tabs>
          <w:tab w:leader="none" w:pos="1223"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To the extent that the Administrator determines that any Award granted under the Plan is subject to Section 409A, the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evidencing such Award shall incorporate the terms and conditions required by Section 409A. The Company intends that all Awards be structured to comply with, or be exempt from, Section 409A and, to the extent applicable, the extent applicable, the Plan and the Award Agreements shall be interpreted in accordance with Section 409A,</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780"/>
          </w:cols>
          <w:pgMar w:left="500" w:top="268" w:right="619" w:bottom="1440" w:gutter="0" w:footer="0" w:header="0"/>
        </w:sectPr>
      </w:pPr>
    </w:p>
    <w:bookmarkStart w:id="503" w:name="page504"/>
    <w:bookmarkEnd w:id="503"/>
    <w:p>
      <w:pPr>
        <w:ind w:right="1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30">
                      <a:extLst>
                        <a:ext uri="{28A0092B-C50C-407E-A947-70E740481C1C}"/>
                      </a:extLst>
                    </a:blip>
                    <a:srcRect/>
                    <a:stretch>
                      <a:fillRect/>
                    </a:stretch>
                  </pic:blipFill>
                  <pic:spPr bwMode="auto">
                    <a:xfrm>
                      <a:off x="0" y="0"/>
                      <a:ext cx="7176135" cy="37465"/>
                    </a:xfrm>
                    <a:prstGeom prst="rect">
                      <a:avLst/>
                    </a:prstGeom>
                    <a:noFill/>
                  </pic:spPr>
                </pic:pic>
              </a:graphicData>
            </a:graphic>
          </wp:anchor>
        </w:drawing>
        <w:t>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(i) exempt this Plan or any Award from Section 409A, or (ii)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11.6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80" w:lineRule="exact"/>
        <w:rPr>
          <w:sz w:val="20"/>
          <w:szCs w:val="20"/>
          <w:color w:val="auto"/>
        </w:rPr>
      </w:pPr>
    </w:p>
    <w:p>
      <w:pPr>
        <w:ind w:right="60" w:firstLine="975"/>
        <w:spacing w:after="0" w:line="255" w:lineRule="auto"/>
        <w:tabs>
          <w:tab w:leader="none" w:pos="1233"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Separation from Service</w:t>
      </w:r>
      <w:r>
        <w:rPr>
          <w:rFonts w:ascii="Times New Roman" w:cs="Times New Roman" w:eastAsia="Times New Roman" w:hAnsi="Times New Roman"/>
          <w:sz w:val="18"/>
          <w:szCs w:val="18"/>
          <w:color w:val="auto"/>
        </w:rPr>
        <w:t>. If an Award constitutes “nonqualified deferred compensation” under Section 409A, any payment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 of such Award upon a Participant’s Termination of Service will, to the extent necessary to avoid taxes under Section 409A, be made only upon the Participant’s “separation from service” (within the meaning of Section 409A), whether such “separation from service” occurs upon or after the Participant’s Termination of Service. For purposes of this Plan or any Award Agreement relating to any such payments or benefits, references to a “termination,” “termination of employment” or like terms means a “separation from service.”</w:t>
      </w:r>
    </w:p>
    <w:p>
      <w:pPr>
        <w:spacing w:after="0" w:line="75" w:lineRule="exact"/>
        <w:rPr>
          <w:rFonts w:ascii="Times New Roman" w:cs="Times New Roman" w:eastAsia="Times New Roman" w:hAnsi="Times New Roman"/>
          <w:sz w:val="18"/>
          <w:szCs w:val="18"/>
          <w:color w:val="auto"/>
        </w:rPr>
      </w:pPr>
    </w:p>
    <w:p>
      <w:pPr>
        <w:ind w:right="60" w:firstLine="975"/>
        <w:spacing w:after="0" w:line="270" w:lineRule="auto"/>
        <w:tabs>
          <w:tab w:leader="none" w:pos="1223" w:val="left"/>
        </w:tabs>
        <w:numPr>
          <w:ilvl w:val="0"/>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Payments to Specified Employees</w:t>
      </w:r>
      <w:r>
        <w:rPr>
          <w:rFonts w:ascii="Times New Roman" w:cs="Times New Roman" w:eastAsia="Times New Roman" w:hAnsi="Times New Roman"/>
          <w:sz w:val="17"/>
          <w:szCs w:val="17"/>
          <w:color w:val="auto"/>
        </w:rPr>
        <w:t>. Notwithstanding any contrary provision in the Plan or any Award Agreement, any payment(s)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“nonqualified deferred compensation” required to be made under an Award to a “specified employee” (as defined under Section 409A and as the Administrator determines) due to such person’s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63" w:lineRule="exact"/>
        <w:rPr>
          <w:rFonts w:ascii="Times New Roman" w:cs="Times New Roman" w:eastAsia="Times New Roman" w:hAnsi="Times New Roman"/>
          <w:sz w:val="17"/>
          <w:szCs w:val="17"/>
          <w:color w:val="auto"/>
        </w:rPr>
      </w:pPr>
    </w:p>
    <w:p>
      <w:pPr>
        <w:ind w:firstLine="975"/>
        <w:spacing w:after="0" w:line="258" w:lineRule="auto"/>
        <w:tabs>
          <w:tab w:leader="none" w:pos="1233"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Separate Payments</w:t>
      </w:r>
      <w:r>
        <w:rPr>
          <w:rFonts w:ascii="Times New Roman" w:cs="Times New Roman" w:eastAsia="Times New Roman" w:hAnsi="Times New Roman"/>
          <w:sz w:val="18"/>
          <w:szCs w:val="18"/>
          <w:color w:val="auto"/>
        </w:rPr>
        <w:t>. If an Award includes a “series of installment payments” within the meaning of Section 1.409A-2(b)(2)(iii)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409A, the Participant’s right to the series of installment payments will be treated as a right to a series of separate payments and not as a right to a single payment and, if an Award includes “dividend equivalents” within the meaning of Section 1.409A-3(e) of Section 409A, the Participant’s right to receive the dividend equivalents will be treated separately from the right to other amounts under the Award.</w:t>
      </w:r>
    </w:p>
    <w:p>
      <w:pPr>
        <w:spacing w:after="0" w:line="71" w:lineRule="exact"/>
        <w:rPr>
          <w:rFonts w:ascii="Times New Roman" w:cs="Times New Roman" w:eastAsia="Times New Roman" w:hAnsi="Times New Roman"/>
          <w:sz w:val="18"/>
          <w:szCs w:val="18"/>
          <w:color w:val="auto"/>
        </w:rPr>
      </w:pPr>
    </w:p>
    <w:p>
      <w:pPr>
        <w:ind w:right="140" w:firstLine="975"/>
        <w:spacing w:after="0" w:line="255" w:lineRule="auto"/>
        <w:tabs>
          <w:tab w:leader="none" w:pos="1223"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Any payment due upon a Change in Control of the Company will be paid only if such 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constitutes a “change in ownership” or “change in effective control” within the meaning of Section 409A, and in the event that such Change in Control does not constitute a “change in the ownership” or “change in the effective control” within the meaning of Section 409A, such Award for which payment is due upon a Change in Control of the Company will vest upon the Change in Control and any payment will be delayed until the first compliant date under Section 409A.</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880"/>
          </w:cols>
          <w:pgMar w:left="500" w:top="267" w:right="519" w:bottom="1440" w:gutter="0" w:footer="0" w:header="0"/>
        </w:sectPr>
      </w:pPr>
    </w:p>
    <w:bookmarkStart w:id="504" w:name="page505"/>
    <w:bookmarkEnd w:id="504"/>
    <w:p>
      <w:pPr>
        <w:ind w:firstLine="436"/>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11.7 </w:t>
      </w:r>
      <w:r>
        <w:rPr>
          <w:rFonts w:ascii="Times New Roman" w:cs="Times New Roman" w:eastAsia="Times New Roman" w:hAnsi="Times New Roman"/>
          <w:sz w:val="17"/>
          <w:szCs w:val="17"/>
          <w:u w:val="single" w:color="auto"/>
          <w:color w:val="auto"/>
        </w:rPr>
        <w:t>Limitations on Liability</w:t>
      </w:r>
      <w:r>
        <w:rPr>
          <w:rFonts w:ascii="Times New Roman" w:cs="Times New Roman" w:eastAsia="Times New Roman" w:hAnsi="Times New Roman"/>
          <w:sz w:val="17"/>
          <w:szCs w:val="17"/>
          <w:color w:val="auto"/>
        </w:rPr>
        <w:t>. Notwithstanding any other provisions of the Plan, no individual acting as a Director, officer or other Employee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such person’s capacity as an Administrator, Director, officer or other Employee. The Company will indemnify and hold harmless each Director, officer or other Employee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 provided that such person gives the Company an opportunity, at its own expense, to handle and defend the same before undertaking to handle and defend it on such person’s own behalf.</w:t>
      </w:r>
    </w:p>
    <w:p>
      <w:pPr>
        <w:spacing w:after="0" w:line="70" w:lineRule="exact"/>
        <w:rPr>
          <w:sz w:val="20"/>
          <w:szCs w:val="20"/>
          <w:color w:val="auto"/>
        </w:rPr>
      </w:pPr>
    </w:p>
    <w:p>
      <w:pPr>
        <w:ind w:firstLine="436"/>
        <w:spacing w:after="0" w:line="249"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As a condition for receiving any Award, each Participant explicitly and unambiguously consents to the collection, use and transfer, in electronic or other form, of personal data as described in this Section 11.9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a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11.9 in writing, without cost, by contacting the local human resources representative. The Company may cancel Participant’s ability to participate in the Plan and, in the Administrator’s sole discretion, the Participant may forfeit any outstanding Awards if the Participant refuses or withdraws the consents in this Section 11.9. For more information on the consequences of refusing or withdrawing consent, Participants may contact their local human resources representative.</w:t>
      </w:r>
    </w:p>
    <w:p>
      <w:pPr>
        <w:spacing w:after="0" w:line="88" w:lineRule="exact"/>
        <w:rPr>
          <w:sz w:val="20"/>
          <w:szCs w:val="20"/>
          <w:color w:val="auto"/>
        </w:rPr>
      </w:pPr>
    </w:p>
    <w:p>
      <w:pPr>
        <w:ind w:right="60" w:firstLine="436"/>
        <w:spacing w:after="0" w:line="262"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880"/>
          </w:cols>
          <w:pgMar w:left="500" w:top="268" w:right="519" w:bottom="1440" w:gutter="0" w:footer="0" w:header="0"/>
        </w:sectPr>
      </w:pPr>
    </w:p>
    <w:bookmarkStart w:id="505" w:name="page506"/>
    <w:bookmarkEnd w:id="505"/>
    <w:p>
      <w:pPr>
        <w:ind w:firstLine="43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3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11.10 </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If any contradiction occurs between the Plan and any Award Agreement or other written agreement between a Participant and the Company (or any Subsidiary), the Plan will govern, unless such Award Agreement or other written agreement was approved by the Administrator and expressly provides that a specific provision of the Plan will not apply. For clarity, the foregoing sentence shall not limit the applicability of any additive language contained in an Award Agreement or other written agreement which provides supplemental or additional terms not inconsistent with the Plan.</w:t>
      </w:r>
    </w:p>
    <w:p>
      <w:pPr>
        <w:spacing w:after="0" w:line="76" w:lineRule="exact"/>
        <w:rPr>
          <w:sz w:val="20"/>
          <w:szCs w:val="20"/>
          <w:color w:val="auto"/>
        </w:rPr>
      </w:pPr>
    </w:p>
    <w:p>
      <w:pPr>
        <w:ind w:right="80" w:firstLine="436"/>
        <w:spacing w:after="0" w:line="250" w:lineRule="auto"/>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all Awards will be governed by and interpreted in accordance with the laws of the State of Delaware, without regard to the conflict of law rules thereof or of any other jurisdiction. By accepting an Award, each Participant irrevocably and unconditionally consents to submit to the exclusive jurisdiction of the courts of the State of Delaware and of the United States of America, in each case located in the State of Delaware, for any action arising out of or relating to the Plan (and agrees not to commence any litigation relating thereto except in such courts), and further agrees that service of any process, summons, notice or document by U.S. registered mail to the address contained in the records of the Company shall be effective service of process for any litigation brought against it in any such court. By accepting an Award, each Participant irrevocably and unconditionally waives any objection to the laying of venue of any litigation arising out of the Plan or Award hereunder in the courts of the State of Delaware or the United States of America, in each case located in the State of Delaware, and further irrevocably and unconditionally waives and agrees not to plead or claim in any such court that any such litigation brought in any such court has been brought in an inconvenient forum. By accepting an Award, each Participant irrevocably and unconditionally waives, to the fullest extent permitted by Applicable Law, any and all rights to trial by jury in connection with any litigation arising out of or relating to the Plan or any Award hereunder.</w:t>
      </w:r>
    </w:p>
    <w:p>
      <w:pPr>
        <w:spacing w:after="0" w:line="86" w:lineRule="exact"/>
        <w:rPr>
          <w:sz w:val="20"/>
          <w:szCs w:val="20"/>
          <w:color w:val="auto"/>
        </w:rPr>
      </w:pPr>
    </w:p>
    <w:p>
      <w:pPr>
        <w:ind w:right="60" w:firstLine="436"/>
        <w:spacing w:after="0" w:line="257" w:lineRule="auto"/>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Clawback Provisions</w:t>
      </w:r>
      <w:r>
        <w:rPr>
          <w:rFonts w:ascii="Times New Roman" w:cs="Times New Roman" w:eastAsia="Times New Roman" w:hAnsi="Times New Roman"/>
          <w:sz w:val="18"/>
          <w:szCs w:val="18"/>
          <w:color w:val="auto"/>
        </w:rPr>
        <w:t>. All Awards (including the gross amount of any proceeds, gains or other economic benefit the Participant actually or constructively receives upon receipt or exercise of any Award or the receipt or resale of any Shares underlying the Award) will be subject to recoupment by the Company to the extent required to comply with Applicable Law or any policy of the Company providing for the reimbursement of incentive compensation, whether or not such policy was in place at the time of grant of an Award.</w:t>
      </w:r>
    </w:p>
    <w:p>
      <w:pPr>
        <w:spacing w:after="0" w:line="75" w:lineRule="exact"/>
        <w:rPr>
          <w:sz w:val="20"/>
          <w:szCs w:val="20"/>
          <w:color w:val="auto"/>
        </w:rPr>
      </w:pPr>
    </w:p>
    <w:p>
      <w:pPr>
        <w:ind w:right="20" w:firstLine="436"/>
        <w:spacing w:after="0" w:line="277" w:lineRule="auto"/>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The titles and headings in the Plan are for convenience of reference only and, if any conflict, the Plan’s text, rather than such titles or headings, will control.</w:t>
      </w:r>
    </w:p>
    <w:p>
      <w:pPr>
        <w:spacing w:after="0" w:line="57" w:lineRule="exact"/>
        <w:rPr>
          <w:sz w:val="20"/>
          <w:szCs w:val="20"/>
          <w:color w:val="auto"/>
        </w:rPr>
      </w:pPr>
    </w:p>
    <w:p>
      <w:pPr>
        <w:ind w:right="100" w:firstLine="436"/>
        <w:spacing w:after="0" w:line="285" w:lineRule="auto"/>
        <w:rPr>
          <w:sz w:val="20"/>
          <w:szCs w:val="20"/>
          <w:color w:val="auto"/>
        </w:rPr>
      </w:pPr>
      <w:r>
        <w:rPr>
          <w:rFonts w:ascii="Times New Roman" w:cs="Times New Roman" w:eastAsia="Times New Roman" w:hAnsi="Times New Roman"/>
          <w:sz w:val="17"/>
          <w:szCs w:val="17"/>
          <w:color w:val="auto"/>
        </w:rPr>
        <w:t xml:space="preserve">11.14 </w:t>
      </w:r>
      <w:r>
        <w:rPr>
          <w:rFonts w:ascii="Times New Roman" w:cs="Times New Roman" w:eastAsia="Times New Roman" w:hAnsi="Times New Roman"/>
          <w:sz w:val="17"/>
          <w:szCs w:val="17"/>
          <w:u w:val="single" w:color="auto"/>
          <w:color w:val="auto"/>
        </w:rPr>
        <w:t>Conformity to Applicable Law</w:t>
      </w:r>
      <w:r>
        <w:rPr>
          <w:rFonts w:ascii="Times New Roman" w:cs="Times New Roman" w:eastAsia="Times New Roman" w:hAnsi="Times New Roman"/>
          <w:sz w:val="17"/>
          <w:szCs w:val="17"/>
          <w:color w:val="auto"/>
        </w:rPr>
        <w:t>. Participant acknowledges that the Plan is intended to conform to the extent necessary with Applicable Law. Notwithstanding anything herein to the contrary, the Plan and all Awards will be administered only in a manner intended to conform with Applicable Law. To the extent Applicable Law permits, the Plan and all Award Agreements will be deemed amended as necessary to conform to Applicable Law.</w:t>
      </w:r>
    </w:p>
    <w:p>
      <w:pPr>
        <w:spacing w:after="0" w:line="52" w:lineRule="exact"/>
        <w:rPr>
          <w:sz w:val="20"/>
          <w:szCs w:val="20"/>
          <w:color w:val="auto"/>
        </w:rPr>
      </w:pPr>
    </w:p>
    <w:p>
      <w:pPr>
        <w:ind w:right="340" w:firstLine="436"/>
        <w:spacing w:after="0" w:line="262" w:lineRule="auto"/>
        <w:rPr>
          <w:sz w:val="20"/>
          <w:szCs w:val="20"/>
          <w:color w:val="auto"/>
        </w:rPr>
      </w:pPr>
      <w:r>
        <w:rPr>
          <w:rFonts w:ascii="Times New Roman" w:cs="Times New Roman" w:eastAsia="Times New Roman" w:hAnsi="Times New Roman"/>
          <w:sz w:val="18"/>
          <w:szCs w:val="18"/>
          <w:color w:val="auto"/>
        </w:rPr>
        <w:t xml:space="preserve">11.15 </w:t>
      </w:r>
      <w:r>
        <w:rPr>
          <w:rFonts w:ascii="Times New Roman" w:cs="Times New Roman" w:eastAsia="Times New Roman" w:hAnsi="Times New Roman"/>
          <w:sz w:val="18"/>
          <w:szCs w:val="18"/>
          <w:u w:val="single" w:color="auto"/>
          <w:color w:val="auto"/>
        </w:rPr>
        <w:t>Relationship to Other Benefits</w:t>
      </w:r>
      <w:r>
        <w:rPr>
          <w:rFonts w:ascii="Times New Roman" w:cs="Times New Roman" w:eastAsia="Times New Roman" w:hAnsi="Times New Roman"/>
          <w:sz w:val="18"/>
          <w:szCs w:val="18"/>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70" w:lineRule="exact"/>
        <w:rPr>
          <w:sz w:val="20"/>
          <w:szCs w:val="20"/>
          <w:color w:val="auto"/>
        </w:rPr>
      </w:pPr>
    </w:p>
    <w:p>
      <w:pPr>
        <w:jc w:val="both"/>
        <w:ind w:right="180" w:firstLine="436"/>
        <w:spacing w:after="0" w:line="262" w:lineRule="auto"/>
        <w:rPr>
          <w:sz w:val="20"/>
          <w:szCs w:val="20"/>
          <w:color w:val="auto"/>
        </w:rPr>
      </w:pPr>
      <w:r>
        <w:rPr>
          <w:rFonts w:ascii="Times New Roman" w:cs="Times New Roman" w:eastAsia="Times New Roman" w:hAnsi="Times New Roman"/>
          <w:sz w:val="18"/>
          <w:szCs w:val="18"/>
          <w:color w:val="auto"/>
        </w:rPr>
        <w:t xml:space="preserve">11.16 </w:t>
      </w:r>
      <w:r>
        <w:rPr>
          <w:rFonts w:ascii="Times New Roman" w:cs="Times New Roman" w:eastAsia="Times New Roman" w:hAnsi="Times New Roman"/>
          <w:sz w:val="18"/>
          <w:szCs w:val="18"/>
          <w:u w:val="single" w:color="auto"/>
          <w:color w:val="auto"/>
        </w:rPr>
        <w:t>Unfunded Status of Awards</w:t>
      </w:r>
      <w:r>
        <w:rPr>
          <w:rFonts w:ascii="Times New Roman" w:cs="Times New Roman" w:eastAsia="Times New Roman" w:hAnsi="Times New Roman"/>
          <w:sz w:val="18"/>
          <w:szCs w:val="18"/>
          <w:color w:val="auto"/>
        </w:rPr>
        <w:t>. The Plan is intended to be an “unfunded” plan for incentive compensation. With respect to any payments not yet made to a Participant pursuant to an Award, nothing contained in the Plan or Award Agreement shall give the Participant any rights that are greater than those of a general creditor of the Company or any Subsidiary.</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00"/>
          </w:cols>
          <w:pgMar w:left="500" w:top="267" w:right="499" w:bottom="1440" w:gutter="0" w:footer="0" w:header="0"/>
        </w:sectPr>
      </w:pPr>
    </w:p>
    <w:bookmarkStart w:id="506" w:name="page507"/>
    <w:bookmarkEnd w:id="506"/>
    <w:p>
      <w:pPr>
        <w:ind w:firstLine="43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3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11.17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76" w:lineRule="exact"/>
        <w:rPr>
          <w:sz w:val="20"/>
          <w:szCs w:val="20"/>
          <w:color w:val="auto"/>
        </w:rPr>
      </w:pPr>
    </w:p>
    <w:p>
      <w:pPr>
        <w:jc w:val="both"/>
        <w:ind w:right="40" w:firstLine="436"/>
        <w:spacing w:after="0" w:line="257" w:lineRule="auto"/>
        <w:rPr>
          <w:sz w:val="20"/>
          <w:szCs w:val="20"/>
          <w:color w:val="auto"/>
        </w:rPr>
      </w:pPr>
      <w:r>
        <w:rPr>
          <w:rFonts w:ascii="Times New Roman" w:cs="Times New Roman" w:eastAsia="Times New Roman" w:hAnsi="Times New Roman"/>
          <w:sz w:val="18"/>
          <w:szCs w:val="18"/>
          <w:color w:val="auto"/>
        </w:rPr>
        <w:t xml:space="preserve">11.18 </w:t>
      </w:r>
      <w:r>
        <w:rPr>
          <w:rFonts w:ascii="Times New Roman" w:cs="Times New Roman" w:eastAsia="Times New Roman" w:hAnsi="Times New Roman"/>
          <w:sz w:val="18"/>
          <w:szCs w:val="18"/>
          <w:u w:val="single" w:color="auto"/>
          <w:color w:val="auto"/>
        </w:rPr>
        <w:t>Prohibition on Executive Officer and Director Loans</w:t>
      </w:r>
      <w:r>
        <w:rPr>
          <w:rFonts w:ascii="Times New Roman" w:cs="Times New Roman" w:eastAsia="Times New Roman" w:hAnsi="Times New Roman"/>
          <w:sz w:val="18"/>
          <w:szCs w:val="18"/>
          <w:color w:val="auto"/>
        </w:rPr>
        <w:t>. Notwithstanding any other provision of the Plan to the contrary, no Participant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75" w:lineRule="exact"/>
        <w:rPr>
          <w:sz w:val="20"/>
          <w:szCs w:val="20"/>
          <w:color w:val="auto"/>
        </w:rPr>
      </w:pPr>
    </w:p>
    <w:p>
      <w:pPr>
        <w:ind w:right="20" w:firstLine="436"/>
        <w:spacing w:after="0" w:line="251" w:lineRule="auto"/>
        <w:rPr>
          <w:sz w:val="20"/>
          <w:szCs w:val="20"/>
          <w:color w:val="auto"/>
        </w:rPr>
      </w:pPr>
      <w:r>
        <w:rPr>
          <w:rFonts w:ascii="Times New Roman" w:cs="Times New Roman" w:eastAsia="Times New Roman" w:hAnsi="Times New Roman"/>
          <w:sz w:val="18"/>
          <w:szCs w:val="18"/>
          <w:color w:val="auto"/>
        </w:rPr>
        <w:t xml:space="preserve">11.19 </w:t>
      </w:r>
      <w:r>
        <w:rPr>
          <w:rFonts w:ascii="Times New Roman" w:cs="Times New Roman" w:eastAsia="Times New Roman" w:hAnsi="Times New Roman"/>
          <w:sz w:val="18"/>
          <w:szCs w:val="18"/>
          <w:u w:val="single" w:color="auto"/>
          <w:color w:val="auto"/>
        </w:rPr>
        <w:t>Broker-Assisted Sales</w:t>
      </w:r>
      <w:r>
        <w:rPr>
          <w:rFonts w:ascii="Times New Roman" w:cs="Times New Roman" w:eastAsia="Times New Roman" w:hAnsi="Times New Roman"/>
          <w:sz w:val="18"/>
          <w:szCs w:val="18"/>
          <w:color w:val="auto"/>
        </w:rPr>
        <w:t>. In the event of a broker-assisted sale of Shares in connection with the payment of amounts owed by a Participant under or with respect to the Plan or Awards, including amounts to be paid under the final sentence of Section 10.5: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and its Directors, officers and other Employees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 * * *</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880"/>
          </w:cols>
          <w:pgMar w:left="500" w:top="267" w:right="519" w:bottom="1440" w:gutter="0" w:footer="0" w:header="0"/>
        </w:sectPr>
      </w:pPr>
    </w:p>
    <w:bookmarkStart w:id="507" w:name="page508"/>
    <w:bookmarkEnd w:id="507"/>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EMPLOYEE STOCK PURCHASE PLAN</w:t>
      </w:r>
    </w:p>
    <w:p>
      <w:pPr>
        <w:spacing w:after="0" w:line="19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2" w:lineRule="exact"/>
        <w:rPr>
          <w:sz w:val="20"/>
          <w:szCs w:val="20"/>
          <w:color w:val="auto"/>
        </w:rPr>
      </w:pPr>
    </w:p>
    <w:p>
      <w:pPr>
        <w:ind w:right="40" w:firstLine="436"/>
        <w:spacing w:after="0" w:line="308" w:lineRule="auto"/>
        <w:rPr>
          <w:sz w:val="20"/>
          <w:szCs w:val="20"/>
          <w:color w:val="auto"/>
        </w:rPr>
      </w:pPr>
      <w:r>
        <w:rPr>
          <w:rFonts w:ascii="Times New Roman" w:cs="Times New Roman" w:eastAsia="Times New Roman" w:hAnsi="Times New Roman"/>
          <w:sz w:val="17"/>
          <w:szCs w:val="17"/>
          <w:color w:val="auto"/>
        </w:rPr>
        <w:t>The Plan’s purpose is to assist employees of the Company and its Designated Subsidiaries in acquiring a stock ownership interest in the Company, and to help such employees provide for their future security and to encourage them to remain in the employment of the Company and its Subsidiaries.</w:t>
      </w:r>
    </w:p>
    <w:p>
      <w:pPr>
        <w:spacing w:after="0" w:line="139" w:lineRule="exact"/>
        <w:rPr>
          <w:sz w:val="20"/>
          <w:szCs w:val="20"/>
          <w:color w:val="auto"/>
        </w:rPr>
      </w:pPr>
    </w:p>
    <w:p>
      <w:pPr>
        <w:ind w:right="100" w:firstLine="436"/>
        <w:spacing w:after="0" w:line="251" w:lineRule="auto"/>
        <w:rPr>
          <w:sz w:val="20"/>
          <w:szCs w:val="20"/>
          <w:color w:val="auto"/>
        </w:rPr>
      </w:pPr>
      <w:r>
        <w:rPr>
          <w:rFonts w:ascii="Times New Roman" w:cs="Times New Roman" w:eastAsia="Times New Roman" w:hAnsi="Times New Roman"/>
          <w:sz w:val="18"/>
          <w:szCs w:val="18"/>
          <w:color w:val="auto"/>
        </w:rPr>
        <w:t>The Plan consists of two components: the Section 423 Component and the Non-Section 423 Component. The Section 423 Component is intended to qualify as an “employee stock purchase plan” under Section 423 of the Code and shall be administered, interpreted and construed in a manner consistent with the requirements of Section 423 of the Code. In addition, this Plan authorizes the grant of Options under the Non-Section 423 Component, which need not qualify as Options granted pursuant to an “employee stock purchase plan” under Section 423 of the Code; such Options granted under the Non-Section 423 Component shall be granted pursuant to separate Offerings containing such sub-plans, appendices, rules or procedures as may be adopted by the Administrator and designed to achieve tax, securities laws or other objectives for Eligible Employees and the Designated Subsidiaries but shall not be intended to qualify as an “employee stock purchase plan” under Section 423 of the Code. Except as otherwise provided herein or determined by the Administrator, the Non-Section 423 Component will operate and be administered in the same manner as the Section 423 Component. Offerings intended to be made under the Non-Section 423 Component will be designated as such by the Administrator at or prior to the time of such Offering.</w:t>
      </w:r>
    </w:p>
    <w:p>
      <w:pPr>
        <w:spacing w:after="0" w:line="186" w:lineRule="exact"/>
        <w:rPr>
          <w:sz w:val="20"/>
          <w:szCs w:val="20"/>
          <w:color w:val="auto"/>
        </w:rPr>
      </w:pPr>
    </w:p>
    <w:p>
      <w:pPr>
        <w:ind w:right="80" w:firstLine="436"/>
        <w:spacing w:after="0" w:line="255" w:lineRule="auto"/>
        <w:rPr>
          <w:sz w:val="20"/>
          <w:szCs w:val="20"/>
          <w:color w:val="auto"/>
        </w:rPr>
      </w:pPr>
      <w:r>
        <w:rPr>
          <w:rFonts w:ascii="Times New Roman" w:cs="Times New Roman" w:eastAsia="Times New Roman" w:hAnsi="Times New Roman"/>
          <w:sz w:val="18"/>
          <w:szCs w:val="18"/>
          <w:color w:val="auto"/>
        </w:rPr>
        <w:t>For purposes of this Plan, the Administrator may designate separate Offerings under the Plan, the terms of which need not be identical, in which Eligible Employees will participate, even if the dates of the applicable Offering Period(s) in each such Offering is identical, provided that the terms of participation are the same within each separate Offering under the Section 423 Component as determined under Section 423 of the Code. Solely by way of example and without limiting the foregoing, the Company could, but shall not be required to, provide for simultaneous Offerings under the Section 423 Component and the Non-Section 423 Component of the Plan.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used in the Plan, the following words and phrases have the meanings specified below, unless the context clearly indicates otherwise: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Committee, or such individuals to which authority to administer the Plan has been delegated under Section 7.1 hereof.</w:t>
      </w:r>
    </w:p>
    <w:p>
      <w:pPr>
        <w:sectPr>
          <w:pgSz w:w="11900" w:h="16838" w:orient="portrait"/>
          <w:cols w:equalWidth="0" w:num="1">
            <w:col w:w="10900"/>
          </w:cols>
          <w:pgMar w:left="500" w:top="117" w:right="499" w:bottom="1440" w:gutter="0" w:footer="0" w:header="0"/>
        </w:sectPr>
      </w:pPr>
    </w:p>
    <w:bookmarkStart w:id="508" w:name="page509"/>
    <w:bookmarkEnd w:id="508"/>
    <w:p>
      <w:pPr>
        <w:ind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2.2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means the brokerage firm, bank or other financial institution, entity or person(s), if any, engaged, retained, appointed or authorized to act as the agent of the Company or an Employee with regard to the Plan.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11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and all regulations, guidance, compliance programs and other interpretative authority issued thereunder.</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of the Board.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Omada Health, Inc., a Delaware corporation, or any successor.</w:t>
      </w:r>
    </w:p>
    <w:p>
      <w:pPr>
        <w:spacing w:after="0" w:line="11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b w:val="1"/>
          <w:bCs w:val="1"/>
          <w:i w:val="1"/>
          <w:iCs w:val="1"/>
          <w:color w:val="auto"/>
        </w:rPr>
        <w:t>Compensation</w:t>
      </w:r>
      <w:r>
        <w:rPr>
          <w:rFonts w:ascii="Times New Roman" w:cs="Times New Roman" w:eastAsia="Times New Roman" w:hAnsi="Times New Roman"/>
          <w:sz w:val="18"/>
          <w:szCs w:val="18"/>
          <w:color w:val="auto"/>
        </w:rPr>
        <w:t>” of an Employee means the regular earnings or base salary paid to the Employee from the Company on each Payday as compensation for services to the Company or any Designated Subsidiary, before deduction for any salary deferral contributions made by the Employee to any tax-qualified or nonqualified deferred compensation plan, including overtime, shift differentials, vacation pay, salaried production schedule premiums, holiday pay, jury duty pay, funeral leave pay, paid time off, military pay and prior week adjustments, but excluding bonuses and commissions, meal and rest break premiums under California state law or similar amounts paid in accordance with applicable law of any other jurisdiction, education or tuition reimbursements, imputed income arising under any group insurance or benefit program, travel expenses, business and moving reimbursements, including tax gross ups and taxable mileage allowance, income received in connection with any stock options, restricted stock, restricted stock units or other compensatory equity awards and all contributions made by the Company or any Designated Subsidiary for the Employee’s benefit under any employee benefit plan now or hereafter established. For any Participants in non-U.S. jurisdictions, the Administrator shall have the discretion to determine the application of this definition. Compensation shall be calculated before deduction of any income or employment tax withholdings, but such amounts shall be withheld from the Employee’s net income.</w:t>
      </w:r>
    </w:p>
    <w:p>
      <w:pPr>
        <w:spacing w:after="0" w:line="77"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b w:val="1"/>
          <w:bCs w:val="1"/>
          <w:i w:val="1"/>
          <w:iCs w:val="1"/>
          <w:color w:val="auto"/>
        </w:rPr>
        <w:t>Designated Beneficiary</w:t>
      </w:r>
      <w:r>
        <w:rPr>
          <w:rFonts w:ascii="Times New Roman" w:cs="Times New Roman" w:eastAsia="Times New Roman" w:hAnsi="Times New Roman"/>
          <w:sz w:val="18"/>
          <w:szCs w:val="18"/>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6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b w:val="1"/>
          <w:bCs w:val="1"/>
          <w:i w:val="1"/>
          <w:iCs w:val="1"/>
          <w:color w:val="auto"/>
        </w:rPr>
        <w:t>Designated Subsidiary</w:t>
      </w:r>
      <w:r>
        <w:rPr>
          <w:rFonts w:ascii="Times New Roman" w:cs="Times New Roman" w:eastAsia="Times New Roman" w:hAnsi="Times New Roman"/>
          <w:sz w:val="18"/>
          <w:szCs w:val="18"/>
          <w:color w:val="auto"/>
        </w:rPr>
        <w:t>” means each Subsidiary, including any Subsidiary in existence on the Effective Date and any Subsidiary formed or acquired following the Effective Date, that has been designated by the Board or Committee from time to time in its sole discretion as eligible to participate in the Plan, in accordance with Section 7.2 hereof, such designation to specify whether such participation is in the Section 423 Component or Non-Section 423</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60"/>
          </w:cols>
          <w:pgMar w:left="500" w:top="264" w:right="539" w:bottom="1440" w:gutter="0" w:footer="0" w:header="0"/>
        </w:sectPr>
      </w:pPr>
    </w:p>
    <w:bookmarkStart w:id="509" w:name="page510"/>
    <w:bookmarkEnd w:id="50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Component. A Designated Subsidiary may participate in either the Section 423 Component or Non-Section 423 Component, but not both;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Subsidiary that, for U.S. tax purposes, is disregarded from the Company or any Subsidiary that participates in the Section 423 Component shall automatically constitute a Designated Subsidiary that participates in the Section 423 Component. The designation by the Administrator of Designated Subsidiaries and changes in such designations by the Administrator shall not require stockholder approval. Only Subsidiary Corporations may be designated as Designated Subsidiaries for purposes of the Section 423 Component, and if an entity does not so qualify, it shall automatically be deemed to constitute a Designated Subsidiary that participates in the Non-Section 423 Component.</w:t>
      </w:r>
    </w:p>
    <w:p>
      <w:pPr>
        <w:spacing w:after="0" w:line="73"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2.11 “</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color w:val="auto"/>
        </w:rPr>
        <w:t xml:space="preserve">” means the date immediately prior to the date the Company’s registration statement relating to its initial public offering becomes effective,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Board has approved the Plan prior to or on such date, subject to approval of the Plan by the Company’s stockholders.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b w:val="1"/>
          <w:bCs w:val="1"/>
          <w:i w:val="1"/>
          <w:iCs w:val="1"/>
          <w:color w:val="auto"/>
        </w:rPr>
        <w:t>Eligible Employee</w:t>
      </w:r>
      <w:r>
        <w:rPr>
          <w:rFonts w:ascii="Times New Roman" w:cs="Times New Roman" w:eastAsia="Times New Roman" w:hAnsi="Times New Roman"/>
          <w:sz w:val="18"/>
          <w:szCs w:val="18"/>
          <w:color w:val="auto"/>
        </w:rPr>
        <w:t>” means, except as otherwise provided by the Administrator or in an Offering Document, an Employee:</w:t>
      </w:r>
    </w:p>
    <w:p>
      <w:pPr>
        <w:spacing w:after="0" w:line="118" w:lineRule="exact"/>
        <w:rPr>
          <w:sz w:val="20"/>
          <w:szCs w:val="20"/>
          <w:color w:val="auto"/>
        </w:rPr>
      </w:pPr>
    </w:p>
    <w:p>
      <w:pPr>
        <w:ind w:left="680" w:hanging="250"/>
        <w:spacing w:after="0"/>
        <w:tabs>
          <w:tab w:leader="none" w:pos="68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customarily scheduled to work at least 20 hours per week;</w:t>
      </w:r>
    </w:p>
    <w:p>
      <w:pPr>
        <w:spacing w:after="0" w:line="113" w:lineRule="exact"/>
        <w:rPr>
          <w:rFonts w:ascii="Times New Roman" w:cs="Times New Roman" w:eastAsia="Times New Roman" w:hAnsi="Times New Roman"/>
          <w:sz w:val="18"/>
          <w:szCs w:val="18"/>
          <w:color w:val="auto"/>
        </w:rPr>
      </w:pPr>
    </w:p>
    <w:p>
      <w:pPr>
        <w:ind w:left="680" w:hanging="250"/>
        <w:spacing w:after="0"/>
        <w:tabs>
          <w:tab w:leader="none" w:pos="68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customary employment is more than five months in a calendar year; and</w:t>
      </w:r>
    </w:p>
    <w:p>
      <w:pPr>
        <w:spacing w:after="0" w:line="113" w:lineRule="exact"/>
        <w:rPr>
          <w:rFonts w:ascii="Times New Roman" w:cs="Times New Roman" w:eastAsia="Times New Roman" w:hAnsi="Times New Roman"/>
          <w:sz w:val="18"/>
          <w:szCs w:val="18"/>
          <w:color w:val="auto"/>
        </w:rPr>
      </w:pPr>
    </w:p>
    <w:p>
      <w:pPr>
        <w:ind w:right="140" w:firstLine="430"/>
        <w:spacing w:after="0" w:line="277" w:lineRule="auto"/>
        <w:tabs>
          <w:tab w:leader="none" w:pos="678"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after the granting of the Option, would not be deemed for purposes of Section 423(b)(3) of the Code to possess 5% or more of the total combined voting power or value of all classes of stock of the Company or any Subsidiary.</w:t>
      </w:r>
    </w:p>
    <w:p>
      <w:pPr>
        <w:spacing w:after="0" w:line="163" w:lineRule="exact"/>
        <w:rPr>
          <w:sz w:val="20"/>
          <w:szCs w:val="20"/>
          <w:color w:val="auto"/>
        </w:rPr>
      </w:pPr>
    </w:p>
    <w:p>
      <w:pPr>
        <w:ind w:firstLine="436"/>
        <w:spacing w:after="0" w:line="262" w:lineRule="auto"/>
        <w:rPr>
          <w:sz w:val="20"/>
          <w:szCs w:val="20"/>
          <w:color w:val="auto"/>
        </w:rPr>
      </w:pPr>
      <w:r>
        <w:rPr>
          <w:rFonts w:ascii="Times New Roman" w:cs="Times New Roman" w:eastAsia="Times New Roman" w:hAnsi="Times New Roman"/>
          <w:sz w:val="18"/>
          <w:szCs w:val="18"/>
          <w:color w:val="auto"/>
        </w:rPr>
        <w:t>For purposes of clause (c), the rules of Section 424(d) of the Code with regard to the attribution of stock ownership shall apply in determining the stock ownership of an individual, and stock which an Employee may purchase under outstanding options shall be treated as stock owned by the Employee.</w:t>
      </w:r>
    </w:p>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Notwithstanding the foregoing, the Administrator may exclude from participation in the Section 423 Component as an Eligible Employee:</w:t>
      </w:r>
    </w:p>
    <w:p>
      <w:pPr>
        <w:spacing w:after="0" w:line="114" w:lineRule="exact"/>
        <w:rPr>
          <w:sz w:val="20"/>
          <w:szCs w:val="20"/>
          <w:color w:val="auto"/>
        </w:rPr>
      </w:pPr>
    </w:p>
    <w:p>
      <w:pPr>
        <w:ind w:right="20" w:firstLine="430"/>
        <w:spacing w:after="0" w:line="262" w:lineRule="auto"/>
        <w:tabs>
          <w:tab w:leader="none" w:pos="688"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that is a “highly compensated employee” of the Company or any Designated Subsidiary (within the meaning of Section 414(q) of the Code), or that is such a “highly compensated employee” (A) with compensation above a specified level, (B) who is an officer or (C) who is subject to the disclosure requirements of Section 16(a) of the Exchange Act; or</w:t>
      </w:r>
    </w:p>
    <w:p>
      <w:pPr>
        <w:spacing w:after="0" w:line="70" w:lineRule="exact"/>
        <w:rPr>
          <w:rFonts w:ascii="Times New Roman" w:cs="Times New Roman" w:eastAsia="Times New Roman" w:hAnsi="Times New Roman"/>
          <w:sz w:val="18"/>
          <w:szCs w:val="18"/>
          <w:color w:val="auto"/>
        </w:rPr>
      </w:pPr>
    </w:p>
    <w:p>
      <w:pPr>
        <w:ind w:right="100" w:firstLine="430"/>
        <w:spacing w:after="0" w:line="257" w:lineRule="auto"/>
        <w:tabs>
          <w:tab w:leader="none" w:pos="688"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who is a citizen or resident of a foreign jurisdiction (without regard to whether they are also a citizen of the United States or a resident alien (within the meaning of Section 7701(b)(1)(A) of the Code)) if either (A) the grant of the Option is prohibited under the laws of the jurisdiction governing such Employee, or (B) compliance with the laws of the foreign jurisdiction would cause the Section 423 Component, any Offering thereunder or an Option granted thereunder to violate the requirements of Section 423 of the Code;</w:t>
      </w:r>
    </w:p>
    <w:p>
      <w:pPr>
        <w:spacing w:after="0" w:line="1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00"/>
          </w:cols>
          <w:pgMar w:left="500" w:top="266" w:right="599" w:bottom="1440" w:gutter="0" w:footer="0" w:header="0"/>
        </w:sectPr>
      </w:pPr>
    </w:p>
    <w:bookmarkStart w:id="510" w:name="page511"/>
    <w:bookmarkEnd w:id="510"/>
    <w:p>
      <w:pPr>
        <w:ind w:right="100"/>
        <w:spacing w:after="0" w:line="25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3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provided </w:t>
      </w:r>
      <w:r>
        <w:rPr>
          <w:rFonts w:ascii="Times New Roman" w:cs="Times New Roman" w:eastAsia="Times New Roman" w:hAnsi="Times New Roman"/>
          <w:sz w:val="18"/>
          <w:szCs w:val="18"/>
          <w:color w:val="auto"/>
        </w:rPr>
        <w:t>that any exclusion in clauses (x) or (y) shall be applied in an identical manner under each Offering to all Employees of the Company and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Designated Subsidiaries, in accordance with Treas. Reg. § 1.423-2(e). Notwithstanding the foregoing, with respect to the Non-Section 423 Component, the first sentence in this definition shall apply in determining who is an “Eligible Employee,” except (a) the Administrator may limit eligibility further within the Company or a Designated Subsidiary so as to only designate some Employees of the Company or a Designated Subsidiary as Eligible Employees, and (b) to the extent the restrictions in the first sentence in this definition are not consistent with applicable local laws, the applicable local laws shall control.</w:t>
      </w:r>
    </w:p>
    <w:p>
      <w:pPr>
        <w:spacing w:after="0" w:line="7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2.13 “</w:t>
      </w:r>
      <w:r>
        <w:rPr>
          <w:rFonts w:ascii="Times New Roman" w:cs="Times New Roman" w:eastAsia="Times New Roman" w:hAnsi="Times New Roman"/>
          <w:sz w:val="17"/>
          <w:szCs w:val="17"/>
          <w:b w:val="1"/>
          <w:bCs w:val="1"/>
          <w:i w:val="1"/>
          <w:iCs w:val="1"/>
          <w:color w:val="auto"/>
        </w:rPr>
        <w:t>Employee</w:t>
      </w:r>
      <w:r>
        <w:rPr>
          <w:rFonts w:ascii="Times New Roman" w:cs="Times New Roman" w:eastAsia="Times New Roman" w:hAnsi="Times New Roman"/>
          <w:sz w:val="17"/>
          <w:szCs w:val="17"/>
          <w:color w:val="auto"/>
        </w:rPr>
        <w:t>” means an individual who renders services to the Company or a Designated Subsidiary in the status of an employee, and, with respect to the Section 423 Component, a person who is an officer or other employee (as defined in accordance with Section 3401(c) of the Code) of the Company or any Designated Subsidiary. The Company shall determine in good faith and in the exercise of its discretion whether an individual has become or has ceased to be an Employee and the effective date of such individual’s attainment or termination of such status. For purposes of an individual’s participation in, or other rights under the Plan, all such determinations by the Company shall be final, binding and conclusive, notwithstanding that any court of law or governmental agency subsequently makes a contrary determination. For purposes of the Plan, the employment relationship shall be treated as continuing intact while the individual is on sick leave or other leave of absence approved by the Company or a Designated Subsidiary (which, for purposes of the Section 423 Component, must meet the requirements of Treas. Reg. § 1.421-7(h)(2)). For purposes of the Section 423 Component, where the period of an approved leave of absence exceeds three months, or such other period specified in Treas. Reg. §</w:t>
      </w:r>
    </w:p>
    <w:p>
      <w:pPr>
        <w:spacing w:after="0" w:line="4" w:lineRule="exact"/>
        <w:rPr>
          <w:sz w:val="20"/>
          <w:szCs w:val="20"/>
          <w:color w:val="auto"/>
        </w:rPr>
      </w:pPr>
    </w:p>
    <w:p>
      <w:pPr>
        <w:jc w:val="both"/>
        <w:ind w:right="180"/>
        <w:spacing w:after="0" w:line="251" w:lineRule="auto"/>
        <w:rPr>
          <w:sz w:val="20"/>
          <w:szCs w:val="20"/>
          <w:color w:val="auto"/>
        </w:rPr>
      </w:pPr>
      <w:r>
        <w:rPr>
          <w:rFonts w:ascii="Times New Roman" w:cs="Times New Roman" w:eastAsia="Times New Roman" w:hAnsi="Times New Roman"/>
          <w:sz w:val="18"/>
          <w:szCs w:val="18"/>
          <w:color w:val="auto"/>
        </w:rPr>
        <w:t>1.421-1(h)(2), and the individual’s right to reemployment is not provided either by statute or contract, the employment relationship shall be deemed to have terminated for purposes of the Plan on the first day immediately following such three-month period, or such other period specified in Treas. Reg. § 1.421-1(h)(2).</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b w:val="1"/>
          <w:bCs w:val="1"/>
          <w:i w:val="1"/>
          <w:iCs w:val="1"/>
          <w:color w:val="auto"/>
        </w:rPr>
        <w:t>Enrollment Date</w:t>
      </w:r>
      <w:r>
        <w:rPr>
          <w:rFonts w:ascii="Times New Roman" w:cs="Times New Roman" w:eastAsia="Times New Roman" w:hAnsi="Times New Roman"/>
          <w:sz w:val="18"/>
          <w:szCs w:val="18"/>
          <w:color w:val="auto"/>
        </w:rPr>
        <w:t>” means the first date of each Offering Period.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b w:val="1"/>
          <w:bCs w:val="1"/>
          <w:i w:val="1"/>
          <w:iCs w:val="1"/>
          <w:color w:val="auto"/>
        </w:rPr>
        <w:t>Exercise Date</w:t>
      </w:r>
      <w:r>
        <w:rPr>
          <w:rFonts w:ascii="Times New Roman" w:cs="Times New Roman" w:eastAsia="Times New Roman" w:hAnsi="Times New Roman"/>
          <w:sz w:val="18"/>
          <w:szCs w:val="18"/>
          <w:color w:val="auto"/>
        </w:rPr>
        <w:t>” means the last Trading Day of each Purchase Period, except as provided in Section 5.2 hereof.</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Common Stock determined as follows:</w:t>
      </w:r>
    </w:p>
    <w:p>
      <w:pPr>
        <w:spacing w:after="0" w:line="118" w:lineRule="exact"/>
        <w:rPr>
          <w:sz w:val="20"/>
          <w:szCs w:val="20"/>
          <w:color w:val="auto"/>
        </w:rPr>
      </w:pPr>
    </w:p>
    <w:p>
      <w:pPr>
        <w:ind w:firstLine="430"/>
        <w:spacing w:after="0" w:line="255" w:lineRule="auto"/>
        <w:tabs>
          <w:tab w:leader="none" w:pos="67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(i) listed on any established securities exchange (such as the New York Stock Exchange or Nasdaq Stock Market), (ii) listed on any national market system or (iii) listed, quoted or traded on any automated quotation system, its Fair Market Value shall be the closing sales price for a share of Common Stock as quoted on such exchange or system for such date or, if there is no closing sales price for a share of Common Stock on the date in question, the closing sales price for a share of Common Stock on the last preceding date for which such quotation exists, as reported in </w:t>
      </w:r>
      <w:r>
        <w:rPr>
          <w:rFonts w:ascii="Times New Roman" w:cs="Times New Roman" w:eastAsia="Times New Roman" w:hAnsi="Times New Roman"/>
          <w:sz w:val="18"/>
          <w:szCs w:val="18"/>
          <w:i w:val="1"/>
          <w:iCs w:val="1"/>
          <w:color w:val="auto"/>
        </w:rPr>
        <w:t xml:space="preserve">The Wall Street Journal </w:t>
      </w:r>
      <w:r>
        <w:rPr>
          <w:rFonts w:ascii="Times New Roman" w:cs="Times New Roman" w:eastAsia="Times New Roman" w:hAnsi="Times New Roman"/>
          <w:sz w:val="18"/>
          <w:szCs w:val="18"/>
          <w:color w:val="auto"/>
        </w:rPr>
        <w:t>or such other source as the Administrator deems reliable;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500" w:top="265" w:right="519" w:bottom="1440" w:gutter="0" w:footer="0" w:header="0"/>
        </w:sectPr>
      </w:pPr>
    </w:p>
    <w:bookmarkStart w:id="511" w:name="page512"/>
    <w:bookmarkEnd w:id="511"/>
    <w:p>
      <w:pPr>
        <w:ind w:right="220" w:firstLine="430"/>
        <w:spacing w:after="0" w:line="255" w:lineRule="auto"/>
        <w:tabs>
          <w:tab w:leader="none" w:pos="688"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of Common Stock on such date, the high bid and low asked prices for a share of Common Stock on the last preceding date for which such information exists,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 or</w:t>
      </w:r>
    </w:p>
    <w:p>
      <w:pPr>
        <w:spacing w:after="0" w:line="75" w:lineRule="exact"/>
        <w:rPr>
          <w:rFonts w:ascii="Times New Roman" w:cs="Times New Roman" w:eastAsia="Times New Roman" w:hAnsi="Times New Roman"/>
          <w:sz w:val="18"/>
          <w:szCs w:val="18"/>
          <w:color w:val="auto"/>
        </w:rPr>
      </w:pPr>
    </w:p>
    <w:p>
      <w:pPr>
        <w:ind w:right="60" w:firstLine="430"/>
        <w:spacing w:after="0" w:line="262" w:lineRule="auto"/>
        <w:tabs>
          <w:tab w:leader="none" w:pos="678"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 (and, with respect to the initial Offering Period of the Plan, as set forth in the Offering Document for the initial Offering Period).</w:t>
      </w:r>
    </w:p>
    <w:p>
      <w:pPr>
        <w:spacing w:after="0" w:line="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means the first Trading Day of an Offering Period (or, with respect to the initial Offering Period of the Plan, such date set forth in the Offering Document approved by the Administrator with respect to the initial Offering Period).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b w:val="1"/>
          <w:bCs w:val="1"/>
          <w:i w:val="1"/>
          <w:iCs w:val="1"/>
          <w:color w:val="auto"/>
        </w:rPr>
        <w:t>New Exercise Date</w:t>
      </w:r>
      <w:r>
        <w:rPr>
          <w:rFonts w:ascii="Times New Roman" w:cs="Times New Roman" w:eastAsia="Times New Roman" w:hAnsi="Times New Roman"/>
          <w:sz w:val="18"/>
          <w:szCs w:val="18"/>
          <w:color w:val="auto"/>
        </w:rPr>
        <w:t>” has the meaning set forth in Section 5.2(b) hereof.</w:t>
      </w:r>
    </w:p>
    <w:p>
      <w:pPr>
        <w:spacing w:after="0" w:line="11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b w:val="1"/>
          <w:bCs w:val="1"/>
          <w:i w:val="1"/>
          <w:iCs w:val="1"/>
          <w:color w:val="auto"/>
        </w:rPr>
        <w:t>Non-Section 423 Component</w:t>
      </w:r>
      <w:r>
        <w:rPr>
          <w:rFonts w:ascii="Times New Roman" w:cs="Times New Roman" w:eastAsia="Times New Roman" w:hAnsi="Times New Roman"/>
          <w:sz w:val="18"/>
          <w:szCs w:val="18"/>
          <w:color w:val="auto"/>
        </w:rPr>
        <w:t>” means those Offerings under the Plan, together with the sub-plans, appendices, rules or procedures, if any, adopted by the Administrator as a part of this Plan, in each case, pursuant to which Options may be granted to Eligible Employees that need not satisfy the requirements for Options granted pursuant to an “employee stock purchase plan” that are set forth under Section 423 of the Code.</w:t>
      </w:r>
    </w:p>
    <w:p>
      <w:pPr>
        <w:spacing w:after="0" w:line="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means an offer under the Plan of an Option that may be exercised during an Offering Period as further described in Article 4 hereof. Unless otherwise specified by the Administrator, each Offering to the Eligible Employees of the Company or a Designated Subsidiary shall be deemed a separate Offering, even if the dates and other terms of the applicable Offering Periods of each such Offering are identical and the provisions of the Plan will separately apply to each Offering. To the extent permitted by Treas. Reg. § 1.423-2(a)(1), the terms of each separate Offering under the Section 423 Component need not be identical, provided that the terms of the Section 423 Component and an Offering thereunder together satisfy Treas. Reg. § 1.423-2(a)(2) and (a)(3).</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60"/>
          </w:cols>
          <w:pgMar w:left="500" w:top="268" w:right="539" w:bottom="1440" w:gutter="0" w:footer="0" w:header="0"/>
        </w:sectPr>
      </w:pPr>
    </w:p>
    <w:bookmarkStart w:id="512" w:name="page513"/>
    <w:bookmarkEnd w:id="512"/>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2.22 “</w:t>
      </w:r>
      <w:r>
        <w:rPr>
          <w:rFonts w:ascii="Times New Roman" w:cs="Times New Roman" w:eastAsia="Times New Roman" w:hAnsi="Times New Roman"/>
          <w:sz w:val="18"/>
          <w:szCs w:val="18"/>
          <w:b w:val="1"/>
          <w:bCs w:val="1"/>
          <w:i w:val="1"/>
          <w:iCs w:val="1"/>
          <w:color w:val="auto"/>
        </w:rPr>
        <w:t>Offering Period</w:t>
      </w:r>
      <w:r>
        <w:rPr>
          <w:rFonts w:ascii="Times New Roman" w:cs="Times New Roman" w:eastAsia="Times New Roman" w:hAnsi="Times New Roman"/>
          <w:sz w:val="18"/>
          <w:szCs w:val="18"/>
          <w:color w:val="auto"/>
        </w:rPr>
        <w:t>” means such period of time commencing on such date(s) as determined by the Board or Committee, in its discretion, and with respect to which Options shall be granted to Participants. The duration and timing of Offering Periods may be established or changed by the Board or Committee at any time, in its sole discretion. Notwithstanding the foregoing, in no event may an Offering Period exceed 27 months.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the right to purchase shares of Common Stock pursuant to the Plan during each Offering Period.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b w:val="1"/>
          <w:bCs w:val="1"/>
          <w:i w:val="1"/>
          <w:iCs w:val="1"/>
          <w:color w:val="auto"/>
        </w:rPr>
        <w:t>Option Price</w:t>
      </w:r>
      <w:r>
        <w:rPr>
          <w:rFonts w:ascii="Times New Roman" w:cs="Times New Roman" w:eastAsia="Times New Roman" w:hAnsi="Times New Roman"/>
          <w:sz w:val="18"/>
          <w:szCs w:val="18"/>
          <w:color w:val="auto"/>
        </w:rPr>
        <w:t>” means the purchase price of a share of Common Stock hereunder as provided in Section 4.2 hereof.</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means any entity that is a parent corporation of the Company within the meaning of Section 424 of the Code.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any Eligible Employee who elects to participate in the Plan.</w:t>
      </w:r>
    </w:p>
    <w:p>
      <w:pPr>
        <w:spacing w:after="0" w:line="11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b w:val="1"/>
          <w:bCs w:val="1"/>
          <w:i w:val="1"/>
          <w:iCs w:val="1"/>
          <w:color w:val="auto"/>
        </w:rPr>
        <w:t>Payday</w:t>
      </w:r>
      <w:r>
        <w:rPr>
          <w:rFonts w:ascii="Times New Roman" w:cs="Times New Roman" w:eastAsia="Times New Roman" w:hAnsi="Times New Roman"/>
          <w:sz w:val="18"/>
          <w:szCs w:val="18"/>
          <w:color w:val="auto"/>
        </w:rPr>
        <w:t>” means the regular and recurring established day for payment of Compensation to an Employee of the Company or any Designated Subsidiary.</w:t>
      </w:r>
    </w:p>
    <w:p>
      <w:pPr>
        <w:spacing w:after="0" w:line="4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2025 Employee Stock Purchase Plan, including both the Section 423 Component and Non-Section 423 Component and any other sub-plans or appendices hereto, as amended from time to time.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b w:val="1"/>
          <w:bCs w:val="1"/>
          <w:i w:val="1"/>
          <w:iCs w:val="1"/>
          <w:color w:val="auto"/>
        </w:rPr>
        <w:t>Plan Account</w:t>
      </w:r>
      <w:r>
        <w:rPr>
          <w:rFonts w:ascii="Times New Roman" w:cs="Times New Roman" w:eastAsia="Times New Roman" w:hAnsi="Times New Roman"/>
          <w:sz w:val="18"/>
          <w:szCs w:val="18"/>
          <w:color w:val="auto"/>
        </w:rPr>
        <w:t>” means a bookkeeping account established and maintained by the Company in the name of each Participant.</w:t>
      </w:r>
    </w:p>
    <w:p>
      <w:pPr>
        <w:spacing w:after="0" w:line="11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2.30 “</w:t>
      </w:r>
      <w:r>
        <w:rPr>
          <w:rFonts w:ascii="Times New Roman" w:cs="Times New Roman" w:eastAsia="Times New Roman" w:hAnsi="Times New Roman"/>
          <w:sz w:val="17"/>
          <w:szCs w:val="17"/>
          <w:b w:val="1"/>
          <w:bCs w:val="1"/>
          <w:i w:val="1"/>
          <w:iCs w:val="1"/>
          <w:color w:val="auto"/>
        </w:rPr>
        <w:t>Purchase Period</w:t>
      </w:r>
      <w:r>
        <w:rPr>
          <w:rFonts w:ascii="Times New Roman" w:cs="Times New Roman" w:eastAsia="Times New Roman" w:hAnsi="Times New Roman"/>
          <w:sz w:val="17"/>
          <w:szCs w:val="17"/>
          <w:color w:val="auto"/>
        </w:rPr>
        <w:t>” means such period of time commencing on such dates as determined by the Board or Committee, in its discretion, within each Offering Period. The duration and timing of Purchase Periods may be established or changed by the Board or Committee at any time, in its sole discretion. Notwithstanding the foregoing, in no event may a Purchase Period exceed the duration of the Offering Period under which it is established.</w:t>
      </w:r>
    </w:p>
    <w:p>
      <w:pPr>
        <w:spacing w:after="0" w:line="4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the regulations promulgated thereunder by the United States Treasury Department, as amended or as may be amended from time to time.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b w:val="1"/>
          <w:bCs w:val="1"/>
          <w:i w:val="1"/>
          <w:iCs w:val="1"/>
          <w:color w:val="auto"/>
        </w:rPr>
        <w:t>Section 423 Component</w:t>
      </w:r>
      <w:r>
        <w:rPr>
          <w:rFonts w:ascii="Times New Roman" w:cs="Times New Roman" w:eastAsia="Times New Roman" w:hAnsi="Times New Roman"/>
          <w:sz w:val="18"/>
          <w:szCs w:val="18"/>
          <w:color w:val="auto"/>
        </w:rPr>
        <w:t>” means those Offerings under the Plan that are intended to meet the requirements under Section 423(b) of the Code.</w:t>
      </w:r>
    </w:p>
    <w:p>
      <w:pPr>
        <w:spacing w:after="0" w:line="11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2.33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 any Subsidiary Corporation, and (b) with respect to any Offering pursuant to the Non-Section 423 Component only, Subsidiary may also include any corporate or noncorporate entity in which the Company has a direct or indirect equity interest or significant business relationship.</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60"/>
          </w:cols>
          <w:pgMar w:left="500" w:top="264" w:right="639" w:bottom="1440" w:gutter="0" w:footer="0" w:header="0"/>
        </w:sectPr>
      </w:pPr>
    </w:p>
    <w:bookmarkStart w:id="513" w:name="page514"/>
    <w:bookmarkEnd w:id="513"/>
    <w:p>
      <w:pPr>
        <w:jc w:val="both"/>
        <w:ind w:right="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2.34 “</w:t>
      </w:r>
      <w:r>
        <w:rPr>
          <w:rFonts w:ascii="Times New Roman" w:cs="Times New Roman" w:eastAsia="Times New Roman" w:hAnsi="Times New Roman"/>
          <w:sz w:val="18"/>
          <w:szCs w:val="18"/>
          <w:b w:val="1"/>
          <w:bCs w:val="1"/>
          <w:i w:val="1"/>
          <w:iCs w:val="1"/>
          <w:color w:val="auto"/>
        </w:rPr>
        <w:t>Subsidiary Corporation</w:t>
      </w:r>
      <w:r>
        <w:rPr>
          <w:rFonts w:ascii="Times New Roman" w:cs="Times New Roman" w:eastAsia="Times New Roman" w:hAnsi="Times New Roman"/>
          <w:sz w:val="18"/>
          <w:szCs w:val="18"/>
          <w:color w:val="auto"/>
        </w:rPr>
        <w:t>” shall mean any corporation, other than the Company, in an unbroken chain of corporations beginning with the Company if, at the time of the determination, each of the corporations other than the last corporation in an unbroken chain owns stock possessing 50% or more of the total combined voting power of all classes of stock in one of the other corporations in such chain, or any other entity that is a subsidiary corporation of the Company within the meaning of Section 424 of the Code.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2.35 “</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 day on which national stock exchanges in the United States are open for trading.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2.36 “</w:t>
      </w:r>
      <w:r>
        <w:rPr>
          <w:rFonts w:ascii="Times New Roman" w:cs="Times New Roman" w:eastAsia="Times New Roman" w:hAnsi="Times New Roman"/>
          <w:sz w:val="18"/>
          <w:szCs w:val="18"/>
          <w:b w:val="1"/>
          <w:bCs w:val="1"/>
          <w:i w:val="1"/>
          <w:iCs w:val="1"/>
          <w:color w:val="auto"/>
        </w:rPr>
        <w:t>Treas. Reg.</w:t>
      </w:r>
      <w:r>
        <w:rPr>
          <w:rFonts w:ascii="Times New Roman" w:cs="Times New Roman" w:eastAsia="Times New Roman" w:hAnsi="Times New Roman"/>
          <w:sz w:val="18"/>
          <w:szCs w:val="18"/>
          <w:color w:val="auto"/>
        </w:rPr>
        <w:t>” means U.S. Department of the Treasury regulations.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2.37 “</w:t>
      </w:r>
      <w:r>
        <w:rPr>
          <w:rFonts w:ascii="Times New Roman" w:cs="Times New Roman" w:eastAsia="Times New Roman" w:hAnsi="Times New Roman"/>
          <w:sz w:val="18"/>
          <w:szCs w:val="18"/>
          <w:b w:val="1"/>
          <w:bCs w:val="1"/>
          <w:i w:val="1"/>
          <w:iCs w:val="1"/>
          <w:color w:val="auto"/>
        </w:rPr>
        <w:t>Withdrawal Election</w:t>
      </w:r>
      <w:r>
        <w:rPr>
          <w:rFonts w:ascii="Times New Roman" w:cs="Times New Roman" w:eastAsia="Times New Roman" w:hAnsi="Times New Roman"/>
          <w:sz w:val="18"/>
          <w:szCs w:val="18"/>
          <w:color w:val="auto"/>
        </w:rPr>
        <w:t>” has the meaning set forth in Section 6.1(a) hereof.</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PARTICIPATION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60" w:firstLine="430"/>
        <w:spacing w:after="0" w:line="262" w:lineRule="auto"/>
        <w:tabs>
          <w:tab w:leader="none" w:pos="678"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Eligible Employee who is employed by the Company or a Designated Subsidiary on a given Enrollment Date for an Offering Period shall be eligible to participate in the Plan during such Offering Period, subject to the requirements of Articles 4 and 5 hereof, and, for the Section 423 Component, the limitations imposed by Section 423(b) of the Code.</w:t>
      </w:r>
    </w:p>
    <w:p>
      <w:pPr>
        <w:spacing w:after="0" w:line="70" w:lineRule="exact"/>
        <w:rPr>
          <w:rFonts w:ascii="Times New Roman" w:cs="Times New Roman" w:eastAsia="Times New Roman" w:hAnsi="Times New Roman"/>
          <w:sz w:val="18"/>
          <w:szCs w:val="18"/>
          <w:color w:val="auto"/>
        </w:rPr>
      </w:pPr>
    </w:p>
    <w:p>
      <w:pPr>
        <w:ind w:right="120" w:firstLine="430"/>
        <w:spacing w:after="0" w:line="255" w:lineRule="auto"/>
        <w:tabs>
          <w:tab w:leader="none" w:pos="688"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Eligible Employee shall be granted an Option under the Section 423 Component which permits the Participant’s rights to purchase shares of Common Stock under the Plan, and to purchase stock under all other employee stock purchase plans of the Company, any Parent or any Subsidiary subject to Section 423 of the Code, to accrue at a rate which exceeds $25,000 of fair market value of such stock (determined at the time such Option is granted) for each calendar year in which such Option is outstanding at any time. The limitation under this Section 3.1(b) shall be applied in accordance with Section 423(b)(8) of the Code.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Election to Participate; Payroll Deductions</w:t>
      </w:r>
    </w:p>
    <w:p>
      <w:pPr>
        <w:spacing w:after="0" w:line="114" w:lineRule="exact"/>
        <w:rPr>
          <w:sz w:val="20"/>
          <w:szCs w:val="20"/>
          <w:color w:val="auto"/>
        </w:rPr>
      </w:pPr>
    </w:p>
    <w:p>
      <w:pPr>
        <w:ind w:right="100" w:firstLine="430"/>
        <w:spacing w:after="0" w:line="257" w:lineRule="auto"/>
        <w:tabs>
          <w:tab w:leader="none" w:pos="678"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Sections 3.2(e) and 3.3 hereof or in an applicable Offering Document, an Eligible Employee may become a Participant in the Plan only by means of payroll deduction. Each individual who is an Eligible Employee as of an Offering Period’s Enrollment Date may elect to participate in such Offering Period and the Plan by delivering to the Company a payroll deduction authorization no later than the period of time prior to the applicable Enrollment Date that is determined by the Administrator, in its sole discretion.</w:t>
      </w:r>
    </w:p>
    <w:p>
      <w:pPr>
        <w:spacing w:after="0" w:line="75" w:lineRule="exact"/>
        <w:rPr>
          <w:rFonts w:ascii="Times New Roman" w:cs="Times New Roman" w:eastAsia="Times New Roman" w:hAnsi="Times New Roman"/>
          <w:sz w:val="18"/>
          <w:szCs w:val="18"/>
          <w:color w:val="auto"/>
        </w:rPr>
      </w:pPr>
    </w:p>
    <w:p>
      <w:pPr>
        <w:jc w:val="both"/>
        <w:ind w:firstLine="430"/>
        <w:spacing w:after="0" w:line="257" w:lineRule="auto"/>
        <w:tabs>
          <w:tab w:leader="none" w:pos="688"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3.1(b) hereof and except as may otherwise be determined by the Administrator and/or as set forth in the Offering Document, payroll deductions (i) shall equal at least 1% of the Participant’s Compensation as of each Payday of the Offering Period following the Enrollment Date, but not more than 15% of the Participant’s Compensation as of each Payday of the Offering Period following the Enrollment Date; and (ii) will be expressed as a whole number</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500" w:top="264" w:right="519" w:bottom="1440" w:gutter="0" w:footer="0" w:header="0"/>
        </w:sectPr>
      </w:pPr>
    </w:p>
    <w:bookmarkStart w:id="514" w:name="page515"/>
    <w:bookmarkEnd w:id="514"/>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percentage. Amounts deducted from a Participant’s Compensation with respect to an Offering Period pursuant to this Section 3.2 shall be deducted each Payday through payroll deduction and credited to the Participant’s Plan Account;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first Offering Period, payroll deductions shall not begin until such date determined by the Administrator, in its sole discretion;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in no event shall the actual amount withheld on any Payday hereunder exceed the net amount payable to the Eligible Employee on such Payday after taxes and any other applicable deductions therefrom (and if amounts to be withheld hereunder would otherwise result in a negative payment to the Eligible Employee on such Payday, the amount to be withheld hereunder shall instead be reduced by the least amount necessary to avoid a negative payment amount for the Eligible Employee on such Payday, as determined by the Administrator).</w:t>
      </w:r>
    </w:p>
    <w:p>
      <w:pPr>
        <w:spacing w:after="0" w:line="82" w:lineRule="exact"/>
        <w:rPr>
          <w:sz w:val="20"/>
          <w:szCs w:val="20"/>
          <w:color w:val="auto"/>
        </w:rPr>
      </w:pPr>
    </w:p>
    <w:p>
      <w:pPr>
        <w:ind w:right="40" w:firstLine="430"/>
        <w:spacing w:after="0" w:line="251" w:lineRule="auto"/>
        <w:tabs>
          <w:tab w:leader="none" w:pos="678"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Administrator and/or as set forth in the Offering Document, following at least one payroll deduction, a Participant may decrease (to as low as zero) the amount deducted from such Participant’s Compensation only once during an Offering Period upon ten calendar days’ prior written notice to the Company. Unless otherwise determined by the Administrator and/or as set forth in the Offering Document, a Participant may not increase the amount deducted from such Participant’s Compensation during an Offering Period. If a Participant suspends his or her payroll deductions during an Offering Period: such Participant’s cumulative unapplied payroll deductions prior to the suspension (if any) shall remain in his or her account and shall be applied to the purchase of Shares on the next occurring Purchase Date. For clarity, if a Participant who suspends participation in an Offering Period ceases to be an Eligible Employee or he or she withdraws from participation in such Offering Period, in either case, prior to the Purchase Date next-following his or her suspension of participation in the Offering Period, in any case, such Participant’s cumulative unapplied payroll deductions shall be returned to him or her in accordance with Article 6 hereof.</w:t>
      </w:r>
    </w:p>
    <w:p>
      <w:pPr>
        <w:spacing w:after="0" w:line="82" w:lineRule="exact"/>
        <w:rPr>
          <w:rFonts w:ascii="Times New Roman" w:cs="Times New Roman" w:eastAsia="Times New Roman" w:hAnsi="Times New Roman"/>
          <w:sz w:val="18"/>
          <w:szCs w:val="18"/>
          <w:color w:val="auto"/>
        </w:rPr>
      </w:pPr>
    </w:p>
    <w:p>
      <w:pPr>
        <w:ind w:right="40" w:firstLine="430"/>
        <w:spacing w:after="0" w:line="253" w:lineRule="auto"/>
        <w:tabs>
          <w:tab w:leader="none" w:pos="688"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completion of an Offering Period, each Participant in such Offering Period shall automatically participate in the immediately following Offering Period at the same payroll deduction percentage as in effect at the termination of such Offering Period, unless such Participant delivers to the Company a different election with respect to the successive Offering Period in accordance with Section 3.2(a) hereof, or unless such Participant becomes ineligible for participation in the Plan. Such Participant will be deemed to have accepted the terms and conditions of the Plan, the applicable Offering Document, any sub-plan, enrollment form, subscription agreement and/or any other terms and conditions of participation in effect at the time each subsequent Offering Period begins.</w:t>
      </w:r>
    </w:p>
    <w:p>
      <w:pPr>
        <w:spacing w:after="0" w:line="80" w:lineRule="exact"/>
        <w:rPr>
          <w:rFonts w:ascii="Times New Roman" w:cs="Times New Roman" w:eastAsia="Times New Roman" w:hAnsi="Times New Roman"/>
          <w:sz w:val="18"/>
          <w:szCs w:val="18"/>
          <w:color w:val="auto"/>
        </w:rPr>
      </w:pPr>
    </w:p>
    <w:p>
      <w:pPr>
        <w:ind w:firstLine="430"/>
        <w:spacing w:after="0" w:line="255" w:lineRule="auto"/>
        <w:tabs>
          <w:tab w:leader="none" w:pos="678"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the Plan to the contrary, in non-U.S. jurisdictions where participation in the Plan through payroll deductions is prohibited, the Administrator may provide that an Eligible Employee may elect to participate through contributions to the Participant’s account under the Plan in a form acceptable to the Administrator in lieu of or in addition to payroll deductions; provided, however, that, for any Offering under the Section 423 Component, the Administrator must determine that any alternative method of contribution is applied on an equal and uniform basis to all Eligible Employees in the Offering.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0"/>
          </w:cols>
          <w:pgMar w:left="500" w:top="268" w:right="519" w:bottom="1440" w:gutter="0" w:footer="0" w:header="0"/>
        </w:sectPr>
      </w:pPr>
    </w:p>
    <w:bookmarkStart w:id="515" w:name="page516"/>
    <w:bookmarkEnd w:id="515"/>
    <w:p>
      <w:pPr>
        <w:jc w:val="both"/>
        <w:ind w:left="6" w:right="10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3.3 </w:t>
      </w:r>
      <w:r>
        <w:rPr>
          <w:rFonts w:ascii="Times New Roman" w:cs="Times New Roman" w:eastAsia="Times New Roman" w:hAnsi="Times New Roman"/>
          <w:sz w:val="18"/>
          <w:szCs w:val="18"/>
          <w:u w:val="single" w:color="auto"/>
          <w:color w:val="auto"/>
        </w:rPr>
        <w:t>Leave of Absence</w:t>
      </w:r>
      <w:r>
        <w:rPr>
          <w:rFonts w:ascii="Times New Roman" w:cs="Times New Roman" w:eastAsia="Times New Roman" w:hAnsi="Times New Roman"/>
          <w:sz w:val="18"/>
          <w:szCs w:val="18"/>
          <w:color w:val="auto"/>
        </w:rPr>
        <w:t>. During leaves of absence approved by the Company, which in the case of the Section 423 Component meets the requirements of Treas. Reg. § 1.421-1(h)(2), a Participant may continue participation in the Plan by making cash payments to the Company on the Participant’s normal payday equal to the Participant’s authorized payroll deduction.</w:t>
      </w:r>
    </w:p>
    <w:p>
      <w:pPr>
        <w:spacing w:after="0" w:line="387"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0"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b w:val="1"/>
          <w:bCs w:val="1"/>
          <w:color w:val="auto"/>
        </w:rPr>
        <w:t>PURCHASE OF SHARES</w:t>
      </w:r>
    </w:p>
    <w:p>
      <w:pPr>
        <w:spacing w:after="0" w:line="202" w:lineRule="exact"/>
        <w:rPr>
          <w:sz w:val="20"/>
          <w:szCs w:val="20"/>
          <w:color w:val="auto"/>
        </w:rPr>
      </w:pPr>
    </w:p>
    <w:p>
      <w:pPr>
        <w:ind w:left="6"/>
        <w:spacing w:after="0" w:line="250"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The Company may make one or more Offerings under the Plan, which may be successive or overlapping with one another, until the earlier of: (i) the date on which the shares of Common Stock available under the Plan have been sold or (ii) the date on which the Plan is suspended or terminates. The Administrator shall designate the terms and conditions of each Offering in writing, including without limitation, the Offering Period and the Purchase Periods, as set forth in an offering document (the “</w:t>
      </w:r>
      <w:r>
        <w:rPr>
          <w:rFonts w:ascii="Times New Roman" w:cs="Times New Roman" w:eastAsia="Times New Roman" w:hAnsi="Times New Roman"/>
          <w:sz w:val="18"/>
          <w:szCs w:val="18"/>
          <w:b w:val="1"/>
          <w:bCs w:val="1"/>
          <w:i w:val="1"/>
          <w:iCs w:val="1"/>
          <w:color w:val="auto"/>
        </w:rPr>
        <w:t>Offering Document</w:t>
      </w:r>
      <w:r>
        <w:rPr>
          <w:rFonts w:ascii="Times New Roman" w:cs="Times New Roman" w:eastAsia="Times New Roman" w:hAnsi="Times New Roman"/>
          <w:sz w:val="18"/>
          <w:szCs w:val="18"/>
          <w:color w:val="auto"/>
        </w:rPr>
        <w:t xml:space="preserve">”). Each Participant shall be granted an Option with respect to an Offering Period on the applicable Grant Date. Subject to the limitations of Section 3.1(b) hereof, the number of shares of Common Stock subject to a Participant’s Option shall be determined by dividing (a) such Participant’s payroll deductions accumulated prior to an Exercise Date and retained in the Participant’s Plan Account on such Exercise Date by (b) the applicable Option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unless otherwise set forth in the Offering Document, in no event shall a Participant be permitted to purchase during each Offering Period more than 666 shares of Common Stock (subject to any adjustment pursuant to Section 5.2 hereof). The Administrator and/or the Offering Document may, for future Offering Periods, increase or decrease, in its absolute discretion, the maximum number of shares of Common Stock that a Participant may purchase during such future Offering Periods. Each Option shall expire on the last Exercise Date for the applicable Offering Period immediately after the automatic exercise of the Option in accordance with Section 4.3 hereof, unless such Option terminates earlier in accordance with Article 6 hereof.</w:t>
      </w:r>
    </w:p>
    <w:p>
      <w:pPr>
        <w:spacing w:after="0" w:line="80" w:lineRule="exact"/>
        <w:rPr>
          <w:sz w:val="20"/>
          <w:szCs w:val="20"/>
          <w:color w:val="auto"/>
        </w:rPr>
      </w:pPr>
    </w:p>
    <w:p>
      <w:pPr>
        <w:ind w:left="6" w:right="220"/>
        <w:spacing w:after="0" w:line="276"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Option Price</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i w:val="1"/>
          <w:iCs w:val="1"/>
          <w:color w:val="auto"/>
        </w:rPr>
        <w:t>Option Price</w:t>
      </w:r>
      <w:r>
        <w:rPr>
          <w:rFonts w:ascii="Times New Roman" w:cs="Times New Roman" w:eastAsia="Times New Roman" w:hAnsi="Times New Roman"/>
          <w:sz w:val="17"/>
          <w:szCs w:val="17"/>
          <w:color w:val="auto"/>
        </w:rPr>
        <w:t>” per share of Common Stock to be paid by a Participant upon exercise of the Participant’s Option on an Exercise Date for an Offering Period shall equal 85% of the lesser of the Fair Market Value of a share of Common Stock on (a) the applicable Grant Date and</w:t>
      </w:r>
    </w:p>
    <w:p>
      <w:pPr>
        <w:spacing w:after="0" w:line="1" w:lineRule="exact"/>
        <w:rPr>
          <w:sz w:val="20"/>
          <w:szCs w:val="20"/>
          <w:color w:val="auto"/>
        </w:rPr>
      </w:pPr>
    </w:p>
    <w:p>
      <w:pPr>
        <w:ind w:left="6" w:right="500" w:hanging="6"/>
        <w:spacing w:after="0" w:line="251" w:lineRule="auto"/>
        <w:tabs>
          <w:tab w:leader="none" w:pos="258"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Exercise Date, or such other price designated by the Administrator;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Option Price per share of Common Stock be less than the par value per share of the Common Stock;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no Option Price shall be designated by the Administrator that would cause the Section 423 Component to fail to meet the requirements under Section 423(b) of the Code.</w:t>
      </w:r>
    </w:p>
    <w:p>
      <w:pPr>
        <w:spacing w:after="0" w:line="120"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6"/>
          </w:cols>
          <w:pgMar w:left="494" w:top="268" w:right="519" w:bottom="1440" w:gutter="0" w:footer="0" w:header="0"/>
        </w:sectPr>
      </w:pPr>
    </w:p>
    <w:bookmarkStart w:id="516" w:name="page517"/>
    <w:bookmarkEnd w:id="516"/>
    <w:p>
      <w:pPr>
        <w:ind w:left="6"/>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4.3 </w:t>
      </w:r>
      <w:r>
        <w:rPr>
          <w:rFonts w:ascii="Times New Roman" w:cs="Times New Roman" w:eastAsia="Times New Roman" w:hAnsi="Times New Roman"/>
          <w:sz w:val="18"/>
          <w:szCs w:val="18"/>
          <w:u w:val="single" w:color="auto"/>
          <w:color w:val="auto"/>
        </w:rPr>
        <w:t>Purchase of Shares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6" w:firstLine="430"/>
        <w:spacing w:after="0" w:line="251" w:lineRule="auto"/>
        <w:tabs>
          <w:tab w:leader="none" w:pos="684"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Exercise Date for an Offering Period, each Participant shall automatically and without any action on such Participant’s part be deemed to have exercised the Participant’s Option to purchase at the applicable per share Option Price the largest number of whole shares of Common Stock which can be purchased with the amount in the Participant’s Plan Account. Except as may otherwise be provided by the Administrator with respect to any Offering and/or as set forth in the Offering Document, any balance less than the per share Option Price that is remaining in the Participant’s Plan Account (after exercise of such Participant’s Option) as of the Exercise Date shall be carried forward to the next Purchase Period or Offering Period, unless the Participant has elected to withdraw from the Plan pursuant to Section 6.1 hereof or, pursuant to Section 6.2 hereof, such Participant has ceased to be an Eligible Employee. Any balance not carried forward to the next Purchase Period or Offering Period in accordance with the prior sentence shall be promptly refunded to the applicable Participant. In no event shall an amount greater than or equal to the per share Option Price as of an Exercise Date be carried forward to the next Purchase Period or Offering Period.</w:t>
      </w:r>
    </w:p>
    <w:p>
      <w:pPr>
        <w:spacing w:after="0" w:line="82" w:lineRule="exact"/>
        <w:rPr>
          <w:rFonts w:ascii="Times New Roman" w:cs="Times New Roman" w:eastAsia="Times New Roman" w:hAnsi="Times New Roman"/>
          <w:sz w:val="18"/>
          <w:szCs w:val="18"/>
          <w:color w:val="auto"/>
        </w:rPr>
      </w:pPr>
    </w:p>
    <w:p>
      <w:pPr>
        <w:ind w:left="6" w:right="200" w:firstLine="430"/>
        <w:spacing w:after="0" w:line="274" w:lineRule="auto"/>
        <w:tabs>
          <w:tab w:leader="none" w:pos="694" w:val="left"/>
        </w:tabs>
        <w:numPr>
          <w:ilvl w:val="1"/>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practicable following each Exercise Date, the number of shares of Common Stock purchased by such Participant pursuant to Section 4.3(a) hereof shall be delivered (either in share certificate or book entry form), in the Company’s sole discretion, to either (i) the Participant or</w:t>
      </w:r>
    </w:p>
    <w:p>
      <w:pPr>
        <w:ind w:left="6" w:right="120" w:hanging="6"/>
        <w:spacing w:after="0" w:line="249" w:lineRule="auto"/>
        <w:tabs>
          <w:tab w:leader="none" w:pos="268"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 established in the Participant’s name at a stock brokerage or other financial services firm designated by the Company. If the Company is required to obtain from any commission or agency authority to issue any such shares of Common Stock, the Company shall seek to obtain such authority. Inability of the Company to obtain from any such commission or agency authority which counsel for the Company deems necessary for the lawful issuance of any such shares shall relieve the Company from liability to any Participant except to refund to the Participant such Participant’s Plan Account balance, without interest thereon. The Company may require that such shares of Common Stock be retained with a particular Agent for a designated period of time and/or may establish other procedures to permit tracking of qualifying and disqualifying dispositions of such shares of Common Stock or to otherwise facilitate compliance with applicable law or the administration of the Plan.</w:t>
      </w:r>
    </w:p>
    <w:p>
      <w:pPr>
        <w:spacing w:after="0" w:line="81" w:lineRule="exact"/>
        <w:rPr>
          <w:sz w:val="20"/>
          <w:szCs w:val="20"/>
          <w:color w:val="auto"/>
        </w:rPr>
      </w:pPr>
    </w:p>
    <w:p>
      <w:pPr>
        <w:ind w:left="6" w:right="200"/>
        <w:spacing w:after="0" w:line="255"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Automatic Termination of Offering Period</w:t>
      </w:r>
      <w:r>
        <w:rPr>
          <w:rFonts w:ascii="Times New Roman" w:cs="Times New Roman" w:eastAsia="Times New Roman" w:hAnsi="Times New Roman"/>
          <w:sz w:val="18"/>
          <w:szCs w:val="18"/>
          <w:color w:val="auto"/>
        </w:rPr>
        <w:t>. If the Fair Market Value of a share of Common Stock on any Exercise Date (except the final scheduled Exercise Date of any Offering Period) is lower than the Fair Market Value of a share of Common Stock on the Grant Date for an Offering Period, then such Offering Period shall terminate on such Exercise Date after the automatic exercise of the Option in accordance with Section 4.3 hereof, and each Participant shall automatically be enrolled in the Offering Period that commences immediately following such Exercise Date and such Participant’s payroll deduction authorization shall remain in effect for such Offering Period.</w:t>
      </w:r>
    </w:p>
    <w:p>
      <w:pPr>
        <w:spacing w:after="0" w:line="76" w:lineRule="exact"/>
        <w:rPr>
          <w:sz w:val="20"/>
          <w:szCs w:val="20"/>
          <w:color w:val="auto"/>
        </w:rPr>
      </w:pPr>
    </w:p>
    <w:p>
      <w:pPr>
        <w:ind w:left="6" w:right="180"/>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Transferability of Rights</w:t>
      </w:r>
      <w:r>
        <w:rPr>
          <w:rFonts w:ascii="Times New Roman" w:cs="Times New Roman" w:eastAsia="Times New Roman" w:hAnsi="Times New Roman"/>
          <w:sz w:val="18"/>
          <w:szCs w:val="18"/>
          <w:color w:val="auto"/>
        </w:rPr>
        <w:t>. An Option granted under the Plan shall not be transferable, other than by will or the applicable laws of descent and distribution, and is exercisable during the Participant’s lifetime only by the Participant. No option or interest or right to the Option shall be available to pay off any debts, contracts or engagements of the Participant or the Participant’s successors in interest or shall be subject to disposition by pledge, encumbrance, assignment or any other means whether such disposition be voluntary or involuntary or by operation of law by judgment, levy, attachment, garnishment or any other legal or equitable proceedings (including bankruptcy), and any attempt at disposition of the Option shall have no effect.</w:t>
      </w:r>
    </w:p>
    <w:p>
      <w:pPr>
        <w:spacing w:after="0" w:line="1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6"/>
          </w:cols>
          <w:pgMar w:left="494" w:top="268" w:right="499" w:bottom="1440" w:gutter="0" w:footer="0" w:header="0"/>
        </w:sectPr>
      </w:pPr>
    </w:p>
    <w:bookmarkStart w:id="517" w:name="page518"/>
    <w:bookmarkEnd w:id="5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5</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PROVISIONS RELATING TO COMMON STOCK</w:t>
      </w:r>
    </w:p>
    <w:p>
      <w:pPr>
        <w:spacing w:after="0" w:line="20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Common Stock Reserved</w:t>
      </w:r>
      <w:r>
        <w:rPr>
          <w:rFonts w:ascii="Times New Roman" w:cs="Times New Roman" w:eastAsia="Times New Roman" w:hAnsi="Times New Roman"/>
          <w:sz w:val="18"/>
          <w:szCs w:val="18"/>
          <w:color w:val="auto"/>
        </w:rPr>
        <w:t xml:space="preserve">. Subject to adjustment as provided in Section 5.2 hereof, the maximum number of shares of Common Stock that shall be made available for sale under the Plan shall be the sum of (a) 1,121,231 and (b) an increase commencing on January 1, 2026 and continuing annually on the anniversary thereof through (and including) January 1, 2035, equal to the lesser of (A) 1% of the shares of all classes of the Company’s common stock outstanding (on an as converted basis) on the last day of the immediately preceding fiscal year and (B) such smaller number of shares of Common Stock as determined by the Board or the Committee;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no more than 6,727,388 Shares may be issued under the Plan. Shares made available for sale under the Plan may be authorized but unissued shares, treasury shares of Common Stock, or reacquired shares reserved for issuance under the Plan. All or any portion of such maximum number of shares may be issued under the Section 423 Component.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Adjustments Upon Changes in Capitalization, Dissolution, Liquidation, Merger or Asset Sale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60" w:firstLine="430"/>
        <w:spacing w:after="0" w:line="251" w:lineRule="auto"/>
        <w:tabs>
          <w:tab w:leader="none" w:pos="678"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Capitalization</w:t>
      </w:r>
      <w:r>
        <w:rPr>
          <w:rFonts w:ascii="Times New Roman" w:cs="Times New Roman" w:eastAsia="Times New Roman" w:hAnsi="Times New Roman"/>
          <w:sz w:val="18"/>
          <w:szCs w:val="18"/>
          <w:color w:val="auto"/>
        </w:rPr>
        <w:t xml:space="preserve">. Subject to any required action by the stockholders of the Company, the class(es) and number of shares of Common Stock which have been authorized for issuance under the Plan but not yet placed under Option, as well as the price per share and the class(es) and number of shares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conversion of any convertible securities of the Company shall not be deemed to have been “effected without receipt of consideration.”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79" w:lineRule="exact"/>
        <w:rPr>
          <w:rFonts w:ascii="Times New Roman" w:cs="Times New Roman" w:eastAsia="Times New Roman" w:hAnsi="Times New Roman"/>
          <w:sz w:val="18"/>
          <w:szCs w:val="18"/>
          <w:color w:val="auto"/>
        </w:rPr>
      </w:pPr>
    </w:p>
    <w:p>
      <w:pPr>
        <w:ind w:right="80" w:firstLine="430"/>
        <w:spacing w:after="0" w:line="285" w:lineRule="auto"/>
        <w:tabs>
          <w:tab w:leader="none" w:pos="688" w:val="left"/>
        </w:tabs>
        <w:numPr>
          <w:ilvl w:val="0"/>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Dissolution or Liquidation</w:t>
      </w:r>
      <w:r>
        <w:rPr>
          <w:rFonts w:ascii="Times New Roman" w:cs="Times New Roman" w:eastAsia="Times New Roman" w:hAnsi="Times New Roman"/>
          <w:sz w:val="17"/>
          <w:szCs w:val="17"/>
          <w:color w:val="auto"/>
        </w:rPr>
        <w:t>. In the event of the proposed dissolution or liquidation of the Company, the Offering Periods then in progress shall be shortened by setting a new Exercise Date (the “</w:t>
      </w:r>
      <w:r>
        <w:rPr>
          <w:rFonts w:ascii="Times New Roman" w:cs="Times New Roman" w:eastAsia="Times New Roman" w:hAnsi="Times New Roman"/>
          <w:sz w:val="17"/>
          <w:szCs w:val="17"/>
          <w:b w:val="1"/>
          <w:bCs w:val="1"/>
          <w:i w:val="1"/>
          <w:iCs w:val="1"/>
          <w:color w:val="auto"/>
        </w:rPr>
        <w:t>New Exercise Date</w:t>
      </w:r>
      <w:r>
        <w:rPr>
          <w:rFonts w:ascii="Times New Roman" w:cs="Times New Roman" w:eastAsia="Times New Roman" w:hAnsi="Times New Roman"/>
          <w:sz w:val="17"/>
          <w:szCs w:val="17"/>
          <w:color w:val="auto"/>
        </w:rPr>
        <w:t>”), and shall terminate immediately prior to the consummation of such proposed dissolution or liquidation, unless provided otherwise by the Administrator. The New Exercise Date shall be before the date of the Company’s proposed</w:t>
      </w:r>
    </w:p>
    <w:p>
      <w:pPr>
        <w:spacing w:after="0" w:line="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40"/>
          </w:cols>
          <w:pgMar w:left="500" w:top="264" w:right="559" w:bottom="1440" w:gutter="0" w:footer="0" w:header="0"/>
        </w:sectPr>
      </w:pPr>
    </w:p>
    <w:bookmarkStart w:id="518" w:name="page519"/>
    <w:bookmarkEnd w:id="518"/>
    <w:p>
      <w:pPr>
        <w:ind w:right="10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dissolution or liquidation. The Administrator shall notify each Participant in writing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6.1 hereof or the Participant has ceased to be an Eligible Employee as provided in Section 6.2 hereof.</w:t>
      </w:r>
    </w:p>
    <w:p>
      <w:pPr>
        <w:spacing w:after="0" w:line="75" w:lineRule="exact"/>
        <w:rPr>
          <w:sz w:val="20"/>
          <w:szCs w:val="20"/>
          <w:color w:val="auto"/>
        </w:rPr>
      </w:pPr>
    </w:p>
    <w:p>
      <w:pPr>
        <w:ind w:right="40" w:firstLine="430"/>
        <w:spacing w:after="0" w:line="252" w:lineRule="auto"/>
        <w:tabs>
          <w:tab w:leader="none" w:pos="678"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or Asset Sale</w:t>
      </w:r>
      <w:r>
        <w:rPr>
          <w:rFonts w:ascii="Times New Roman" w:cs="Times New Roman" w:eastAsia="Times New Roman" w:hAnsi="Times New Roman"/>
          <w:sz w:val="18"/>
          <w:szCs w:val="18"/>
          <w:color w:val="auto"/>
        </w:rPr>
        <w:t>.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If the successor corporation refuses to assume or substitute for the Option, any Offering Periods then in progress shall be shortened by setting a New Exercise Date and any Offering Periods then in progress shall end on the New Exercise Date. The New Exercise Date shall be before the date of the Company’s proposed sale or merger. The Administrator shall notify each Participant in writing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6.1 hereof or the Participant has ceased to be an Eligible Employee as provided in Section 6.2 hereof.</w:t>
      </w:r>
    </w:p>
    <w:p>
      <w:pPr>
        <w:spacing w:after="0" w:line="78" w:lineRule="exact"/>
        <w:rPr>
          <w:rFonts w:ascii="Times New Roman" w:cs="Times New Roman" w:eastAsia="Times New Roman" w:hAnsi="Times New Roman"/>
          <w:sz w:val="18"/>
          <w:szCs w:val="18"/>
          <w:color w:val="auto"/>
        </w:rPr>
      </w:pPr>
    </w:p>
    <w:p>
      <w:pPr>
        <w:ind w:firstLine="430"/>
        <w:spacing w:after="0" w:line="262" w:lineRule="auto"/>
        <w:tabs>
          <w:tab w:leader="none" w:pos="688"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Adjustment Under Certain Circumstances</w:t>
      </w:r>
      <w:r>
        <w:rPr>
          <w:rFonts w:ascii="Times New Roman" w:cs="Times New Roman" w:eastAsia="Times New Roman" w:hAnsi="Times New Roman"/>
          <w:sz w:val="18"/>
          <w:szCs w:val="18"/>
          <w:color w:val="auto"/>
        </w:rPr>
        <w:t>. Unless determined otherwise by the Administrator, no adjustment or action described in this Article 5 or in any other provision of the Plan shall be authorized to the extent that such adjustment or action would cause the Section 423 Component of the Plan to fail to satisfy the requirements of Section 423 of the Code.</w:t>
      </w:r>
    </w:p>
    <w:p>
      <w:pPr>
        <w:spacing w:after="0" w:line="7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Insufficient Shares</w:t>
      </w:r>
      <w:r>
        <w:rPr>
          <w:rFonts w:ascii="Times New Roman" w:cs="Times New Roman" w:eastAsia="Times New Roman" w:hAnsi="Times New Roman"/>
          <w:sz w:val="18"/>
          <w:szCs w:val="18"/>
          <w:color w:val="auto"/>
        </w:rPr>
        <w:t>. If the Administrator determines that, on a given Exercise Date, the number of shares of Common Stock with respect to which Options are to be exercised may exceed the number of shares of Common Stock remaining available for sale under the Plan on such Exercise Date, the Administrator shall make a pro rata allocation of the shares of Common Stock available for issuance on such Exercise Date in as uniform a manner as shall be practicable and as it shall determine in its sole discretion to be equitable among all Participants exercising Options to purchase Common Stock on such Exercise Date, and unless additional shares are authorized for issuance under the Plan, no further Offering Periods shall take place and the Plan shall terminate pursuant to Section 7.5 hereof. If an Offering Period is so terminated, then the balance of the amount credited to the Participant’s Plan Account which has not been applied to the purchase of shares of Common Stock shall be paid to such Participant in one lump sum in cash within 30 days after such Exercise Date, without any interest thereon.</w:t>
      </w:r>
    </w:p>
    <w:p>
      <w:pPr>
        <w:spacing w:after="0" w:line="7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Rights as Stockholders</w:t>
      </w:r>
      <w:r>
        <w:rPr>
          <w:rFonts w:ascii="Times New Roman" w:cs="Times New Roman" w:eastAsia="Times New Roman" w:hAnsi="Times New Roman"/>
          <w:sz w:val="18"/>
          <w:szCs w:val="18"/>
          <w:color w:val="auto"/>
        </w:rPr>
        <w:t>. With respect to shares of Common Stock subject to an Option, a Participant shall not be deemed to be a stockholder of the Company and shall not have any of the rights or privileges of a stockholder. A Participant shall have the rights and privileges of a stockholder of the Company when, but not until, shares of Common Stock have been deposited in the designated brokerage account following exercise of the Participant’s Option. No adjustments shall be made for dividends (ordinary or extraordinary, whether in cash securities, or other property) or distribution or other rights for which the record date occurs prior to the date of such deposit, except as otherwise expressly provided herein or as determined by the Administrator.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80"/>
          </w:cols>
          <w:pgMar w:left="500" w:top="268" w:right="519" w:bottom="1440" w:gutter="0" w:footer="0" w:header="0"/>
        </w:sectPr>
      </w:pPr>
    </w:p>
    <w:bookmarkStart w:id="519" w:name="page520"/>
    <w:bookmarkEnd w:id="519"/>
    <w:p>
      <w:pPr>
        <w:jc w:val="center"/>
        <w:ind w:right="-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4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ARTICLE 6</w:t>
      </w:r>
    </w:p>
    <w:p>
      <w:pPr>
        <w:spacing w:after="0" w:line="3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TERMINATION OF PARTICIPATION</w:t>
      </w:r>
    </w:p>
    <w:p>
      <w:pPr>
        <w:spacing w:after="0" w:line="20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Cessation of Contributions; Voluntary Withdrawal</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6" w:right="20" w:firstLine="430"/>
        <w:spacing w:after="0" w:line="266" w:lineRule="auto"/>
        <w:tabs>
          <w:tab w:leader="none" w:pos="684" w:val="left"/>
        </w:tabs>
        <w:numPr>
          <w:ilvl w:val="1"/>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Participant may cease payroll deductions during an Offering Period and elect to withdraw from the Plan by delivering written notice of such election to the Company in such form and at such time prior to the Exercise Date for such Offering Period as may be established by the Administrator (a “</w:t>
      </w:r>
      <w:r>
        <w:rPr>
          <w:rFonts w:ascii="Times New Roman" w:cs="Times New Roman" w:eastAsia="Times New Roman" w:hAnsi="Times New Roman"/>
          <w:sz w:val="17"/>
          <w:szCs w:val="17"/>
          <w:b w:val="1"/>
          <w:bCs w:val="1"/>
          <w:i w:val="1"/>
          <w:iCs w:val="1"/>
          <w:color w:val="auto"/>
        </w:rPr>
        <w:t>Withdrawal Election</w:t>
      </w:r>
      <w:r>
        <w:rPr>
          <w:rFonts w:ascii="Times New Roman" w:cs="Times New Roman" w:eastAsia="Times New Roman" w:hAnsi="Times New Roman"/>
          <w:sz w:val="17"/>
          <w:szCs w:val="17"/>
          <w:color w:val="auto"/>
        </w:rPr>
        <w:t>”). A Participant electing to withdraw from the Plan may elect to either (i) withdraw all of the funds then credited to the Participant’s Plan Account as of the date on which the Withdrawal Election is received by the Company, in which case amounts credited to such Plan Account shall be returned to the Participant in one lump-sum payment in cash within 30 days after such election is received by the Company, without any interest thereon, and the Participant shall cease to participate in the Plan and the Participant’s Option for such Offering Period shall terminate; or</w:t>
      </w:r>
    </w:p>
    <w:p>
      <w:pPr>
        <w:spacing w:after="0" w:line="1" w:lineRule="exact"/>
        <w:rPr>
          <w:rFonts w:ascii="Times New Roman" w:cs="Times New Roman" w:eastAsia="Times New Roman" w:hAnsi="Times New Roman"/>
          <w:sz w:val="17"/>
          <w:szCs w:val="17"/>
          <w:color w:val="auto"/>
        </w:rPr>
      </w:pPr>
    </w:p>
    <w:p>
      <w:pPr>
        <w:ind w:left="6" w:right="120" w:hanging="6"/>
        <w:spacing w:after="0" w:line="249" w:lineRule="auto"/>
        <w:tabs>
          <w:tab w:leader="none" w:pos="268"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the Option for the maximum number of whole shares of Common Stock on the applicable Exercise Date with any remaining Plan Account balance returned to the Participant in one lump-sum payment in cash within 30 days after such Exercise Date, without any interest thereon, and after such exercise cease to participate in the Plan. For clarity, during an Offering Period, a Participant may elect to withdraw from the Plan pursuant to clause (ii) and then subsequently elect to withdraw from the Plan pursuant to clause (i), but a withdrawal pursuant to clause (i) shall be final for such Offering Period. Upon receipt of a Withdrawal Election, the Participant’s payroll deduction authorization and, if applicable, the Participant’s Option shall terminate.</w:t>
      </w:r>
    </w:p>
    <w:p>
      <w:pPr>
        <w:spacing w:after="0" w:line="81" w:lineRule="exact"/>
        <w:rPr>
          <w:rFonts w:ascii="Times New Roman" w:cs="Times New Roman" w:eastAsia="Times New Roman" w:hAnsi="Times New Roman"/>
          <w:sz w:val="18"/>
          <w:szCs w:val="18"/>
          <w:color w:val="auto"/>
        </w:rPr>
      </w:pPr>
    </w:p>
    <w:p>
      <w:pPr>
        <w:ind w:left="6" w:right="140" w:firstLine="430"/>
        <w:spacing w:after="0" w:line="262" w:lineRule="auto"/>
        <w:tabs>
          <w:tab w:leader="none" w:pos="694"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Participant’s withdrawal from the Plan shall not have any effect upon the Participant’s eligibility to participate in any similar plan which may hereafter be adopted by the Company or in succeeding Offering Periods which commence after the termination of the Offering Period from which the Participant withdraws.</w:t>
      </w:r>
    </w:p>
    <w:p>
      <w:pPr>
        <w:spacing w:after="0" w:line="70" w:lineRule="exact"/>
        <w:rPr>
          <w:rFonts w:ascii="Times New Roman" w:cs="Times New Roman" w:eastAsia="Times New Roman" w:hAnsi="Times New Roman"/>
          <w:sz w:val="18"/>
          <w:szCs w:val="18"/>
          <w:color w:val="auto"/>
        </w:rPr>
      </w:pPr>
    </w:p>
    <w:p>
      <w:pPr>
        <w:ind w:left="6" w:right="60" w:firstLine="430"/>
        <w:spacing w:after="0" w:line="277" w:lineRule="auto"/>
        <w:tabs>
          <w:tab w:leader="none" w:pos="684"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by the Administrator and/or as set forth in the Offering Document, a Participant who ceases contributions to the Plan during any Offering Period shall not be permitted to resume contributions to the Plan during that Offering Period.</w:t>
      </w:r>
    </w:p>
    <w:p>
      <w:pPr>
        <w:spacing w:after="0" w:line="57" w:lineRule="exact"/>
        <w:rPr>
          <w:sz w:val="20"/>
          <w:szCs w:val="20"/>
          <w:color w:val="auto"/>
        </w:rPr>
      </w:pPr>
    </w:p>
    <w:p>
      <w:pPr>
        <w:ind w:left="6"/>
        <w:spacing w:after="0" w:line="257"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Termination of Eligibility</w:t>
      </w:r>
      <w:r>
        <w:rPr>
          <w:rFonts w:ascii="Times New Roman" w:cs="Times New Roman" w:eastAsia="Times New Roman" w:hAnsi="Times New Roman"/>
          <w:sz w:val="18"/>
          <w:szCs w:val="18"/>
          <w:color w:val="auto"/>
        </w:rPr>
        <w:t>. Subject to Section 7.17, upon a Participant’s ceasing to be an Eligible Employee, for any reason, such Participant’s Option for the applicable Offering Period shall automatically terminate, the Participant shall be deemed to have elected to withdraw from the Plan, and such Participant’s Plan Account shall be paid to such Participant or, in the case of the Participant’s death, to the person or persons entitled thereto pursuant to applicable law, within 30 days after such cessation of being an Eligible Employee, without any interest thereon.</w:t>
      </w:r>
    </w:p>
    <w:p>
      <w:pPr>
        <w:spacing w:after="0" w:line="11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86"/>
          </w:cols>
          <w:pgMar w:left="494" w:top="263" w:right="519" w:bottom="1440" w:gutter="0" w:footer="0" w:header="0"/>
        </w:sectPr>
      </w:pPr>
    </w:p>
    <w:bookmarkStart w:id="520" w:name="page521"/>
    <w:bookmarkEnd w:id="5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4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ARTICLE 7</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both"/>
        <w:ind w:firstLine="430"/>
        <w:spacing w:after="0" w:line="257" w:lineRule="auto"/>
        <w:tabs>
          <w:tab w:leader="none" w:pos="678"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Board, the Plan shall be administered by the Committee, which shall be composed of members of the Board. To the extent permitted under applicable law, the Committee may delegate administrative or other tasks under the Plan to the services of an Agent or Employees to assist in the administration of the Plan, including establishing and maintaining an individual securities account under the Plan for each Participant.</w:t>
      </w:r>
    </w:p>
    <w:p>
      <w:pPr>
        <w:spacing w:after="0" w:line="75" w:lineRule="exact"/>
        <w:rPr>
          <w:rFonts w:ascii="Times New Roman" w:cs="Times New Roman" w:eastAsia="Times New Roman" w:hAnsi="Times New Roman"/>
          <w:sz w:val="18"/>
          <w:szCs w:val="18"/>
          <w:color w:val="auto"/>
        </w:rPr>
      </w:pPr>
    </w:p>
    <w:p>
      <w:pPr>
        <w:ind w:right="260" w:firstLine="430"/>
        <w:spacing w:after="0" w:line="277" w:lineRule="auto"/>
        <w:tabs>
          <w:tab w:leader="none" w:pos="688"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be the duty of the Administrator to conduct the general administration of the Plan in accordance with the provisions of the Plan. The Administrator shall have the power, subject to, and within the limitations of, the express provisions of the Plan:</w:t>
      </w:r>
    </w:p>
    <w:p>
      <w:pPr>
        <w:spacing w:after="0" w:line="56" w:lineRule="exact"/>
        <w:rPr>
          <w:rFonts w:ascii="Times New Roman" w:cs="Times New Roman" w:eastAsia="Times New Roman" w:hAnsi="Times New Roman"/>
          <w:sz w:val="18"/>
          <w:szCs w:val="18"/>
          <w:color w:val="auto"/>
        </w:rPr>
      </w:pPr>
    </w:p>
    <w:p>
      <w:pPr>
        <w:ind w:left="1180" w:hanging="205"/>
        <w:spacing w:after="0"/>
        <w:tabs>
          <w:tab w:leader="none" w:pos="118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and terminate Offerings;</w:t>
      </w:r>
    </w:p>
    <w:p>
      <w:pPr>
        <w:spacing w:after="0" w:line="113" w:lineRule="exact"/>
        <w:rPr>
          <w:rFonts w:ascii="Times New Roman" w:cs="Times New Roman" w:eastAsia="Times New Roman" w:hAnsi="Times New Roman"/>
          <w:sz w:val="18"/>
          <w:szCs w:val="18"/>
          <w:color w:val="auto"/>
        </w:rPr>
      </w:pPr>
    </w:p>
    <w:p>
      <w:pPr>
        <w:ind w:left="1240" w:hanging="265"/>
        <w:spacing w:after="0"/>
        <w:tabs>
          <w:tab w:leader="none" w:pos="124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when and how Options shall be granted and the provisions and terms of each Offering (which need not be identical);</w:t>
      </w:r>
    </w:p>
    <w:p>
      <w:pPr>
        <w:spacing w:after="0" w:line="113" w:lineRule="exact"/>
        <w:rPr>
          <w:rFonts w:ascii="Times New Roman" w:cs="Times New Roman" w:eastAsia="Times New Roman" w:hAnsi="Times New Roman"/>
          <w:sz w:val="18"/>
          <w:szCs w:val="18"/>
          <w:color w:val="auto"/>
        </w:rPr>
      </w:pPr>
    </w:p>
    <w:p>
      <w:pPr>
        <w:ind w:left="1280" w:hanging="305"/>
        <w:spacing w:after="0"/>
        <w:tabs>
          <w:tab w:leader="none" w:pos="128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Designated Subsidiaries in accordance with Section 7.2 hereof;</w:t>
      </w:r>
    </w:p>
    <w:p>
      <w:pPr>
        <w:spacing w:after="0" w:line="113" w:lineRule="exact"/>
        <w:rPr>
          <w:rFonts w:ascii="Times New Roman" w:cs="Times New Roman" w:eastAsia="Times New Roman" w:hAnsi="Times New Roman"/>
          <w:sz w:val="18"/>
          <w:szCs w:val="18"/>
          <w:color w:val="auto"/>
        </w:rPr>
      </w:pPr>
    </w:p>
    <w:p>
      <w:pPr>
        <w:ind w:right="620" w:firstLine="975"/>
        <w:spacing w:after="0" w:line="277" w:lineRule="auto"/>
        <w:tabs>
          <w:tab w:leader="none" w:pos="1283"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impose a mandatory holding period pursuant to which Participants may not dispose of or transfer shares of Common Stock purchased under the Plan for a period of time determined by the Administrator in its discretion; and</w:t>
      </w:r>
    </w:p>
    <w:p>
      <w:pPr>
        <w:spacing w:after="0" w:line="56" w:lineRule="exact"/>
        <w:rPr>
          <w:rFonts w:ascii="Times New Roman" w:cs="Times New Roman" w:eastAsia="Times New Roman" w:hAnsi="Times New Roman"/>
          <w:sz w:val="18"/>
          <w:szCs w:val="18"/>
          <w:color w:val="auto"/>
        </w:rPr>
      </w:pPr>
    </w:p>
    <w:p>
      <w:pPr>
        <w:jc w:val="both"/>
        <w:ind w:right="80" w:firstLine="975"/>
        <w:spacing w:after="0" w:line="257" w:lineRule="auto"/>
        <w:tabs>
          <w:tab w:leader="none" w:pos="1233"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Plan, the terms of any Offering and the terms of the Options and to adopt such rules for the administration, interpretation, and application of the Plan as are consistent therewith and to interpret, amend or revoke any such rules. The Administrator, in the exercise of this power, may correct any defect, omission or inconsistency in the Plan, any Offering or any Option, in a manner and to the extent it shall deem necessary or expedient to administer the Plan, subject to Section 423 of the Code for the Section 423 Component.</w:t>
      </w:r>
    </w:p>
    <w:p>
      <w:pPr>
        <w:spacing w:after="0" w:line="75" w:lineRule="exact"/>
        <w:rPr>
          <w:rFonts w:ascii="Times New Roman" w:cs="Times New Roman" w:eastAsia="Times New Roman" w:hAnsi="Times New Roman"/>
          <w:sz w:val="18"/>
          <w:szCs w:val="18"/>
          <w:color w:val="auto"/>
        </w:rPr>
      </w:pPr>
    </w:p>
    <w:p>
      <w:pPr>
        <w:ind w:right="120" w:firstLine="430"/>
        <w:spacing w:after="0" w:line="255" w:lineRule="auto"/>
        <w:tabs>
          <w:tab w:leader="none" w:pos="678"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adopt rules or procedures relating to the operation and administration of the Plan to accommodate the specific requirements of local laws and procedures. Without limiting the generality of the foregoing, the Administrator is specifically authorized to adopt rules and procedures regarding handling of participation elections, payroll deductions, payment of interest, conversion of local currency, payroll tax, withholding procedures and handling of stock certificates which vary with local requirements. In its absolute discretion, the Board may at any time and from time to time exercise any and all rights and duties of the Administrator under the Plan.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80"/>
          </w:cols>
          <w:pgMar w:left="500" w:top="263" w:right="519" w:bottom="1440" w:gutter="0" w:footer="0" w:header="0"/>
        </w:sectPr>
      </w:pPr>
    </w:p>
    <w:bookmarkStart w:id="521" w:name="page522"/>
    <w:bookmarkEnd w:id="521"/>
    <w:p>
      <w:pPr>
        <w:jc w:val="both"/>
        <w:ind w:firstLine="430"/>
        <w:spacing w:after="0" w:line="257" w:lineRule="auto"/>
        <w:tabs>
          <w:tab w:leader="none" w:pos="688"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Administrator may adopt sub-plans applicable to particular Designated Subsidiaries or locations, which sub-plans may be designed to be outside the scope of Section 423 of the Code. The rules of such sub-plans may take precedence over other provisions of this Plan, with the exception of Section 5.1 hereof, but unless otherwise superseded by the terms of such sub-plan, the provisions of this Plan shall govern the operation of such sub-plan.</w:t>
      </w:r>
    </w:p>
    <w:p>
      <w:pPr>
        <w:spacing w:after="0" w:line="75" w:lineRule="exact"/>
        <w:rPr>
          <w:rFonts w:ascii="Times New Roman" w:cs="Times New Roman" w:eastAsia="Times New Roman" w:hAnsi="Times New Roman"/>
          <w:sz w:val="18"/>
          <w:szCs w:val="18"/>
          <w:color w:val="auto"/>
        </w:rPr>
      </w:pPr>
    </w:p>
    <w:p>
      <w:pPr>
        <w:ind w:right="100" w:firstLine="430"/>
        <w:spacing w:after="0" w:line="252" w:lineRule="auto"/>
        <w:tabs>
          <w:tab w:leader="none" w:pos="678"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and liabilities incurred by the Administrator in connection with the administration of the Plan shall be borne by the Company. The Administrator may, with the approval of the Committee, employ attorneys, consultants, accountants, appraisers, brokers or other persons. The Administrator, the Company and its officers and directors shall be entitled to rely upon the advice, opinions or valuations of any such persons. All actions taken and all interpretations and determinations made by the Administrator in good faith shall be final and binding upon all Participants, the Company and all other interested persons. No member of the Board or Administrator shall be personally liable for any action, determination or interpretation made in good faith with respect to the Plan or the options, and all members of the Board or Administrator shall be fully protected by the Company in respect to any such action, determination, or interpretation.</w:t>
      </w:r>
    </w:p>
    <w:p>
      <w:pPr>
        <w:spacing w:after="0" w:line="82" w:lineRule="exact"/>
        <w:rPr>
          <w:sz w:val="20"/>
          <w:szCs w:val="20"/>
          <w:color w:val="auto"/>
        </w:rPr>
      </w:pPr>
    </w:p>
    <w:p>
      <w:pPr>
        <w:ind w:right="380"/>
        <w:spacing w:after="0" w:line="257"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Designation of Subsidiary Corporations</w:t>
      </w:r>
      <w:r>
        <w:rPr>
          <w:rFonts w:ascii="Times New Roman" w:cs="Times New Roman" w:eastAsia="Times New Roman" w:hAnsi="Times New Roman"/>
          <w:sz w:val="18"/>
          <w:szCs w:val="18"/>
          <w:color w:val="auto"/>
        </w:rPr>
        <w:t>. The Board or Administrator shall designate from time to time the Subsidiaries that shall constitute Designated Subsidiaries, and determine whether such Designated Subsidiaries shall participate in the Section 423 Component or Non-Section 423 Component. The Board or Administrator may designate a Subsidiary, or terminate the designation of a Subsidiary, without the approval of the stockholders of the Company.</w:t>
      </w:r>
    </w:p>
    <w:p>
      <w:pPr>
        <w:spacing w:after="0" w:line="7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Individual accounts shall be maintained for each Participant in the Plan. Statements of Plan Accounts shall be made available to Participants at least annually, which statements shall set forth the amounts of payroll deductions, the Option Price, the number of shares purchased and the remaining cash balance, if any.</w:t>
      </w:r>
    </w:p>
    <w:p>
      <w:pPr>
        <w:spacing w:after="0" w:line="7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No Right to Employment</w:t>
      </w:r>
      <w:r>
        <w:rPr>
          <w:rFonts w:ascii="Times New Roman" w:cs="Times New Roman" w:eastAsia="Times New Roman" w:hAnsi="Times New Roman"/>
          <w:sz w:val="18"/>
          <w:szCs w:val="18"/>
          <w:color w:val="auto"/>
        </w:rPr>
        <w:t>. Nothing in the Plan shall be construed to give any person (including any Participant) the right to remain in the employ of the Company, a Parent or a Subsidiary or to affect the right of the Company, any Parent or any Subsidiary to terminate the employment of any person (including any Participant) at any time, with or without cause, which right is expressly reserved.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Amendment and Termination of the Plan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both"/>
        <w:ind w:right="180" w:firstLine="430"/>
        <w:spacing w:after="0" w:line="257" w:lineRule="auto"/>
        <w:tabs>
          <w:tab w:leader="none" w:pos="678"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in its sole discretion, amend, suspend or terminate the Plan at any time and from time to time. To the extent necessary to comply with Section 423 of the Code (or any successor rule or provision), with respect to the Section 423 Component, or any other applicable law, regulation or stock exchange rule, the Company shall obtain stockholder approval of any such amendment to the Plan in such a manner and to such a degree as required by Section 423 of the Code or such other law, regulation or rule.</w:t>
      </w:r>
    </w:p>
    <w:p>
      <w:pPr>
        <w:spacing w:after="0" w:line="1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80"/>
          </w:cols>
          <w:pgMar w:left="500" w:top="268" w:right="619" w:bottom="1440" w:gutter="0" w:footer="0" w:header="0"/>
        </w:sectPr>
      </w:pPr>
    </w:p>
    <w:bookmarkStart w:id="522" w:name="page523"/>
    <w:bookmarkEnd w:id="522"/>
    <w:p>
      <w:pPr>
        <w:ind w:right="140" w:firstLine="430"/>
        <w:spacing w:after="0" w:line="262" w:lineRule="auto"/>
        <w:tabs>
          <w:tab w:leader="none" w:pos="688"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4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If the Administrator determines that the ongoing operation of the Plan may result in unfavorable financial accounting consequences, the Administrator may, to the extent permitted under Section 423 of the Code, for the Section 423 Component, in its discretion and, to the extent necessary or desirable, modify or amend the Plan to reduce or eliminate such accounting consequence including, but not limited to:</w:t>
      </w:r>
    </w:p>
    <w:p>
      <w:pPr>
        <w:spacing w:after="0" w:line="70" w:lineRule="exact"/>
        <w:rPr>
          <w:rFonts w:ascii="Times New Roman" w:cs="Times New Roman" w:eastAsia="Times New Roman" w:hAnsi="Times New Roman"/>
          <w:sz w:val="18"/>
          <w:szCs w:val="18"/>
          <w:color w:val="auto"/>
        </w:rPr>
      </w:pPr>
    </w:p>
    <w:p>
      <w:pPr>
        <w:ind w:left="1180" w:hanging="205"/>
        <w:spacing w:after="0"/>
        <w:tabs>
          <w:tab w:leader="none" w:pos="118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altering the Option Price for any Offering Period including an Offering Period underway at the time of the change in Option Price;</w:t>
      </w:r>
    </w:p>
    <w:p>
      <w:pPr>
        <w:spacing w:after="0" w:line="113" w:lineRule="exact"/>
        <w:rPr>
          <w:rFonts w:ascii="Times New Roman" w:cs="Times New Roman" w:eastAsia="Times New Roman" w:hAnsi="Times New Roman"/>
          <w:sz w:val="18"/>
          <w:szCs w:val="18"/>
          <w:color w:val="auto"/>
        </w:rPr>
      </w:pPr>
    </w:p>
    <w:p>
      <w:pPr>
        <w:ind w:right="100" w:firstLine="975"/>
        <w:spacing w:after="0" w:line="277" w:lineRule="auto"/>
        <w:tabs>
          <w:tab w:leader="none" w:pos="1243"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shortening any Offering Period so that the Offering Period ends on a new Exercise Date, including an Offering Period underway at the time of the Administrator action; and</w:t>
      </w:r>
    </w:p>
    <w:p>
      <w:pPr>
        <w:spacing w:after="0" w:line="56" w:lineRule="exact"/>
        <w:rPr>
          <w:rFonts w:ascii="Times New Roman" w:cs="Times New Roman" w:eastAsia="Times New Roman" w:hAnsi="Times New Roman"/>
          <w:sz w:val="18"/>
          <w:szCs w:val="18"/>
          <w:color w:val="auto"/>
        </w:rPr>
      </w:pPr>
    </w:p>
    <w:p>
      <w:pPr>
        <w:ind w:left="1280" w:hanging="305"/>
        <w:spacing w:after="0"/>
        <w:tabs>
          <w:tab w:leader="none" w:pos="128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shares of Common Stock.</w:t>
      </w:r>
    </w:p>
    <w:p>
      <w:pPr>
        <w:spacing w:after="0" w:line="11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Such modifications or amendments shall not require stockholder approval or the consent of any Participant.</w:t>
      </w:r>
    </w:p>
    <w:p>
      <w:pPr>
        <w:spacing w:after="0" w:line="114" w:lineRule="exact"/>
        <w:rPr>
          <w:sz w:val="20"/>
          <w:szCs w:val="20"/>
          <w:color w:val="auto"/>
        </w:rPr>
      </w:pPr>
    </w:p>
    <w:p>
      <w:pPr>
        <w:ind w:right="240" w:firstLine="430"/>
        <w:spacing w:after="0" w:line="277" w:lineRule="auto"/>
        <w:tabs>
          <w:tab w:leader="none" w:pos="678"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Plan, the balance in each Participant’s Plan Account shall be refunded as soon as practicable after such termination, without any interest thereon.</w:t>
      </w:r>
    </w:p>
    <w:p>
      <w:pPr>
        <w:spacing w:after="0" w:line="5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Use of Funds; No Interest Paid</w:t>
      </w:r>
      <w:r>
        <w:rPr>
          <w:rFonts w:ascii="Times New Roman" w:cs="Times New Roman" w:eastAsia="Times New Roman" w:hAnsi="Times New Roman"/>
          <w:sz w:val="18"/>
          <w:szCs w:val="18"/>
          <w:color w:val="auto"/>
        </w:rPr>
        <w:t>. All funds received by the Company by reason of purchase of shares of Common Stock under the Plan shall be included in the general funds of the Company free of any trust or other restriction and may be used for any corporate purpose, except for funds contributed under Offerings in which the local law of a non-U.S. jurisdiction requires that contributions to the Plan by Participants be segregated from the Company’s general corporate funds and/or deposited with an independent third party for Participants in non-U.S. jurisdictions. No interest shall be paid to any Participant or credited under the Plan, except as may be required by local law in a non-U.S. jurisdiction. If the segregation of funds and/or payment of interest on any Participant’s account is so required, such provisions shall apply to all Participants in the relevant Offering except to the extent otherwise permitted by U.S. Treasury Regulation Section 1.423-2(f). With respect to any Offering under the Non-Section 423 Component, the payment of interest shall apply as determined by the Administrator (but absent any such determination, no interest shall apply).</w:t>
      </w:r>
    </w:p>
    <w:p>
      <w:pPr>
        <w:spacing w:after="0" w:line="7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Term; Approval by Stockholders</w:t>
      </w:r>
      <w:r>
        <w:rPr>
          <w:rFonts w:ascii="Times New Roman" w:cs="Times New Roman" w:eastAsia="Times New Roman" w:hAnsi="Times New Roman"/>
          <w:sz w:val="18"/>
          <w:szCs w:val="18"/>
          <w:color w:val="auto"/>
        </w:rPr>
        <w:t xml:space="preserve">. No Option may be granted during any period of suspension of the Plan or after termination of the Plan. The Plan shall be submitted for the approval of the Company’s stockholders within 12 months after the date of the Board’s initial adoption of the Plan. Options may be granted prior to such stockholder approval;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Options shall not be exercisable prior to the time when the Plan is approved by the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such approval has not been obtained by the end of the 12-month period, all Options previously granted under the Plan shall thereupon terminate and be canceled and become null and void without being exercised.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0"/>
          </w:cols>
          <w:pgMar w:left="500" w:top="267" w:right="499" w:bottom="1440" w:gutter="0" w:footer="0" w:header="0"/>
        </w:sectPr>
      </w:pPr>
    </w:p>
    <w:bookmarkStart w:id="523" w:name="page524"/>
    <w:bookmarkEnd w:id="523"/>
    <w:p>
      <w:pPr>
        <w:ind w:right="6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7.8 </w:t>
      </w:r>
      <w:r>
        <w:rPr>
          <w:rFonts w:ascii="Times New Roman" w:cs="Times New Roman" w:eastAsia="Times New Roman" w:hAnsi="Times New Roman"/>
          <w:sz w:val="17"/>
          <w:szCs w:val="17"/>
          <w:u w:val="single" w:color="auto"/>
          <w:color w:val="auto"/>
        </w:rPr>
        <w:t>Effect Upon Other Plans</w:t>
      </w:r>
      <w:r>
        <w:rPr>
          <w:rFonts w:ascii="Times New Roman" w:cs="Times New Roman" w:eastAsia="Times New Roman" w:hAnsi="Times New Roman"/>
          <w:sz w:val="17"/>
          <w:szCs w:val="17"/>
          <w:color w:val="auto"/>
        </w:rPr>
        <w:t>. The adoption of the Plan shall not affect any other compensation or incentive plans in effect for the Company, any Parent or any Subsidiary. Nothing in the Plan shall be construed to limit the right of the Company, any Parent or any Subsidiary (a) to establish any other forms of incentives or compensation for Employees of the Company or any Parent or any Subsidiary, or (b) to grant or assume Options otherwise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w:t>
      </w:r>
    </w:p>
    <w:p>
      <w:pPr>
        <w:spacing w:after="0" w:line="64" w:lineRule="exact"/>
        <w:rPr>
          <w:sz w:val="20"/>
          <w:szCs w:val="20"/>
          <w:color w:val="auto"/>
        </w:rPr>
      </w:pPr>
    </w:p>
    <w:p>
      <w:pPr>
        <w:jc w:val="both"/>
        <w:ind w:right="120"/>
        <w:spacing w:after="0" w:line="277" w:lineRule="auto"/>
        <w:rPr>
          <w:sz w:val="20"/>
          <w:szCs w:val="20"/>
          <w:color w:val="auto"/>
        </w:rPr>
      </w:pPr>
      <w:r>
        <w:rPr>
          <w:rFonts w:ascii="Times New Roman" w:cs="Times New Roman" w:eastAsia="Times New Roman" w:hAnsi="Times New Roman"/>
          <w:sz w:val="17"/>
          <w:szCs w:val="17"/>
          <w:color w:val="auto"/>
        </w:rPr>
        <w:t xml:space="preserve">7.9 </w:t>
      </w:r>
      <w:r>
        <w:rPr>
          <w:rFonts w:ascii="Times New Roman" w:cs="Times New Roman" w:eastAsia="Times New Roman" w:hAnsi="Times New Roman"/>
          <w:sz w:val="17"/>
          <w:szCs w:val="17"/>
          <w:u w:val="single" w:color="auto"/>
          <w:color w:val="auto"/>
        </w:rPr>
        <w:t>Conformity to Securities Laws</w:t>
      </w:r>
      <w:r>
        <w:rPr>
          <w:rFonts w:ascii="Times New Roman" w:cs="Times New Roman" w:eastAsia="Times New Roman" w:hAnsi="Times New Roman"/>
          <w:sz w:val="17"/>
          <w:szCs w:val="17"/>
          <w:color w:val="auto"/>
        </w:rPr>
        <w:t>. Notwithstanding any other provision of the Plan, the Plan and the participation in the Plan by any individual who is then subject to Section 16 of the Exchange Act shall be subject to any additional limitations set forth in any applicable exemption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w:t>
      </w:r>
    </w:p>
    <w:p>
      <w:pPr>
        <w:spacing w:after="0" w:line="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Notice of Disposition of Shares</w:t>
      </w:r>
      <w:r>
        <w:rPr>
          <w:rFonts w:ascii="Times New Roman" w:cs="Times New Roman" w:eastAsia="Times New Roman" w:hAnsi="Times New Roman"/>
          <w:sz w:val="18"/>
          <w:szCs w:val="18"/>
          <w:color w:val="auto"/>
        </w:rPr>
        <w:t>. Each Participant in the Section 423 Component shall give the Company prompt notice of any disposition or other transfer of any shares of Common Stock, acquired pursuant to the exercise of an Option granted under the Section 423 Component, if such disposition or transfer is made (a) within two years after the applicable Grant Date or (b) within one year after the transfer of such shares of Common Stock to such Participant upon exercise of such Option. The Company may direct that any certificates evidencing shares acquired pursuant to the Plan refer to such requirement.</w:t>
      </w:r>
    </w:p>
    <w:p>
      <w:pPr>
        <w:spacing w:after="0" w:line="7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Company or any Parent or any Subsidiary shall be entitled to withhold any federal, state or local tax or other amounts required to be withheld by applicable law with respect to participation in the Plan by (a) withholding from wages or other cash compensation payable to each Participant, (b) withholding from the proceeds of the sale of shares of Common Stock purchased under the Plan, either through a Participant’s voluntary sale or through a mandatory sale arranged by the Company, (c) withholding shares of Common Stock otherwise issuable upon exercise of an Option under the Plan or (d) withholding by any other method determined by the Company and compliant with applicable law. If any withholding obligation described in the foregoing sentence will be satisfied under clause (b) thereof, each Participant’s enrollment in the Plan will constitute the Participant’s authorization to the Company and instruction and authorization to the Agent selected to effect the sale to complete the transactions described in clause (b).</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500" w:top="268" w:right="499" w:bottom="1440" w:gutter="0" w:footer="0" w:header="0"/>
        </w:sectPr>
      </w:pPr>
    </w:p>
    <w:bookmarkStart w:id="524" w:name="page525"/>
    <w:bookmarkEnd w:id="524"/>
    <w:p>
      <w:pPr>
        <w:ind w:right="360"/>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50">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7.12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all rights and obligations thereunder shall be construed and enforced in accordance with the laws of the State of Delaware, without regard to the conflict of law rules thereof or of any other jurisdiction.</w:t>
      </w:r>
    </w:p>
    <w:p>
      <w:pPr>
        <w:spacing w:after="0" w:line="57" w:lineRule="exact"/>
        <w:rPr>
          <w:sz w:val="20"/>
          <w:szCs w:val="20"/>
          <w:color w:val="auto"/>
        </w:rPr>
      </w:pPr>
    </w:p>
    <w:p>
      <w:pPr>
        <w:ind w:right="140"/>
        <w:spacing w:after="0" w:line="308" w:lineRule="auto"/>
        <w:rPr>
          <w:sz w:val="20"/>
          <w:szCs w:val="20"/>
          <w:color w:val="auto"/>
        </w:rPr>
      </w:pPr>
      <w:r>
        <w:rPr>
          <w:rFonts w:ascii="Times New Roman" w:cs="Times New Roman" w:eastAsia="Times New Roman" w:hAnsi="Times New Roman"/>
          <w:sz w:val="17"/>
          <w:szCs w:val="17"/>
          <w:color w:val="auto"/>
        </w:rPr>
        <w:t xml:space="preserve">7.13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Conditions To Issuance of Shares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430"/>
        <w:spacing w:after="0" w:line="252" w:lineRule="auto"/>
        <w:tabs>
          <w:tab w:leader="none" w:pos="678"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Company shall not be required to issue or deliver any certificates or make any book entries evidencing shares of Common Stock pursuant to the exercise of an Option by a Participant, unless and until the Board or the Committee has determined, with advice of counsel, that the issuance of such shares of Common Stock is in compliance with all applicable laws, regulations of governmental authorities and, if applicable, the requirements of any securities exchange or automated quotation system on which the shares of Common Stock are listed or traded, and the shares of Common Stock are covered by an effective registration statement or applicable exemption from registration. In addition to the terms and conditions provided herein, the Board or the Committee may require that a Participant make such reasonable covenants, agreements, and representations as the Board or the Committee, in its discretion, deems advisable in order to comply with any such laws, regulations, or requirements.</w:t>
      </w:r>
    </w:p>
    <w:p>
      <w:pPr>
        <w:spacing w:after="0" w:line="78" w:lineRule="exact"/>
        <w:rPr>
          <w:rFonts w:ascii="Times New Roman" w:cs="Times New Roman" w:eastAsia="Times New Roman" w:hAnsi="Times New Roman"/>
          <w:sz w:val="18"/>
          <w:szCs w:val="18"/>
          <w:color w:val="auto"/>
        </w:rPr>
      </w:pPr>
    </w:p>
    <w:p>
      <w:pPr>
        <w:ind w:right="40" w:firstLine="430"/>
        <w:spacing w:after="0" w:line="255" w:lineRule="auto"/>
        <w:tabs>
          <w:tab w:leader="none" w:pos="688"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certificates for shares of Common Stock delivered pursuant to the Plan and all shares of Common Stock issued pursuant to book entry procedures are subject to any stop-transfer orders and other restrictions as the Committee deems necessary or advisable to comply with federal, state, or foreign securities or other laws, rules and regulations and the rules of any securities exchange or automated quotation system on which the shares of Common Stock are listed, quoted, or traded. The Committee may place legends on any certificate or book entry evidencing shares of Common Stock to reference restrictions applicable to the shares of Common Stock.</w:t>
      </w:r>
    </w:p>
    <w:p>
      <w:pPr>
        <w:spacing w:after="0" w:line="75" w:lineRule="exact"/>
        <w:rPr>
          <w:rFonts w:ascii="Times New Roman" w:cs="Times New Roman" w:eastAsia="Times New Roman" w:hAnsi="Times New Roman"/>
          <w:sz w:val="18"/>
          <w:szCs w:val="18"/>
          <w:color w:val="auto"/>
        </w:rPr>
      </w:pPr>
    </w:p>
    <w:p>
      <w:pPr>
        <w:ind w:right="260" w:firstLine="430"/>
        <w:spacing w:after="0" w:line="308" w:lineRule="auto"/>
        <w:tabs>
          <w:tab w:leader="none" w:pos="678"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shall have the right to require any Participant to comply with any timing or other restrictions with respect to the settlement, distribution or exercise of any Option, including a window-period limitation, as may be imposed in the sole discretion of the Committee.</w:t>
      </w:r>
    </w:p>
    <w:p>
      <w:pPr>
        <w:spacing w:after="0" w:line="32" w:lineRule="exact"/>
        <w:rPr>
          <w:rFonts w:ascii="Times New Roman" w:cs="Times New Roman" w:eastAsia="Times New Roman" w:hAnsi="Times New Roman"/>
          <w:sz w:val="17"/>
          <w:szCs w:val="17"/>
          <w:color w:val="auto"/>
        </w:rPr>
      </w:pPr>
    </w:p>
    <w:p>
      <w:pPr>
        <w:jc w:val="both"/>
        <w:ind w:right="160" w:firstLine="430"/>
        <w:spacing w:after="0" w:line="285" w:lineRule="auto"/>
        <w:tabs>
          <w:tab w:leader="none" w:pos="688"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the Plan, unless otherwise determined by the Committee or required by any applicable law, rule or regulation, the Company may, in lieu of delivering to any Participant certificates evidencing shares of Common Stock issued in connection with any Option, record the issuance of shares of Common Stock in the books of the Company (or, as applicable, its transfer agent or stock plan administrator).</w:t>
      </w:r>
    </w:p>
    <w:p>
      <w:pPr>
        <w:spacing w:after="0" w:line="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40"/>
          </w:cols>
          <w:pgMar w:left="500" w:top="267" w:right="559" w:bottom="1440" w:gutter="0" w:footer="0" w:header="0"/>
        </w:sectPr>
      </w:pPr>
    </w:p>
    <w:bookmarkStart w:id="525" w:name="page526"/>
    <w:bookmarkEnd w:id="525"/>
    <w:p>
      <w:pPr>
        <w:ind w:right="1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51">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7.15 </w:t>
      </w:r>
      <w:r>
        <w:rPr>
          <w:rFonts w:ascii="Times New Roman" w:cs="Times New Roman" w:eastAsia="Times New Roman" w:hAnsi="Times New Roman"/>
          <w:sz w:val="18"/>
          <w:szCs w:val="18"/>
          <w:u w:val="single" w:color="auto"/>
          <w:color w:val="auto"/>
        </w:rPr>
        <w:t>Equal Rights and Privileges</w:t>
      </w:r>
      <w:r>
        <w:rPr>
          <w:rFonts w:ascii="Times New Roman" w:cs="Times New Roman" w:eastAsia="Times New Roman" w:hAnsi="Times New Roman"/>
          <w:sz w:val="18"/>
          <w:szCs w:val="18"/>
          <w:color w:val="auto"/>
        </w:rPr>
        <w:t>. All Eligible Employees of the Company (or of any Designated Subsidiary) granted Options pursuant to an Offering under the Section 423 Component shall have equal rights and privileges under this Plan to the extent required under Section 423 of the Code so that the Section 423 Component qualifies as an “employee stock purchase plan” within the meaning of Section 423 of the Code. Any provision of the Section 423 Component that is inconsistent with Section 423 of the Code shall, without further act or amendment by the Company or the Board, be reformed to comply with the equal rights and privileges requirement of Section 423 of the Code. Eligible Employees participating in the Non-Section 423 Component need not have the same rights and privileges as Eligible Employees participating in the Section 423 Component.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7.16 </w:t>
      </w:r>
      <w:r>
        <w:rPr>
          <w:rFonts w:ascii="Times New Roman" w:cs="Times New Roman" w:eastAsia="Times New Roman" w:hAnsi="Times New Roman"/>
          <w:sz w:val="18"/>
          <w:szCs w:val="18"/>
          <w:u w:val="single" w:color="auto"/>
          <w:color w:val="auto"/>
        </w:rPr>
        <w:t>Rules Particular to Specific Countries</w:t>
      </w:r>
      <w:r>
        <w:rPr>
          <w:rFonts w:ascii="Times New Roman" w:cs="Times New Roman" w:eastAsia="Times New Roman" w:hAnsi="Times New Roman"/>
          <w:sz w:val="18"/>
          <w:szCs w:val="18"/>
          <w:color w:val="auto"/>
        </w:rPr>
        <w:t>. Notwithstanding anything herein to the contrary, the terms and conditions of the Plan with respect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Participants who are tax residents of a particular non-U.S. country or who are foreign nationals or employed in non-U.S. jurisdictions may be subject to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addendum to the Plan in the form of an appendix or sub-plan (which appendix or sub-plan may be designed to govern Offerings under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423 Component or the Non-Section 423 Component, as determined by the Administrator). To the extent that the terms and conditions set forth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 appendix or sub-plan conflict with any provisions of the Plan, the provisions of the appendix or sub-plan shall govern. The adoption of any such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appendix or sub-plan shall be pursuant to Section 7.1 above. Without limiting the foregoing, the Administrator is specifically authorized to adopt rules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procedures, with respect to Participants who are foreign nationals or employed in non-U.S. jurisdictions, regarding the exclusion of particular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from participation in the Plan, eligibility to participate, the definition of Compensation, handling of payroll deductions or other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contributions by Participants, payment of interest, conversion of local currency, data privacy security, payroll tax, withholding procedures, establishment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bank or trust accounts to hold payroll deductions or contributions. Without limiting the generality of the foregoing, the Administrator is specifically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to adopt rules and procedures regarding the exclusion of particular Subsidiaries from participation in the Plan, eligibility to participate,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definition of Compensation, handling of payroll deductions or other contributions by Participants, payment of interest, conversion of local currency, data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privacy security, payroll tax, withholding procedures, establishment of bank or trust accounts to hold payroll deductions or contributions, determination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beneficiary designation requirements, and handling of stock certificates, in each case, in accordance with the requirements of Section 423 of the Code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respect to the Section 423 Component. The Administrator also is authorized to determine that, to the extent permitted by U.S. Treasury Regulation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1.423-2(f), the terms of an Option granted under the Plan or an Offering to citizens or residents of a non-U.S. jurisdiction will be less favorable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 the terms of Options granted under the Plan or the same Offering to Employees resident solely in the U.S. To the extent any sub-plan or appendix 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changes approved by the Administrator are inconsistent with the requirements of Section 423 of the Code or would jeopardize the tax-qualified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status of the Section 423 Component, the change shall cause the Designated Subsidiaries affected thereby to be considered Designated Subsidiaries in 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separate Offering under the Non-Section 423 Component instead of the Section 423 Component. To the extent any Employee of a Designated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00"/>
          </w:cols>
          <w:pgMar w:left="500" w:top="267" w:right="499" w:bottom="1440" w:gutter="0" w:footer="0" w:header="0"/>
        </w:sectPr>
      </w:pPr>
    </w:p>
    <w:bookmarkStart w:id="526" w:name="page527"/>
    <w:bookmarkEnd w:id="526"/>
    <w:p>
      <w:pPr>
        <w:ind w:right="38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Subsidiary in the Section 423 Component is a citizen or resident of a foreign jurisdiction (without regard to whether they are also a U.S. citizen or a resident alien (within the meaning of Section 7701(b)(1)(A) of the Code)) and compliance with the laws of the foreign jurisdiction would cause the Section 423 Component, any Offering or the option to violate the requirements of Section 423 of the Code, such Employee shall be considered a Participant in a separate Offering under the Non-Section 423 Component.</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7.17 Notwithstanding any other provisions of the Plan to the contrary, in non-U.S. jurisdictions where participation in the Plan through payroll deductions is prohibited, the Administrator may provide that an Eligible Employee may elect to participate through contributions to his or her account under the Plan in a form acceptable to the Administrator in lieu of or in addition to payroll deductions; provided, however, that, for any Offering under the Section 423 Component, the Administrator must determine that any alternative method of contribution is applied on an equal and uniform basis to all Eligible Employees in the Offering.</w:t>
      </w:r>
    </w:p>
    <w:p>
      <w:pPr>
        <w:spacing w:after="0" w:line="7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7.18 </w:t>
      </w:r>
      <w:r>
        <w:rPr>
          <w:rFonts w:ascii="Times New Roman" w:cs="Times New Roman" w:eastAsia="Times New Roman" w:hAnsi="Times New Roman"/>
          <w:sz w:val="18"/>
          <w:szCs w:val="18"/>
          <w:u w:val="single" w:color="auto"/>
          <w:color w:val="auto"/>
        </w:rPr>
        <w:t>Transfer of Employment</w:t>
      </w:r>
      <w:r>
        <w:rPr>
          <w:rFonts w:ascii="Times New Roman" w:cs="Times New Roman" w:eastAsia="Times New Roman" w:hAnsi="Times New Roman"/>
          <w:sz w:val="18"/>
          <w:szCs w:val="18"/>
          <w:color w:val="auto"/>
        </w:rPr>
        <w:t>. A transfer of employment from one Designated Subsidiary to another shall not be treated as a termination of employment. If a Participant transfers employment from the Company or any Designated Subsidiary participating in the Section 423 Component to a Designated Subsidiary participating in the Non-Section 423 Component, he or she shall immediately cease to participate in the Section 423 Component; however, any payroll deductions made for the Offering Period in which such transfer occurs shall be transferred to the Non-Section 423 Component, and such Participant shall immediately join the then current Offering under the Non-Section 423 Component upon the same terms and conditions in effect for his or her participation in the Section 423 Component, except for such modifications otherwise applicable for Participants in such Offering. A Participant who transfers employment from a Designated Subsidiary participating in the Non-Section 423 Component to the Company or any Designated Subsidiary participating in the Section 423 Component shall remain a Participant in the Non-Section 423 Component until the earlier of (i) the end of the current Offering Period under the Non-Section 423 Component, or (ii) the Enrollment Date of the first Offering Period in which he or she is eligible to participate following such transfer. Notwithstanding the foregoing, the Administrator may establish different rules to govern transfers of employment between companies participating in the Section 423 Component and the Non-Section 423 Component, consistent with the applicable requirements of Section 423 of the Code.</w:t>
      </w:r>
    </w:p>
    <w:p>
      <w:pPr>
        <w:spacing w:after="0" w:line="8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7.19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Section 423 Component of the Plan and the Options granted pursuant to Offerings thereunder are intended to be exempt from the application of Section 409A. Neither the Non-Section 423 Component nor any Option granted pursuant to an Offering thereunder is intended to constitute or provide for “nonqualified deferred compensation” within the meaning of Section 409A. Notwithstanding any provision of the Plan to the contrary, if the Administrator determines that any Option granted under the Plan may be or become subject to Section 409A or that any provision of the Plan may cause an Option granted under the Plan to be or become subject to Section 409A, the Administrator may adopt such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00"/>
          </w:cols>
          <w:pgMar w:left="500" w:top="268" w:right="499" w:bottom="1440" w:gutter="0" w:footer="0" w:header="0"/>
        </w:sectPr>
      </w:pPr>
    </w:p>
    <w:bookmarkStart w:id="527" w:name="page528"/>
    <w:bookmarkEnd w:id="527"/>
    <w:p>
      <w:pPr>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amendments to the Plan and/or adopt other policies and procedures (including amendments, policies and procedures with retroactive effect), or take any other actions as the Administrator determines are necessary or appropriate to avoid the imposition of taxes under Section 409A, either through compliance with the requirements of Section 409A or with an available exemption therefrom.</w:t>
      </w:r>
    </w:p>
    <w:p>
      <w:pPr>
        <w:spacing w:after="0" w:line="1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 * * * *</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820"/>
          </w:cols>
          <w:pgMar w:left="500" w:top="268" w:right="579" w:bottom="1440" w:gutter="0" w:footer="0" w:header="0"/>
        </w:sectPr>
      </w:pPr>
    </w:p>
    <w:bookmarkStart w:id="528" w:name="page529"/>
    <w:bookmarkEnd w:id="528"/>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170815</wp:posOffset>
            </wp:positionV>
            <wp:extent cx="1026160" cy="77216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54">
                      <a:extLst>
                        <a:ext uri="{28A0092B-C50C-407E-A947-70E740481C1C}"/>
                      </a:extLst>
                    </a:blip>
                    <a:srcRect/>
                    <a:stretch>
                      <a:fillRect/>
                    </a:stretch>
                  </pic:blipFill>
                  <pic:spPr bwMode="auto">
                    <a:xfrm>
                      <a:off x="0" y="0"/>
                      <a:ext cx="1026160" cy="772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114"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auto"/>
        </w:rPr>
        <w:t>We have read the statements made by Omada Health, Inc. pursuant to Item 304(a)(1) of Regulation S-K (copy attached), which we understand will be filed with the Securities and Exchange Commission as part of the Registration Statement on Form S-1 of Omada Health, Inc. dated May 29, 2025. We agree with the statements concerning our Firm contained therein.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w:t>
      </w:r>
    </w:p>
    <w:p>
      <w:pPr>
        <w:spacing w:after="0" w:line="220" w:lineRule="exact"/>
        <w:rPr>
          <w:sz w:val="20"/>
          <w:szCs w:val="20"/>
          <w:color w:val="auto"/>
        </w:rPr>
      </w:pPr>
    </w:p>
    <w:p>
      <w:pPr>
        <w:ind w:right="4100"/>
        <w:spacing w:after="0" w:line="277" w:lineRule="auto"/>
        <w:rPr>
          <w:sz w:val="20"/>
          <w:szCs w:val="20"/>
          <w:color w:val="auto"/>
        </w:rPr>
      </w:pPr>
      <w:r>
        <w:rPr>
          <w:rFonts w:ascii="Times New Roman" w:cs="Times New Roman" w:eastAsia="Times New Roman" w:hAnsi="Times New Roman"/>
          <w:sz w:val="18"/>
          <w:szCs w:val="18"/>
          <w:color w:val="auto"/>
        </w:rPr>
        <w:t>PricewaterhouseCoopers LLP, 488 Almaden Boulevard, Suite 1800, San Jose, California 95110 T: (408) 817 3700, www.pwc.com/us</w:t>
      </w:r>
    </w:p>
    <w:p>
      <w:pPr>
        <w:sectPr>
          <w:pgSz w:w="11900" w:h="16838" w:orient="portrait"/>
          <w:cols w:equalWidth="0" w:num="1">
            <w:col w:w="10900"/>
          </w:cols>
          <w:pgMar w:left="500" w:top="117" w:right="499" w:bottom="1440" w:gutter="0" w:footer="0" w:header="0"/>
        </w:sectPr>
      </w:pPr>
    </w:p>
    <w:bookmarkStart w:id="529" w:name="page530"/>
    <w:bookmarkEnd w:id="52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5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CHANGE IN INDEPENDENT REGISTERED PUBLIC ACCOUNTING FIRM</w:t>
      </w:r>
    </w:p>
    <w:p>
      <w:pPr>
        <w:spacing w:after="0" w:line="224" w:lineRule="exact"/>
        <w:rPr>
          <w:sz w:val="20"/>
          <w:szCs w:val="20"/>
          <w:color w:val="auto"/>
        </w:rPr>
      </w:pPr>
    </w:p>
    <w:p>
      <w:pPr>
        <w:ind w:right="20" w:firstLine="981"/>
        <w:spacing w:after="0" w:line="257" w:lineRule="auto"/>
        <w:rPr>
          <w:sz w:val="20"/>
          <w:szCs w:val="20"/>
          <w:color w:val="auto"/>
        </w:rPr>
      </w:pPr>
      <w:r>
        <w:rPr>
          <w:rFonts w:ascii="Times New Roman" w:cs="Times New Roman" w:eastAsia="Times New Roman" w:hAnsi="Times New Roman"/>
          <w:sz w:val="18"/>
          <w:szCs w:val="18"/>
          <w:color w:val="auto"/>
        </w:rPr>
        <w:t>On January 25, 2024, PricewaterhouseCoopers LLP (“PwC”) resigned as our independent auditor because PwC was not independent under the applicable rules of the U.S. Securities and Exchange Commission (the “SEC”). On February 9, 2024, the Audit Committee approved the engagement of Deloitte &amp; Touche LLP (“Deloitte”) as our independent registered public accounting firm to audit our consolidated financial statements as of and for the years ended December 31, 2022 and 2023 under the standards of the Public Company Accounting Oversight Board.</w:t>
      </w:r>
    </w:p>
    <w:p>
      <w:pPr>
        <w:spacing w:after="0" w:line="182" w:lineRule="exact"/>
        <w:rPr>
          <w:sz w:val="20"/>
          <w:szCs w:val="20"/>
          <w:color w:val="auto"/>
        </w:rPr>
      </w:pPr>
    </w:p>
    <w:p>
      <w:pPr>
        <w:jc w:val="both"/>
        <w:ind w:right="160" w:firstLine="981"/>
        <w:spacing w:after="0" w:line="262" w:lineRule="auto"/>
        <w:rPr>
          <w:sz w:val="20"/>
          <w:szCs w:val="20"/>
          <w:color w:val="auto"/>
        </w:rPr>
      </w:pPr>
      <w:r>
        <w:rPr>
          <w:rFonts w:ascii="Times New Roman" w:cs="Times New Roman" w:eastAsia="Times New Roman" w:hAnsi="Times New Roman"/>
          <w:sz w:val="18"/>
          <w:szCs w:val="18"/>
          <w:color w:val="auto"/>
        </w:rPr>
        <w:t>The report of PwC on our consolidated financial statements as of and for the year ended December 31, 2022 did not contain any adverse opinion or disclaimer of opinion, nor was such report qualified or modified as to uncertainty, audit scope, or accounting principles. PwC resigned prior to completing its audit of the consolidated financial statements for the year ended December 31, 2023.</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During the years ended December 31, 2022 and 2023 and the subsequent interim period through January 25, 2024, there were:</w:t>
      </w:r>
    </w:p>
    <w:p>
      <w:pPr>
        <w:spacing w:after="0" w:line="114" w:lineRule="exact"/>
        <w:rPr>
          <w:sz w:val="20"/>
          <w:szCs w:val="20"/>
          <w:color w:val="auto"/>
        </w:rPr>
      </w:pPr>
    </w:p>
    <w:p>
      <w:pPr>
        <w:ind w:left="980" w:hanging="5"/>
        <w:spacing w:after="0" w:line="257" w:lineRule="auto"/>
        <w:tabs>
          <w:tab w:leader="none" w:pos="1087"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“disagreements” (as such term is defined in Item 304(a)(1)(iv) of Regulation S-K and the related instructions thereto) with PwC on any matter of accounting principles or practices, financial statement disclosure, or auditing scope or procedure, which disagreement, if not resolved to the satisfaction of PwC, would have caused it to make reference to the subject matter of the disagreement in connection with its report on our consolidated financial statements, and</w:t>
      </w:r>
    </w:p>
    <w:p>
      <w:pPr>
        <w:spacing w:after="0" w:line="75" w:lineRule="exact"/>
        <w:rPr>
          <w:rFonts w:ascii="Times New Roman" w:cs="Times New Roman" w:eastAsia="Times New Roman" w:hAnsi="Times New Roman"/>
          <w:sz w:val="18"/>
          <w:szCs w:val="18"/>
          <w:color w:val="auto"/>
        </w:rPr>
      </w:pPr>
    </w:p>
    <w:p>
      <w:pPr>
        <w:ind w:left="1080" w:hanging="105"/>
        <w:spacing w:after="0"/>
        <w:tabs>
          <w:tab w:leader="none" w:pos="10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“reportable events” (as such term is defined in Item 304(a)(1)(v) of Regulation S-K and the related instructions thereto).</w:t>
      </w:r>
    </w:p>
    <w:p>
      <w:pPr>
        <w:spacing w:after="0" w:line="220" w:lineRule="exact"/>
        <w:rPr>
          <w:sz w:val="20"/>
          <w:szCs w:val="20"/>
          <w:color w:val="auto"/>
        </w:rPr>
      </w:pPr>
    </w:p>
    <w:p>
      <w:pPr>
        <w:ind w:right="200" w:firstLine="981"/>
        <w:spacing w:after="0" w:line="308" w:lineRule="auto"/>
        <w:rPr>
          <w:sz w:val="20"/>
          <w:szCs w:val="20"/>
          <w:color w:val="auto"/>
        </w:rPr>
      </w:pPr>
      <w:r>
        <w:rPr>
          <w:rFonts w:ascii="Times New Roman" w:cs="Times New Roman" w:eastAsia="Times New Roman" w:hAnsi="Times New Roman"/>
          <w:sz w:val="17"/>
          <w:szCs w:val="17"/>
          <w:color w:val="auto"/>
        </w:rPr>
        <w:t>We have provided a copy of this disclosure to PwC and requested that they furnish a letter addressed to the SEC stating whether or not it agrees with the statements made herein. A copy of the letter will be filed as an exhibit to the registration statement of which this prospectus is a part.</w:t>
      </w:r>
    </w:p>
    <w:p>
      <w:pPr>
        <w:spacing w:after="0" w:line="139" w:lineRule="exact"/>
        <w:rPr>
          <w:sz w:val="20"/>
          <w:szCs w:val="20"/>
          <w:color w:val="auto"/>
        </w:rPr>
      </w:pPr>
    </w:p>
    <w:p>
      <w:pPr>
        <w:ind w:right="120" w:firstLine="981"/>
        <w:spacing w:after="0" w:line="253" w:lineRule="auto"/>
        <w:rPr>
          <w:sz w:val="20"/>
          <w:szCs w:val="20"/>
          <w:color w:val="auto"/>
        </w:rPr>
      </w:pPr>
      <w:r>
        <w:rPr>
          <w:rFonts w:ascii="Times New Roman" w:cs="Times New Roman" w:eastAsia="Times New Roman" w:hAnsi="Times New Roman"/>
          <w:sz w:val="18"/>
          <w:szCs w:val="18"/>
          <w:color w:val="auto"/>
        </w:rPr>
        <w:t>During the years ended December 31, 2022 and 2023 and the subsequent interim period through February 9, 2024, when we engaged Deloitte, we did not consult with Deloitte with respect to: (i) the application of accounting principles to a specified transaction, either completed or proposed, or the type of audit opinion that might be rendered on the consolidated financial statements, and no written report or oral advice of Deloitte was provided that was an important factor considered by us in reaching a decision as to the accounting, auditing, or financial reporting issue; or (ii) any matter that was either the subject of a “disagreement” (as defined in Item 304(a)(1)(iv) of Regulation S-K and the related instructions thereto) or any “reportable event” (as defined in Item 304(a)(1)(v) of Regulation S-K and the related instructions thereto).</w:t>
      </w:r>
    </w:p>
    <w:p>
      <w:pPr>
        <w:sectPr>
          <w:pgSz w:w="11900" w:h="16838" w:orient="portrait"/>
          <w:cols w:equalWidth="0" w:num="1">
            <w:col w:w="10900"/>
          </w:cols>
          <w:pgMar w:left="500" w:top="263" w:right="499" w:bottom="1440" w:gutter="0" w:footer="0" w:header="0"/>
        </w:sectPr>
      </w:pPr>
    </w:p>
    <w:bookmarkStart w:id="530" w:name="page531"/>
    <w:bookmarkEnd w:id="53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We consent to the use in this Registration Statement No. 333-287156 on Form S-1 of our report dated March 14, 2025 (May 29, 2025, as to the effects of the reverse stock split described in Notes 2 and 17), relating to the financial statements of Omada Health, Inc. We also consent to the reference to us under the heading “Experts” in such Registration Statement.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2025</w:t>
      </w:r>
    </w:p>
    <w:p>
      <w:pPr>
        <w:sectPr>
          <w:pgSz w:w="11900" w:h="16838" w:orient="portrait"/>
          <w:cols w:equalWidth="0" w:num="1">
            <w:col w:w="10900"/>
          </w:cols>
          <w:pgMar w:left="500" w:top="117" w:right="499" w:bottom="1440" w:gutter="0" w:footer="0" w:header="0"/>
        </w:sectPr>
      </w:pPr>
    </w:p>
    <w:bookmarkStart w:id="531" w:name="page532"/>
    <w:bookmarkEnd w:id="531"/>
    <w:p>
      <w:pPr>
        <w:jc w:val="right"/>
        <w:spacing w:after="0"/>
        <w:rPr>
          <w:sz w:val="20"/>
          <w:szCs w:val="20"/>
          <w:color w:val="auto"/>
        </w:rPr>
      </w:pPr>
      <w:r>
        <w:rPr>
          <w:rFonts w:ascii="Times New Roman" w:cs="Times New Roman" w:eastAsia="Times New Roman" w:hAnsi="Times New Roman"/>
          <w:sz w:val="18"/>
          <w:szCs w:val="18"/>
          <w:b w:val="1"/>
          <w:bCs w:val="1"/>
          <w:color w:val="auto"/>
        </w:rPr>
        <w:t>Exhibit 107.1</w:t>
      </w:r>
    </w:p>
    <w:p>
      <w:pPr>
        <w:spacing w:after="0" w:line="2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(Form Type)</w:t>
      </w:r>
    </w:p>
    <w:p>
      <w:pPr>
        <w:spacing w:after="0" w:line="19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46" w:lineRule="exact"/>
        <w:rPr>
          <w:sz w:val="20"/>
          <w:szCs w:val="20"/>
          <w:color w:val="auto"/>
        </w:rPr>
      </w:pPr>
    </w:p>
    <w:tbl>
      <w:tblPr>
        <w:tblLayout w:type="fixed"/>
        <w:tblInd w:w="76" w:type="dxa"/>
        <w:tblCellMar>
          <w:top w:w="0" w:type="dxa"/>
          <w:left w:w="0" w:type="dxa"/>
          <w:bottom w:w="0" w:type="dxa"/>
          <w:right w:w="0" w:type="dxa"/>
        </w:tblCellMar>
      </w:tblPr>
      <w:tr>
        <w:trPr>
          <w:trHeight w:val="149"/>
        </w:trPr>
        <w:tc>
          <w:tcPr>
            <w:tcW w:w="1340" w:type="dxa"/>
            <w:vAlign w:val="bottom"/>
            <w:tcBorders>
              <w:top w:val="single" w:sz="8" w:color="auto"/>
              <w:left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250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Proposed</w:t>
            </w:r>
          </w:p>
        </w:tc>
        <w:tc>
          <w:tcPr>
            <w:tcW w:w="1180" w:type="dxa"/>
            <w:vAlign w:val="bottom"/>
            <w:tcBorders>
              <w:top w:val="single" w:sz="8" w:color="auto"/>
              <w:right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spacing w:after="0"/>
              <w:rPr>
                <w:sz w:val="12"/>
                <w:szCs w:val="12"/>
                <w:color w:val="auto"/>
              </w:rPr>
            </w:pPr>
          </w:p>
        </w:tc>
        <w:tc>
          <w:tcPr>
            <w:tcW w:w="11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340" w:type="dxa"/>
            <w:vAlign w:val="bottom"/>
            <w:tcBorders>
              <w:left w:val="single" w:sz="8" w:color="auto"/>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25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18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340" w:type="dxa"/>
            <w:vAlign w:val="bottom"/>
            <w:tcBorders>
              <w:left w:val="single" w:sz="8" w:color="auto"/>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25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18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340" w:type="dxa"/>
            <w:vAlign w:val="bottom"/>
            <w:tcBorders>
              <w:left w:val="single" w:sz="8" w:color="auto"/>
              <w:right w:val="single" w:sz="8" w:color="auto"/>
            </w:tcBorders>
          </w:tcPr>
          <w:p>
            <w:pPr>
              <w:spacing w:after="0"/>
              <w:rPr>
                <w:sz w:val="13"/>
                <w:szCs w:val="13"/>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250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Fee</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Price</w:t>
            </w:r>
          </w:p>
        </w:tc>
        <w:tc>
          <w:tcPr>
            <w:tcW w:w="118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06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ind w:left="200"/>
              <w:spacing w:after="0" w:line="158"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7"/>
        </w:trPr>
        <w:tc>
          <w:tcPr>
            <w:tcW w:w="1340" w:type="dxa"/>
            <w:vAlign w:val="bottom"/>
            <w:tcBorders>
              <w:left w:val="single" w:sz="8" w:color="auto"/>
              <w:right w:val="single" w:sz="8" w:color="auto"/>
            </w:tcBorders>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2500" w:type="dxa"/>
            <w:vAlign w:val="bottom"/>
            <w:tcBorders>
              <w:right w:val="single" w:sz="8" w:color="auto"/>
            </w:tcBorders>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8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96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5"/>
              </w:rPr>
              <w:t>Per</w:t>
            </w:r>
          </w:p>
        </w:tc>
        <w:tc>
          <w:tcPr>
            <w:tcW w:w="118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Fee Rate</w:t>
            </w:r>
          </w:p>
        </w:tc>
        <w:tc>
          <w:tcPr>
            <w:tcW w:w="112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95"/>
        </w:trPr>
        <w:tc>
          <w:tcPr>
            <w:tcW w:w="1340" w:type="dxa"/>
            <w:vAlign w:val="bottom"/>
            <w:tcBorders>
              <w:left w:val="single" w:sz="8" w:color="auto"/>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Type</w:t>
            </w:r>
          </w:p>
        </w:tc>
        <w:tc>
          <w:tcPr>
            <w:tcW w:w="2500" w:type="dxa"/>
            <w:vAlign w:val="bottom"/>
            <w:tcBorders>
              <w:bottom w:val="single" w:sz="8" w:color="auto"/>
              <w:right w:val="single" w:sz="8" w:color="auto"/>
            </w:tcBorders>
            <w:vMerge w:val="continue"/>
          </w:tcPr>
          <w:p>
            <w:pPr>
              <w:spacing w:after="0"/>
              <w:rPr>
                <w:sz w:val="16"/>
                <w:szCs w:val="16"/>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r>
              <w:rPr>
                <w:rFonts w:ascii="Times New Roman" w:cs="Times New Roman" w:eastAsia="Times New Roman" w:hAnsi="Times New Roman"/>
                <w:sz w:val="10"/>
                <w:szCs w:val="10"/>
                <w:b w:val="1"/>
                <w:bCs w:val="1"/>
                <w:color w:val="auto"/>
              </w:rPr>
              <w:t>(1)</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r>
              <w:rPr>
                <w:rFonts w:ascii="Times New Roman" w:cs="Times New Roman" w:eastAsia="Times New Roman" w:hAnsi="Times New Roman"/>
                <w:sz w:val="10"/>
                <w:szCs w:val="10"/>
                <w:b w:val="1"/>
                <w:bCs w:val="1"/>
                <w:color w:val="auto"/>
              </w:rPr>
              <w:t>(2)</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06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208"/>
        </w:trPr>
        <w:tc>
          <w:tcPr>
            <w:tcW w:w="13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Fees to be Paid</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Common stock, $0.001 par</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Rule 457(a)</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9,085,000</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$20.00</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$181,700,000</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$153.10 per</w:t>
            </w:r>
          </w:p>
        </w:tc>
        <w:tc>
          <w:tcPr>
            <w:tcW w:w="11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$27,818.27</w:t>
            </w:r>
          </w:p>
        </w:tc>
        <w:tc>
          <w:tcPr>
            <w:tcW w:w="0" w:type="dxa"/>
            <w:vAlign w:val="bottom"/>
          </w:tcPr>
          <w:p>
            <w:pPr>
              <w:spacing w:after="0"/>
              <w:rPr>
                <w:sz w:val="1"/>
                <w:szCs w:val="1"/>
                <w:color w:val="auto"/>
              </w:rPr>
            </w:pPr>
          </w:p>
        </w:tc>
      </w:tr>
      <w:tr>
        <w:trPr>
          <w:trHeight w:val="233"/>
        </w:trPr>
        <w:tc>
          <w:tcPr>
            <w:tcW w:w="1340" w:type="dxa"/>
            <w:vAlign w:val="bottom"/>
            <w:tcBorders>
              <w:left w:val="single" w:sz="8" w:color="auto"/>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value per share</w:t>
            </w:r>
          </w:p>
        </w:tc>
        <w:tc>
          <w:tcPr>
            <w:tcW w:w="108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$1,000,000</w:t>
            </w:r>
          </w:p>
        </w:tc>
        <w:tc>
          <w:tcPr>
            <w:tcW w:w="1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0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$181,700,000</w:t>
            </w:r>
          </w:p>
        </w:tc>
        <w:tc>
          <w:tcPr>
            <w:tcW w:w="10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98"/>
              <w:spacing w:after="0"/>
              <w:rPr>
                <w:sz w:val="20"/>
                <w:szCs w:val="20"/>
                <w:color w:val="auto"/>
              </w:rPr>
            </w:pPr>
            <w:r>
              <w:rPr>
                <w:rFonts w:ascii="Times New Roman" w:cs="Times New Roman" w:eastAsia="Times New Roman" w:hAnsi="Times New Roman"/>
                <w:sz w:val="18"/>
                <w:szCs w:val="18"/>
                <w:color w:val="auto"/>
              </w:rPr>
              <w:t>$27,818.27</w:t>
            </w:r>
          </w:p>
        </w:tc>
        <w:tc>
          <w:tcPr>
            <w:tcW w:w="0" w:type="dxa"/>
            <w:vAlign w:val="bottom"/>
          </w:tcPr>
          <w:p>
            <w:pPr>
              <w:spacing w:after="0"/>
              <w:rPr>
                <w:sz w:val="1"/>
                <w:szCs w:val="1"/>
                <w:color w:val="auto"/>
              </w:rPr>
            </w:pPr>
          </w:p>
        </w:tc>
      </w:tr>
      <w:tr>
        <w:trPr>
          <w:trHeight w:val="254"/>
        </w:trPr>
        <w:tc>
          <w:tcPr>
            <w:tcW w:w="13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2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1080" w:type="dxa"/>
            <w:vAlign w:val="bottom"/>
            <w:tcBorders>
              <w:bottom w:val="single" w:sz="8" w:color="auto"/>
              <w:right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spacing w:after="0"/>
              <w:rPr>
                <w:sz w:val="22"/>
                <w:szCs w:val="22"/>
                <w:color w:val="auto"/>
              </w:rPr>
            </w:pPr>
          </w:p>
        </w:tc>
        <w:tc>
          <w:tcPr>
            <w:tcW w:w="1180" w:type="dxa"/>
            <w:vAlign w:val="bottom"/>
            <w:tcBorders>
              <w:bottom w:val="single" w:sz="8" w:color="auto"/>
              <w:right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right"/>
              <w:spacing w:after="0" w:line="253" w:lineRule="exact"/>
              <w:rPr>
                <w:sz w:val="20"/>
                <w:szCs w:val="20"/>
                <w:color w:val="auto"/>
              </w:rPr>
            </w:pPr>
            <w:r>
              <w:rPr>
                <w:rFonts w:ascii="Times New Roman" w:cs="Times New Roman" w:eastAsia="Times New Roman" w:hAnsi="Times New Roman"/>
                <w:sz w:val="18"/>
                <w:szCs w:val="18"/>
                <w:color w:val="auto"/>
              </w:rPr>
              <w:t>$15,310.00</w:t>
            </w:r>
            <w:r>
              <w:rPr>
                <w:rFonts w:ascii="Times New Roman" w:cs="Times New Roman" w:eastAsia="Times New Roman" w:hAnsi="Times New Roman"/>
                <w:sz w:val="26"/>
                <w:szCs w:val="26"/>
                <w:color w:val="auto"/>
                <w:vertAlign w:val="superscript"/>
              </w:rPr>
              <w:t>(3)</w:t>
            </w:r>
          </w:p>
        </w:tc>
        <w:tc>
          <w:tcPr>
            <w:tcW w:w="0" w:type="dxa"/>
            <w:vAlign w:val="bottom"/>
          </w:tcPr>
          <w:p>
            <w:pPr>
              <w:spacing w:after="0"/>
              <w:rPr>
                <w:sz w:val="1"/>
                <w:szCs w:val="1"/>
                <w:color w:val="auto"/>
              </w:rPr>
            </w:pPr>
          </w:p>
        </w:tc>
      </w:tr>
      <w:tr>
        <w:trPr>
          <w:trHeight w:val="241"/>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0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7"/>
        </w:trPr>
        <w:tc>
          <w:tcPr>
            <w:tcW w:w="1340" w:type="dxa"/>
            <w:vAlign w:val="bottom"/>
            <w:tcBorders>
              <w:left w:val="single" w:sz="8" w:color="auto"/>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2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08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$12,508.27</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426" w:hanging="426"/>
        <w:spacing w:after="0"/>
        <w:tabs>
          <w:tab w:leader="none" w:pos="426"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1,185,000 shares that the underwriters have the option to purchase to cover over-allotments, if any.</w:t>
      </w:r>
    </w:p>
    <w:p>
      <w:pPr>
        <w:spacing w:after="0" w:line="25" w:lineRule="exact"/>
        <w:rPr>
          <w:rFonts w:ascii="Times New Roman" w:cs="Times New Roman" w:eastAsia="Times New Roman" w:hAnsi="Times New Roman"/>
          <w:sz w:val="18"/>
          <w:szCs w:val="18"/>
          <w:color w:val="auto"/>
        </w:rPr>
      </w:pPr>
    </w:p>
    <w:p>
      <w:pPr>
        <w:ind w:left="426" w:right="420" w:hanging="426"/>
        <w:spacing w:after="0" w:line="247" w:lineRule="auto"/>
        <w:tabs>
          <w:tab w:leader="none" w:pos="426"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pursuant to Rule 457(a) under the Securities Act of 1933, as amended (the “Securities Act”).</w:t>
      </w:r>
    </w:p>
    <w:p>
      <w:pPr>
        <w:spacing w:after="0" w:line="1" w:lineRule="exact"/>
        <w:rPr>
          <w:rFonts w:ascii="Times New Roman" w:cs="Times New Roman" w:eastAsia="Times New Roman" w:hAnsi="Times New Roman"/>
          <w:sz w:val="18"/>
          <w:szCs w:val="18"/>
          <w:color w:val="auto"/>
        </w:rPr>
      </w:pPr>
    </w:p>
    <w:p>
      <w:pPr>
        <w:ind w:left="426" w:right="180" w:hanging="426"/>
        <w:spacing w:after="0" w:line="255" w:lineRule="auto"/>
        <w:tabs>
          <w:tab w:leader="none" w:pos="426"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previously paid a registration fee of $15,310.00 in connection with the initial filing of the Registration Statement on Form S-1 on May 9, 2025.</w:t>
      </w:r>
    </w:p>
    <w:sectPr>
      <w:pgSz w:w="11900" w:h="16838" w:orient="portrait"/>
      <w:cols w:equalWidth="0" w:num="1">
        <w:col w:w="10906"/>
      </w:cols>
      <w:pgMar w:left="494" w:top="11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0F856C"/>
    <w:multiLevelType w:val="hybridMultilevel"/>
    <w:lvl w:ilvl="0">
      <w:lvlJc w:val="left"/>
      <w:lvlText w:val="•"/>
      <w:numFmt w:val="bullet"/>
      <w:start w:val="1"/>
    </w:lvl>
  </w:abstractNum>
  <w:abstractNum w:abstractNumId="1">
    <w:nsid w:val="6EAA85FB"/>
    <w:multiLevelType w:val="hybridMultilevel"/>
    <w:lvl w:ilvl="0">
      <w:lvlJc w:val="left"/>
      <w:lvlText w:val="•"/>
      <w:numFmt w:val="bullet"/>
      <w:start w:val="1"/>
    </w:lvl>
  </w:abstractNum>
  <w:abstractNum w:abstractNumId="2">
    <w:nsid w:val="3F06ECB2"/>
    <w:multiLevelType w:val="hybridMultilevel"/>
    <w:lvl w:ilvl="0">
      <w:lvlJc w:val="left"/>
      <w:lvlText w:val="•"/>
      <w:numFmt w:val="bullet"/>
      <w:start w:val="1"/>
    </w:lvl>
  </w:abstractNum>
  <w:abstractNum w:abstractNumId="3">
    <w:nsid w:val="3B594807"/>
    <w:multiLevelType w:val="hybridMultilevel"/>
    <w:lvl w:ilvl="0">
      <w:lvlJc w:val="left"/>
      <w:lvlText w:val="•"/>
      <w:numFmt w:val="bullet"/>
      <w:start w:val="1"/>
    </w:lvl>
  </w:abstractNum>
  <w:abstractNum w:abstractNumId="4">
    <w:nsid w:val="6CAA2304"/>
    <w:multiLevelType w:val="hybridMultilevel"/>
    <w:lvl w:ilvl="0">
      <w:lvlJc w:val="left"/>
      <w:lvlText w:val="•"/>
      <w:numFmt w:val="bullet"/>
      <w:start w:val="1"/>
    </w:lvl>
  </w:abstractNum>
  <w:abstractNum w:abstractNumId="5">
    <w:nsid w:val="3F7C2FF4"/>
    <w:multiLevelType w:val="hybridMultilevel"/>
    <w:lvl w:ilvl="0">
      <w:lvlJc w:val="left"/>
      <w:lvlText w:val="•"/>
      <w:numFmt w:val="bullet"/>
      <w:start w:val="1"/>
    </w:lvl>
  </w:abstractNum>
  <w:abstractNum w:abstractNumId="6">
    <w:nsid w:val="25413BEC"/>
    <w:multiLevelType w:val="hybridMultilevel"/>
    <w:lvl w:ilvl="0">
      <w:lvlJc w:val="left"/>
      <w:lvlText w:val="•"/>
      <w:numFmt w:val="bullet"/>
      <w:start w:val="1"/>
    </w:lvl>
  </w:abstractNum>
  <w:abstractNum w:abstractNumId="7">
    <w:nsid w:val="17180B0B"/>
    <w:multiLevelType w:val="hybridMultilevel"/>
    <w:lvl w:ilvl="0">
      <w:lvlJc w:val="left"/>
      <w:lvlText w:val="•"/>
      <w:numFmt w:val="bullet"/>
      <w:start w:val="1"/>
    </w:lvl>
    <w:lvl w:ilvl="1">
      <w:lvlJc w:val="left"/>
      <w:lvlText w:val="•"/>
      <w:numFmt w:val="bullet"/>
      <w:start w:val="1"/>
    </w:lvl>
  </w:abstractNum>
  <w:abstractNum w:abstractNumId="8">
    <w:nsid w:val="579328B9"/>
    <w:multiLevelType w:val="hybridMultilevel"/>
    <w:lvl w:ilvl="0">
      <w:lvlJc w:val="left"/>
      <w:lvlText w:val="•"/>
      <w:numFmt w:val="bullet"/>
      <w:start w:val="1"/>
    </w:lvl>
  </w:abstractNum>
  <w:abstractNum w:abstractNumId="9">
    <w:nsid w:val="5D205E20"/>
    <w:multiLevelType w:val="hybridMultilevel"/>
    <w:lvl w:ilvl="0">
      <w:lvlJc w:val="left"/>
      <w:lvlText w:val="(%1)"/>
      <w:numFmt w:val="decimal"/>
      <w:start w:val="1"/>
    </w:lvl>
  </w:abstractNum>
  <w:abstractNum w:abstractNumId="10">
    <w:nsid w:val="11CCA8BA"/>
    <w:multiLevelType w:val="hybridMultilevel"/>
    <w:lvl w:ilvl="0">
      <w:lvlJc w:val="left"/>
      <w:lvlText w:val="(%1)"/>
      <w:numFmt w:val="decimal"/>
      <w:start w:val="1"/>
    </w:lvl>
  </w:abstractNum>
  <w:abstractNum w:abstractNumId="11">
    <w:nsid w:val="4D32AB86"/>
    <w:multiLevelType w:val="hybridMultilevel"/>
    <w:lvl w:ilvl="0">
      <w:lvlJc w:val="left"/>
      <w:lvlText w:val="•"/>
      <w:numFmt w:val="bullet"/>
      <w:start w:val="1"/>
    </w:lvl>
  </w:abstractNum>
  <w:abstractNum w:abstractNumId="12">
    <w:nsid w:val="3F07ACC3"/>
    <w:multiLevelType w:val="hybridMultilevel"/>
    <w:lvl w:ilvl="0">
      <w:lvlJc w:val="left"/>
      <w:lvlText w:val="•"/>
      <w:numFmt w:val="bullet"/>
      <w:start w:val="1"/>
    </w:lvl>
  </w:abstractNum>
  <w:abstractNum w:abstractNumId="13">
    <w:nsid w:val="6B47F63E"/>
    <w:multiLevelType w:val="hybridMultilevel"/>
    <w:lvl w:ilvl="0">
      <w:lvlJc w:val="left"/>
      <w:lvlText w:val="•"/>
      <w:numFmt w:val="bullet"/>
      <w:start w:val="1"/>
    </w:lvl>
  </w:abstractNum>
  <w:abstractNum w:abstractNumId="14">
    <w:nsid w:val="5CB44A05"/>
    <w:multiLevelType w:val="hybridMultilevel"/>
    <w:lvl w:ilvl="0">
      <w:lvlJc w:val="left"/>
      <w:lvlText w:val="•"/>
      <w:numFmt w:val="bullet"/>
      <w:start w:val="1"/>
    </w:lvl>
  </w:abstractNum>
  <w:abstractNum w:abstractNumId="15">
    <w:nsid w:val="16CF80F1"/>
    <w:multiLevelType w:val="hybridMultilevel"/>
    <w:lvl w:ilvl="0">
      <w:lvlJc w:val="left"/>
      <w:lvlText w:val="•"/>
      <w:numFmt w:val="bullet"/>
      <w:start w:val="1"/>
    </w:lvl>
  </w:abstractNum>
  <w:abstractNum w:abstractNumId="16">
    <w:nsid w:val="1C695DEC"/>
    <w:multiLevelType w:val="hybridMultilevel"/>
    <w:lvl w:ilvl="0">
      <w:lvlJc w:val="left"/>
      <w:lvlText w:val="•"/>
      <w:numFmt w:val="bullet"/>
      <w:start w:val="1"/>
    </w:lvl>
  </w:abstractNum>
  <w:abstractNum w:abstractNumId="17">
    <w:nsid w:val="3FCFAED9"/>
    <w:multiLevelType w:val="hybridMultilevel"/>
    <w:lvl w:ilvl="0">
      <w:lvlJc w:val="left"/>
      <w:lvlText w:val="•"/>
      <w:numFmt w:val="bullet"/>
      <w:start w:val="1"/>
    </w:lvl>
  </w:abstractNum>
  <w:abstractNum w:abstractNumId="18">
    <w:nsid w:val="F856867"/>
    <w:multiLevelType w:val="hybridMultilevel"/>
    <w:lvl w:ilvl="0">
      <w:lvlJc w:val="left"/>
      <w:lvlText w:val="•"/>
      <w:numFmt w:val="bullet"/>
      <w:start w:val="1"/>
    </w:lvl>
  </w:abstractNum>
  <w:abstractNum w:abstractNumId="19">
    <w:nsid w:val="11B1CC33"/>
    <w:multiLevelType w:val="hybridMultilevel"/>
    <w:lvl w:ilvl="0">
      <w:lvlJc w:val="left"/>
      <w:lvlText w:val="•"/>
      <w:numFmt w:val="bullet"/>
      <w:start w:val="1"/>
    </w:lvl>
  </w:abstractNum>
  <w:abstractNum w:abstractNumId="20">
    <w:nsid w:val="2E22FBB7"/>
    <w:multiLevelType w:val="hybridMultilevel"/>
    <w:lvl w:ilvl="0">
      <w:lvlJc w:val="left"/>
      <w:lvlText w:val="•"/>
      <w:numFmt w:val="bullet"/>
      <w:start w:val="1"/>
    </w:lvl>
  </w:abstractNum>
  <w:abstractNum w:abstractNumId="21">
    <w:nsid w:val="29934699"/>
    <w:multiLevelType w:val="hybridMultilevel"/>
    <w:lvl w:ilvl="0">
      <w:lvlJc w:val="left"/>
      <w:lvlText w:val="•"/>
      <w:numFmt w:val="bullet"/>
      <w:start w:val="1"/>
    </w:lvl>
  </w:abstractNum>
  <w:abstractNum w:abstractNumId="22">
    <w:nsid w:val="77485850"/>
    <w:multiLevelType w:val="hybridMultilevel"/>
    <w:lvl w:ilvl="0">
      <w:lvlJc w:val="left"/>
      <w:lvlText w:val="•"/>
      <w:numFmt w:val="bullet"/>
      <w:start w:val="1"/>
    </w:lvl>
  </w:abstractNum>
  <w:abstractNum w:abstractNumId="23">
    <w:nsid w:val="744939A3"/>
    <w:multiLevelType w:val="hybridMultilevel"/>
    <w:lvl w:ilvl="0">
      <w:lvlJc w:val="left"/>
      <w:lvlText w:val="•"/>
      <w:numFmt w:val="bullet"/>
      <w:start w:val="1"/>
    </w:lvl>
  </w:abstractNum>
  <w:abstractNum w:abstractNumId="24">
    <w:nsid w:val="4FA0D2E3"/>
    <w:multiLevelType w:val="hybridMultilevel"/>
    <w:lvl w:ilvl="0">
      <w:lvlJc w:val="left"/>
      <w:lvlText w:val="•"/>
      <w:numFmt w:val="bullet"/>
      <w:start w:val="1"/>
    </w:lvl>
  </w:abstractNum>
  <w:abstractNum w:abstractNumId="25">
    <w:nsid w:val="6B1D2C14"/>
    <w:multiLevelType w:val="hybridMultilevel"/>
    <w:lvl w:ilvl="0">
      <w:lvlJc w:val="left"/>
      <w:lvlText w:val="•"/>
      <w:numFmt w:val="bullet"/>
      <w:start w:val="1"/>
    </w:lvl>
  </w:abstractNum>
  <w:abstractNum w:abstractNumId="26">
    <w:nsid w:val="68B867D3"/>
    <w:multiLevelType w:val="hybridMultilevel"/>
    <w:lvl w:ilvl="0">
      <w:lvlJc w:val="left"/>
      <w:lvlText w:val="•"/>
      <w:numFmt w:val="bullet"/>
      <w:start w:val="1"/>
    </w:lvl>
  </w:abstractNum>
  <w:abstractNum w:abstractNumId="27">
    <w:nsid w:val="3F7F5DD9"/>
    <w:multiLevelType w:val="hybridMultilevel"/>
    <w:lvl w:ilvl="0">
      <w:lvlJc w:val="left"/>
      <w:lvlText w:val="•"/>
      <w:numFmt w:val="bullet"/>
      <w:start w:val="1"/>
    </w:lvl>
  </w:abstractNum>
  <w:abstractNum w:abstractNumId="28">
    <w:nsid w:val="2AE05A34"/>
    <w:multiLevelType w:val="hybridMultilevel"/>
    <w:lvl w:ilvl="0">
      <w:lvlJc w:val="left"/>
      <w:lvlText w:val="•"/>
      <w:numFmt w:val="bullet"/>
      <w:start w:val="1"/>
    </w:lvl>
  </w:abstractNum>
  <w:abstractNum w:abstractNumId="29">
    <w:nsid w:val="32794FF7"/>
    <w:multiLevelType w:val="hybridMultilevel"/>
    <w:lvl w:ilvl="0">
      <w:lvlJc w:val="left"/>
      <w:lvlText w:val="•"/>
      <w:numFmt w:val="bullet"/>
      <w:start w:val="1"/>
    </w:lvl>
  </w:abstractNum>
  <w:abstractNum w:abstractNumId="30">
    <w:nsid w:val="5454945E"/>
    <w:multiLevelType w:val="hybridMultilevel"/>
    <w:lvl w:ilvl="0">
      <w:lvlJc w:val="left"/>
      <w:lvlText w:val="•"/>
      <w:numFmt w:val="bullet"/>
      <w:start w:val="1"/>
    </w:lvl>
  </w:abstractNum>
  <w:abstractNum w:abstractNumId="31">
    <w:nsid w:val="4DEFDFA0"/>
    <w:multiLevelType w:val="hybridMultilevel"/>
    <w:lvl w:ilvl="0">
      <w:lvlJc w:val="left"/>
      <w:lvlText w:val="•"/>
      <w:numFmt w:val="bullet"/>
      <w:start w:val="1"/>
    </w:lvl>
  </w:abstractNum>
  <w:abstractNum w:abstractNumId="32">
    <w:nsid w:val="2123D5F2"/>
    <w:multiLevelType w:val="hybridMultilevel"/>
    <w:lvl w:ilvl="0">
      <w:lvlJc w:val="left"/>
      <w:lvlText w:val="•"/>
      <w:numFmt w:val="bullet"/>
      <w:start w:val="1"/>
    </w:lvl>
  </w:abstractNum>
  <w:abstractNum w:abstractNumId="33">
    <w:nsid w:val="135B8110"/>
    <w:multiLevelType w:val="hybridMultilevel"/>
    <w:lvl w:ilvl="0">
      <w:lvlJc w:val="left"/>
      <w:lvlText w:val="•"/>
      <w:numFmt w:val="bullet"/>
      <w:start w:val="1"/>
    </w:lvl>
  </w:abstractNum>
  <w:abstractNum w:abstractNumId="34">
    <w:nsid w:val="94927A8"/>
    <w:multiLevelType w:val="hybridMultilevel"/>
    <w:lvl w:ilvl="0">
      <w:lvlJc w:val="left"/>
      <w:lvlText w:val="•"/>
      <w:numFmt w:val="bullet"/>
      <w:start w:val="1"/>
    </w:lvl>
  </w:abstractNum>
  <w:abstractNum w:abstractNumId="35">
    <w:nsid w:val="DCDF8F6"/>
    <w:multiLevelType w:val="hybridMultilevel"/>
    <w:lvl w:ilvl="0">
      <w:lvlJc w:val="left"/>
      <w:lvlText w:val="•"/>
      <w:numFmt w:val="bullet"/>
      <w:start w:val="1"/>
    </w:lvl>
  </w:abstractNum>
  <w:abstractNum w:abstractNumId="36">
    <w:nsid w:val="52D7B105"/>
    <w:multiLevelType w:val="hybridMultilevel"/>
    <w:lvl w:ilvl="0">
      <w:lvlJc w:val="left"/>
      <w:lvlText w:val="•"/>
      <w:numFmt w:val="bullet"/>
      <w:start w:val="1"/>
    </w:lvl>
  </w:abstractNum>
  <w:abstractNum w:abstractNumId="37">
    <w:nsid w:val="2E8A6394"/>
    <w:multiLevelType w:val="hybridMultilevel"/>
    <w:lvl w:ilvl="0">
      <w:lvlJc w:val="left"/>
      <w:lvlText w:val="•"/>
      <w:numFmt w:val="bullet"/>
      <w:start w:val="1"/>
    </w:lvl>
  </w:abstractNum>
  <w:abstractNum w:abstractNumId="38">
    <w:nsid w:val="24E60401"/>
    <w:multiLevelType w:val="hybridMultilevel"/>
    <w:lvl w:ilvl="0">
      <w:lvlJc w:val="left"/>
      <w:lvlText w:val="•"/>
      <w:numFmt w:val="bullet"/>
      <w:start w:val="1"/>
    </w:lvl>
  </w:abstractNum>
  <w:abstractNum w:abstractNumId="39">
    <w:nsid w:val="2A6AD9BE"/>
    <w:multiLevelType w:val="hybridMultilevel"/>
    <w:lvl w:ilvl="0">
      <w:lvlJc w:val="left"/>
      <w:lvlText w:val="•"/>
      <w:numFmt w:val="bullet"/>
      <w:start w:val="1"/>
    </w:lvl>
  </w:abstractNum>
  <w:abstractNum w:abstractNumId="40">
    <w:nsid w:val="BAAC1B4"/>
    <w:multiLevelType w:val="hybridMultilevel"/>
    <w:lvl w:ilvl="0">
      <w:lvlJc w:val="left"/>
      <w:lvlText w:val="(%1)"/>
      <w:numFmt w:val="decimal"/>
      <w:start w:val="1"/>
    </w:lvl>
  </w:abstractNum>
  <w:abstractNum w:abstractNumId="41">
    <w:nsid w:val="36B2ACBC"/>
    <w:multiLevelType w:val="hybridMultilevel"/>
    <w:lvl w:ilvl="0">
      <w:lvlJc w:val="left"/>
      <w:lvlText w:val="•"/>
      <w:numFmt w:val="bullet"/>
      <w:start w:val="1"/>
    </w:lvl>
    <w:lvl w:ilvl="1">
      <w:lvlJc w:val="left"/>
      <w:lvlText w:val="•"/>
      <w:numFmt w:val="bullet"/>
      <w:start w:val="1"/>
    </w:lvl>
  </w:abstractNum>
  <w:abstractNum w:abstractNumId="42">
    <w:nsid w:val="779D8544"/>
    <w:multiLevelType w:val="hybridMultilevel"/>
    <w:lvl w:ilvl="0">
      <w:lvlJc w:val="left"/>
      <w:lvlText w:val="•"/>
      <w:numFmt w:val="bullet"/>
      <w:start w:val="1"/>
    </w:lvl>
  </w:abstractNum>
  <w:abstractNum w:abstractNumId="43">
    <w:nsid w:val="4AB26E78"/>
    <w:multiLevelType w:val="hybridMultilevel"/>
    <w:lvl w:ilvl="0">
      <w:lvlJc w:val="left"/>
      <w:lvlText w:val="•"/>
      <w:numFmt w:val="bullet"/>
      <w:start w:val="1"/>
    </w:lvl>
    <w:lvl w:ilvl="1">
      <w:lvlJc w:val="left"/>
      <w:lvlText w:val="•"/>
      <w:numFmt w:val="bullet"/>
      <w:start w:val="1"/>
    </w:lvl>
  </w:abstractNum>
  <w:abstractNum w:abstractNumId="44">
    <w:nsid w:val="21FAA2FA"/>
    <w:multiLevelType w:val="hybridMultilevel"/>
    <w:lvl w:ilvl="0">
      <w:lvlJc w:val="left"/>
      <w:lvlText w:val="•"/>
      <w:numFmt w:val="bullet"/>
      <w:start w:val="1"/>
    </w:lvl>
  </w:abstractNum>
  <w:abstractNum w:abstractNumId="45">
    <w:nsid w:val="5451CF49"/>
    <w:multiLevelType w:val="hybridMultilevel"/>
    <w:lvl w:ilvl="0">
      <w:lvlJc w:val="left"/>
      <w:lvlText w:val="•"/>
      <w:numFmt w:val="bullet"/>
      <w:start w:val="1"/>
    </w:lvl>
  </w:abstractNum>
  <w:abstractNum w:abstractNumId="46">
    <w:nsid w:val="6181EF69"/>
    <w:multiLevelType w:val="hybridMultilevel"/>
    <w:lvl w:ilvl="0">
      <w:lvlJc w:val="left"/>
      <w:lvlText w:val="•"/>
      <w:numFmt w:val="bullet"/>
      <w:start w:val="1"/>
    </w:lvl>
  </w:abstractNum>
  <w:abstractNum w:abstractNumId="47">
    <w:nsid w:val="3E6400E6"/>
    <w:multiLevelType w:val="hybridMultilevel"/>
    <w:lvl w:ilvl="0">
      <w:lvlJc w:val="left"/>
      <w:lvlText w:val="(%1)"/>
      <w:numFmt w:val="decimal"/>
      <w:start w:val="1"/>
    </w:lvl>
  </w:abstractNum>
  <w:abstractNum w:abstractNumId="48">
    <w:nsid w:val="14217E23"/>
    <w:multiLevelType w:val="hybridMultilevel"/>
    <w:lvl w:ilvl="0">
      <w:lvlJc w:val="left"/>
      <w:lvlText w:val="(%1)"/>
      <w:numFmt w:val="lowerRoman"/>
      <w:start w:val="1"/>
    </w:lvl>
  </w:abstractNum>
  <w:abstractNum w:abstractNumId="49">
    <w:nsid w:val="710757D0"/>
    <w:multiLevelType w:val="hybridMultilevel"/>
    <w:lvl w:ilvl="0">
      <w:lvlJc w:val="left"/>
      <w:lvlText w:val="(%1)"/>
      <w:numFmt w:val="decimal"/>
      <w:start w:val="1"/>
    </w:lvl>
  </w:abstractNum>
  <w:abstractNum w:abstractNumId="50">
    <w:nsid w:val="5015CD1A"/>
    <w:multiLevelType w:val="hybridMultilevel"/>
    <w:lvl w:ilvl="0">
      <w:lvlJc w:val="left"/>
      <w:lvlText w:val="(%1)"/>
      <w:numFmt w:val="decimal"/>
      <w:start w:val="1"/>
    </w:lvl>
  </w:abstractNum>
  <w:abstractNum w:abstractNumId="51">
    <w:nsid w:val="424479DA"/>
    <w:multiLevelType w:val="hybridMultilevel"/>
    <w:lvl w:ilvl="0">
      <w:lvlJc w:val="left"/>
      <w:lvlText w:val="(%1)"/>
      <w:numFmt w:val="decimal"/>
      <w:start w:val="1"/>
    </w:lvl>
  </w:abstractNum>
  <w:abstractNum w:abstractNumId="52">
    <w:nsid w:val="1A9A9E69"/>
    <w:multiLevelType w:val="hybridMultilevel"/>
    <w:lvl w:ilvl="0">
      <w:lvlJc w:val="left"/>
      <w:lvlText w:val="(%1)"/>
      <w:numFmt w:val="decimal"/>
      <w:start w:val="1"/>
    </w:lvl>
  </w:abstractNum>
  <w:abstractNum w:abstractNumId="53">
    <w:nsid w:val="475E256A"/>
    <w:multiLevelType w:val="hybridMultilevel"/>
    <w:lvl w:ilvl="0">
      <w:lvlJc w:val="left"/>
      <w:lvlText w:val="(%1)"/>
      <w:numFmt w:val="decimal"/>
      <w:start w:val="2"/>
    </w:lvl>
  </w:abstractNum>
  <w:abstractNum w:abstractNumId="54">
    <w:nsid w:val="368DB37E"/>
    <w:multiLevelType w:val="hybridMultilevel"/>
    <w:lvl w:ilvl="0">
      <w:lvlJc w:val="left"/>
      <w:lvlText w:val="(%1)"/>
      <w:numFmt w:val="decimal"/>
      <w:start w:val="3"/>
    </w:lvl>
  </w:abstractNum>
  <w:abstractNum w:abstractNumId="55">
    <w:nsid w:val="6A3B714C"/>
    <w:multiLevelType w:val="hybridMultilevel"/>
    <w:lvl w:ilvl="0">
      <w:lvlJc w:val="left"/>
      <w:lvlText w:val="(%1)"/>
      <w:numFmt w:val="lowerRoman"/>
      <w:start w:val="1"/>
    </w:lvl>
  </w:abstractNum>
  <w:abstractNum w:abstractNumId="56">
    <w:nsid w:val="327B517E"/>
    <w:multiLevelType w:val="hybridMultilevel"/>
    <w:lvl w:ilvl="0">
      <w:lvlJc w:val="left"/>
      <w:lvlText w:val="(%1)"/>
      <w:numFmt w:val="decimal"/>
      <w:start w:val="1"/>
    </w:lvl>
  </w:abstractNum>
  <w:abstractNum w:abstractNumId="57">
    <w:nsid w:val="1F461B51"/>
    <w:multiLevelType w:val="hybridMultilevel"/>
    <w:lvl w:ilvl="0">
      <w:lvlJc w:val="left"/>
      <w:lvlText w:val="(%1)"/>
      <w:numFmt w:val="decimal"/>
      <w:start w:val="1"/>
    </w:lvl>
  </w:abstractNum>
  <w:abstractNum w:abstractNumId="58">
    <w:nsid w:val="29BACF25"/>
    <w:multiLevelType w:val="hybridMultilevel"/>
    <w:lvl w:ilvl="0">
      <w:lvlJc w:val="left"/>
      <w:lvlText w:val="(%1)"/>
      <w:numFmt w:val="decimal"/>
      <w:start w:val="1"/>
    </w:lvl>
  </w:abstractNum>
  <w:abstractNum w:abstractNumId="59">
    <w:nsid w:val="5D5BABB3"/>
    <w:multiLevelType w:val="hybridMultilevel"/>
    <w:lvl w:ilvl="0">
      <w:lvlJc w:val="left"/>
      <w:lvlText w:val="(%1)"/>
      <w:numFmt w:val="lowerRoman"/>
      <w:start w:val="3"/>
    </w:lvl>
  </w:abstractNum>
  <w:abstractNum w:abstractNumId="60">
    <w:nsid w:val="51BF6B48"/>
    <w:multiLevelType w:val="hybridMultilevel"/>
    <w:lvl w:ilvl="0">
      <w:lvlJc w:val="left"/>
      <w:lvlText w:val="•"/>
      <w:numFmt w:val="bullet"/>
      <w:start w:val="1"/>
    </w:lvl>
  </w:abstractNum>
  <w:abstractNum w:abstractNumId="61">
    <w:nsid w:val="7E0F6384"/>
    <w:multiLevelType w:val="hybridMultilevel"/>
    <w:lvl w:ilvl="0">
      <w:lvlJc w:val="left"/>
      <w:lvlText w:val="•"/>
      <w:numFmt w:val="bullet"/>
      <w:start w:val="1"/>
    </w:lvl>
  </w:abstractNum>
  <w:abstractNum w:abstractNumId="62">
    <w:nsid w:val="2B4B8B53"/>
    <w:multiLevelType w:val="hybridMultilevel"/>
    <w:lvl w:ilvl="0">
      <w:lvlJc w:val="left"/>
      <w:lvlText w:val="•"/>
      <w:numFmt w:val="bullet"/>
      <w:start w:val="1"/>
    </w:lvl>
  </w:abstractNum>
  <w:abstractNum w:abstractNumId="63">
    <w:nsid w:val="72E3413A"/>
    <w:multiLevelType w:val="hybridMultilevel"/>
    <w:lvl w:ilvl="0">
      <w:lvlJc w:val="left"/>
      <w:lvlText w:val="•"/>
      <w:numFmt w:val="bullet"/>
      <w:start w:val="1"/>
    </w:lvl>
  </w:abstractNum>
  <w:abstractNum w:abstractNumId="64">
    <w:nsid w:val="116AE494"/>
    <w:multiLevelType w:val="hybridMultilevel"/>
    <w:lvl w:ilvl="0">
      <w:lvlJc w:val="left"/>
      <w:lvlText w:val="1"/>
      <w:numFmt w:val="bullet"/>
      <w:start w:val="1"/>
    </w:lvl>
  </w:abstractNum>
  <w:abstractNum w:abstractNumId="65">
    <w:nsid w:val="3494B2FB"/>
    <w:multiLevelType w:val="hybridMultilevel"/>
    <w:lvl w:ilvl="0">
      <w:lvlJc w:val="left"/>
      <w:lvlText w:val="•"/>
      <w:numFmt w:val="bullet"/>
      <w:start w:val="1"/>
    </w:lvl>
  </w:abstractNum>
  <w:abstractNum w:abstractNumId="66">
    <w:nsid w:val="B13A31"/>
    <w:multiLevelType w:val="hybridMultilevel"/>
    <w:lvl w:ilvl="0">
      <w:lvlJc w:val="left"/>
      <w:lvlText w:val="•"/>
      <w:numFmt w:val="bullet"/>
      <w:start w:val="1"/>
    </w:lvl>
  </w:abstractNum>
  <w:abstractNum w:abstractNumId="67">
    <w:nsid w:val="64429599"/>
    <w:multiLevelType w:val="hybridMultilevel"/>
    <w:lvl w:ilvl="0">
      <w:lvlJc w:val="left"/>
      <w:lvlText w:val="•"/>
      <w:numFmt w:val="bullet"/>
      <w:start w:val="1"/>
    </w:lvl>
  </w:abstractNum>
  <w:abstractNum w:abstractNumId="68">
    <w:nsid w:val="631F1690"/>
    <w:multiLevelType w:val="hybridMultilevel"/>
    <w:lvl w:ilvl="0">
      <w:lvlJc w:val="left"/>
      <w:lvlText w:val="•"/>
      <w:numFmt w:val="bullet"/>
      <w:start w:val="1"/>
    </w:lvl>
  </w:abstractNum>
  <w:abstractNum w:abstractNumId="69">
    <w:nsid w:val="25973E32"/>
    <w:multiLevelType w:val="hybridMultilevel"/>
    <w:lvl w:ilvl="0">
      <w:lvlJc w:val="left"/>
      <w:lvlText w:val="•"/>
      <w:numFmt w:val="bullet"/>
      <w:start w:val="1"/>
    </w:lvl>
  </w:abstractNum>
  <w:abstractNum w:abstractNumId="70">
    <w:nsid w:val="EAD6F57"/>
    <w:multiLevelType w:val="hybridMultilevel"/>
    <w:lvl w:ilvl="0">
      <w:lvlJc w:val="left"/>
      <w:lvlText w:val="•"/>
      <w:numFmt w:val="bullet"/>
      <w:start w:val="1"/>
    </w:lvl>
  </w:abstractNum>
  <w:abstractNum w:abstractNumId="71">
    <w:nsid w:val="6EC9D844"/>
    <w:multiLevelType w:val="hybridMultilevel"/>
    <w:lvl w:ilvl="0">
      <w:lvlJc w:val="left"/>
      <w:lvlText w:val="•"/>
      <w:numFmt w:val="bullet"/>
      <w:start w:val="1"/>
    </w:lvl>
  </w:abstractNum>
  <w:abstractNum w:abstractNumId="72">
    <w:nsid w:val="5C49EAEE"/>
    <w:multiLevelType w:val="hybridMultilevel"/>
    <w:lvl w:ilvl="0">
      <w:lvlJc w:val="left"/>
      <w:lvlText w:val="•"/>
      <w:numFmt w:val="bullet"/>
      <w:start w:val="1"/>
    </w:lvl>
  </w:abstractNum>
  <w:abstractNum w:abstractNumId="73">
    <w:nsid w:val="64AF49B"/>
    <w:multiLevelType w:val="hybridMultilevel"/>
    <w:lvl w:ilvl="0">
      <w:lvlJc w:val="left"/>
      <w:lvlText w:val="•"/>
      <w:numFmt w:val="bullet"/>
      <w:start w:val="1"/>
    </w:lvl>
  </w:abstractNum>
  <w:abstractNum w:abstractNumId="74">
    <w:nsid w:val="397C46BC"/>
    <w:multiLevelType w:val="hybridMultilevel"/>
    <w:lvl w:ilvl="0">
      <w:lvlJc w:val="left"/>
      <w:lvlText w:val="•"/>
      <w:numFmt w:val="bullet"/>
      <w:start w:val="1"/>
    </w:lvl>
  </w:abstractNum>
  <w:abstractNum w:abstractNumId="75">
    <w:nsid w:val="7E448DE9"/>
    <w:multiLevelType w:val="hybridMultilevel"/>
    <w:lvl w:ilvl="0">
      <w:lvlJc w:val="left"/>
      <w:lvlText w:val="•"/>
      <w:numFmt w:val="bullet"/>
      <w:start w:val="1"/>
    </w:lvl>
  </w:abstractNum>
  <w:abstractNum w:abstractNumId="76">
    <w:nsid w:val="5A9CC3E5"/>
    <w:multiLevelType w:val="hybridMultilevel"/>
    <w:lvl w:ilvl="0">
      <w:lvlJc w:val="left"/>
      <w:lvlText w:val="•"/>
      <w:numFmt w:val="bullet"/>
      <w:start w:val="1"/>
    </w:lvl>
  </w:abstractNum>
  <w:abstractNum w:abstractNumId="77">
    <w:nsid w:val="1AFE3625"/>
    <w:multiLevelType w:val="hybridMultilevel"/>
    <w:lvl w:ilvl="0">
      <w:lvlJc w:val="left"/>
      <w:lvlText w:val="•"/>
      <w:numFmt w:val="bullet"/>
      <w:start w:val="1"/>
    </w:lvl>
  </w:abstractNum>
  <w:abstractNum w:abstractNumId="78">
    <w:nsid w:val="3CA88ECF"/>
    <w:multiLevelType w:val="hybridMultilevel"/>
    <w:lvl w:ilvl="0">
      <w:lvlJc w:val="left"/>
      <w:lvlText w:val="•"/>
      <w:numFmt w:val="bullet"/>
      <w:start w:val="1"/>
    </w:lvl>
  </w:abstractNum>
  <w:abstractNum w:abstractNumId="79">
    <w:nsid w:val="6EBE4208"/>
    <w:multiLevelType w:val="hybridMultilevel"/>
    <w:lvl w:ilvl="0">
      <w:lvlJc w:val="left"/>
      <w:lvlText w:val="•"/>
      <w:numFmt w:val="bullet"/>
      <w:start w:val="1"/>
    </w:lvl>
  </w:abstractNum>
  <w:abstractNum w:abstractNumId="80">
    <w:nsid w:val="C058DF5"/>
    <w:multiLevelType w:val="hybridMultilevel"/>
    <w:lvl w:ilvl="0">
      <w:lvlJc w:val="left"/>
      <w:lvlText w:val="•"/>
      <w:numFmt w:val="bullet"/>
      <w:start w:val="1"/>
    </w:lvl>
  </w:abstractNum>
  <w:abstractNum w:abstractNumId="81">
    <w:nsid w:val="CBE5BE9"/>
    <w:multiLevelType w:val="hybridMultilevel"/>
    <w:lvl w:ilvl="0">
      <w:lvlJc w:val="left"/>
      <w:lvlText w:val="•"/>
      <w:numFmt w:val="bullet"/>
      <w:start w:val="1"/>
    </w:lvl>
  </w:abstractNum>
  <w:abstractNum w:abstractNumId="82">
    <w:nsid w:val="3102BBE2"/>
    <w:multiLevelType w:val="hybridMultilevel"/>
    <w:lvl w:ilvl="0">
      <w:lvlJc w:val="left"/>
      <w:lvlText w:val="•"/>
      <w:numFmt w:val="bullet"/>
      <w:start w:val="1"/>
    </w:lvl>
  </w:abstractNum>
  <w:abstractNum w:abstractNumId="83">
    <w:nsid w:val="26A02C5E"/>
    <w:multiLevelType w:val="hybridMultilevel"/>
    <w:lvl w:ilvl="0">
      <w:lvlJc w:val="left"/>
      <w:lvlText w:val="•"/>
      <w:numFmt w:val="bullet"/>
      <w:start w:val="1"/>
    </w:lvl>
  </w:abstractNum>
  <w:abstractNum w:abstractNumId="84">
    <w:nsid w:val="541C8153"/>
    <w:multiLevelType w:val="hybridMultilevel"/>
    <w:lvl w:ilvl="0">
      <w:lvlJc w:val="left"/>
      <w:lvlText w:val="•"/>
      <w:numFmt w:val="bullet"/>
      <w:start w:val="1"/>
    </w:lvl>
  </w:abstractNum>
  <w:abstractNum w:abstractNumId="85">
    <w:nsid w:val="67906F60"/>
    <w:multiLevelType w:val="hybridMultilevel"/>
    <w:lvl w:ilvl="0">
      <w:lvlJc w:val="left"/>
      <w:lvlText w:val="•"/>
      <w:numFmt w:val="bullet"/>
      <w:start w:val="1"/>
    </w:lvl>
  </w:abstractNum>
  <w:abstractNum w:abstractNumId="86">
    <w:nsid w:val="10DB9DAA"/>
    <w:multiLevelType w:val="hybridMultilevel"/>
    <w:lvl w:ilvl="0">
      <w:lvlJc w:val="left"/>
      <w:lvlText w:val="•"/>
      <w:numFmt w:val="bullet"/>
      <w:start w:val="1"/>
    </w:lvl>
  </w:abstractNum>
  <w:abstractNum w:abstractNumId="87">
    <w:nsid w:val="697D2D2"/>
    <w:multiLevelType w:val="hybridMultilevel"/>
    <w:lvl w:ilvl="0">
      <w:lvlJc w:val="left"/>
      <w:lvlText w:val="•"/>
      <w:numFmt w:val="bullet"/>
      <w:start w:val="1"/>
    </w:lvl>
  </w:abstractNum>
  <w:abstractNum w:abstractNumId="88">
    <w:nsid w:val="6D68AB2"/>
    <w:multiLevelType w:val="hybridMultilevel"/>
    <w:lvl w:ilvl="0">
      <w:lvlJc w:val="left"/>
      <w:lvlText w:val="•"/>
      <w:numFmt w:val="bullet"/>
      <w:start w:val="1"/>
    </w:lvl>
  </w:abstractNum>
  <w:abstractNum w:abstractNumId="89">
    <w:nsid w:val="3A966CD0"/>
    <w:multiLevelType w:val="hybridMultilevel"/>
    <w:lvl w:ilvl="0">
      <w:lvlJc w:val="left"/>
      <w:lvlText w:val="(%1)"/>
      <w:numFmt w:val="decimal"/>
      <w:start w:val="1"/>
    </w:lvl>
  </w:abstractNum>
  <w:abstractNum w:abstractNumId="90">
    <w:nsid w:val="63F37E85"/>
    <w:multiLevelType w:val="hybridMultilevel"/>
    <w:lvl w:ilvl="0">
      <w:lvlJc w:val="left"/>
      <w:lvlText w:val="•"/>
      <w:numFmt w:val="bullet"/>
      <w:start w:val="1"/>
    </w:lvl>
  </w:abstractNum>
  <w:abstractNum w:abstractNumId="91">
    <w:nsid w:val="5895F5FA"/>
    <w:multiLevelType w:val="hybridMultilevel"/>
    <w:lvl w:ilvl="0">
      <w:lvlJc w:val="left"/>
      <w:lvlText w:val="•"/>
      <w:numFmt w:val="bullet"/>
      <w:start w:val="1"/>
    </w:lvl>
  </w:abstractNum>
  <w:abstractNum w:abstractNumId="92">
    <w:nsid w:val="38A5D054"/>
    <w:multiLevelType w:val="hybridMultilevel"/>
    <w:lvl w:ilvl="0">
      <w:lvlJc w:val="left"/>
      <w:lvlText w:val="•"/>
      <w:numFmt w:val="bullet"/>
      <w:start w:val="1"/>
    </w:lvl>
  </w:abstractNum>
  <w:abstractNum w:abstractNumId="93">
    <w:nsid w:val="F3F09D8"/>
    <w:multiLevelType w:val="hybridMultilevel"/>
    <w:lvl w:ilvl="0">
      <w:lvlJc w:val="left"/>
      <w:lvlText w:val="•"/>
      <w:numFmt w:val="bullet"/>
      <w:start w:val="1"/>
    </w:lvl>
  </w:abstractNum>
  <w:abstractNum w:abstractNumId="94">
    <w:nsid w:val="4B793735"/>
    <w:multiLevelType w:val="hybridMultilevel"/>
    <w:lvl w:ilvl="0">
      <w:lvlJc w:val="left"/>
      <w:lvlText w:val="•"/>
      <w:numFmt w:val="bullet"/>
      <w:start w:val="1"/>
    </w:lvl>
  </w:abstractNum>
  <w:abstractNum w:abstractNumId="95">
    <w:nsid w:val="4A10B4E8"/>
    <w:multiLevelType w:val="hybridMultilevel"/>
    <w:lvl w:ilvl="0">
      <w:lvlJc w:val="left"/>
      <w:lvlText w:val="•"/>
      <w:numFmt w:val="bullet"/>
      <w:start w:val="1"/>
    </w:lvl>
  </w:abstractNum>
  <w:abstractNum w:abstractNumId="96">
    <w:nsid w:val="43D3BCD4"/>
    <w:multiLevelType w:val="hybridMultilevel"/>
    <w:lvl w:ilvl="0">
      <w:lvlJc w:val="left"/>
      <w:lvlText w:val="•"/>
      <w:numFmt w:val="bullet"/>
      <w:start w:val="1"/>
    </w:lvl>
  </w:abstractNum>
  <w:abstractNum w:abstractNumId="97">
    <w:nsid w:val="4C2A7166"/>
    <w:multiLevelType w:val="hybridMultilevel"/>
    <w:lvl w:ilvl="0">
      <w:lvlJc w:val="left"/>
      <w:lvlText w:val="•"/>
      <w:numFmt w:val="bullet"/>
      <w:start w:val="1"/>
    </w:lvl>
  </w:abstractNum>
  <w:abstractNum w:abstractNumId="98">
    <w:nsid w:val="2E534A82"/>
    <w:multiLevelType w:val="hybridMultilevel"/>
    <w:lvl w:ilvl="0">
      <w:lvlJc w:val="left"/>
      <w:lvlText w:val="•"/>
      <w:numFmt w:val="bullet"/>
      <w:start w:val="1"/>
    </w:lvl>
  </w:abstractNum>
  <w:abstractNum w:abstractNumId="99">
    <w:nsid w:val="26F2D364"/>
    <w:multiLevelType w:val="hybridMultilevel"/>
    <w:lvl w:ilvl="0">
      <w:lvlJc w:val="left"/>
      <w:lvlText w:val="(%1)"/>
      <w:numFmt w:val="decimal"/>
      <w:start w:val="1"/>
    </w:lvl>
  </w:abstractNum>
  <w:abstractNum w:abstractNumId="100">
    <w:nsid w:val="71C1AF98"/>
    <w:multiLevelType w:val="hybridMultilevel"/>
    <w:lvl w:ilvl="0">
      <w:lvlJc w:val="left"/>
      <w:lvlText w:val="•"/>
      <w:numFmt w:val="bullet"/>
      <w:start w:val="1"/>
    </w:lvl>
  </w:abstractNum>
  <w:abstractNum w:abstractNumId="101">
    <w:nsid w:val="3D00B9D9"/>
    <w:multiLevelType w:val="hybridMultilevel"/>
    <w:lvl w:ilvl="0">
      <w:lvlJc w:val="left"/>
      <w:lvlText w:val="(%1)"/>
      <w:numFmt w:val="decimal"/>
      <w:start w:val="1"/>
    </w:lvl>
  </w:abstractNum>
  <w:abstractNum w:abstractNumId="102">
    <w:nsid w:val="15BCABA8"/>
    <w:multiLevelType w:val="hybridMultilevel"/>
    <w:lvl w:ilvl="0">
      <w:lvlJc w:val="left"/>
      <w:lvlText w:val="•"/>
      <w:numFmt w:val="bullet"/>
      <w:start w:val="1"/>
    </w:lvl>
  </w:abstractNum>
  <w:abstractNum w:abstractNumId="103">
    <w:nsid w:val="4E0B9A87"/>
    <w:multiLevelType w:val="hybridMultilevel"/>
    <w:lvl w:ilvl="0">
      <w:lvlJc w:val="left"/>
      <w:lvlText w:val="•"/>
      <w:numFmt w:val="bullet"/>
      <w:start w:val="1"/>
    </w:lvl>
  </w:abstractNum>
  <w:abstractNum w:abstractNumId="104">
    <w:nsid w:val="434BAE75"/>
    <w:multiLevelType w:val="hybridMultilevel"/>
    <w:lvl w:ilvl="0">
      <w:lvlJc w:val="left"/>
      <w:lvlText w:val="•"/>
      <w:numFmt w:val="bullet"/>
      <w:start w:val="1"/>
    </w:lvl>
  </w:abstractNum>
  <w:abstractNum w:abstractNumId="105">
    <w:nsid w:val="4F38F265"/>
    <w:multiLevelType w:val="hybridMultilevel"/>
    <w:lvl w:ilvl="0">
      <w:lvlJc w:val="left"/>
      <w:lvlText w:val="•"/>
      <w:numFmt w:val="bullet"/>
      <w:start w:val="1"/>
    </w:lvl>
  </w:abstractNum>
  <w:abstractNum w:abstractNumId="106">
    <w:nsid w:val="4C502870"/>
    <w:multiLevelType w:val="hybridMultilevel"/>
    <w:lvl w:ilvl="0">
      <w:lvlJc w:val="left"/>
      <w:lvlText w:val="(%1)"/>
      <w:numFmt w:val="lowerRoman"/>
      <w:start w:val="2"/>
    </w:lvl>
  </w:abstractNum>
  <w:abstractNum w:abstractNumId="107">
    <w:nsid w:val="1DE8725A"/>
    <w:multiLevelType w:val="hybridMultilevel"/>
    <w:lvl w:ilvl="0">
      <w:lvlJc w:val="left"/>
      <w:lvlText w:val="(%1)"/>
      <w:numFmt w:val="decimal"/>
      <w:start w:val="1"/>
    </w:lvl>
  </w:abstractNum>
  <w:abstractNum w:abstractNumId="108">
    <w:nsid w:val="6A37288A"/>
    <w:multiLevelType w:val="hybridMultilevel"/>
    <w:lvl w:ilvl="0">
      <w:lvlJc w:val="left"/>
      <w:lvlText w:val="(%1)"/>
      <w:numFmt w:val="lowerRoman"/>
      <w:start w:val="3"/>
    </w:lvl>
  </w:abstractNum>
  <w:abstractNum w:abstractNumId="109">
    <w:nsid w:val="8F8B73F"/>
    <w:multiLevelType w:val="hybridMultilevel"/>
    <w:lvl w:ilvl="0">
      <w:lvlJc w:val="left"/>
      <w:lvlText w:val="•"/>
      <w:numFmt w:val="bullet"/>
      <w:start w:val="1"/>
    </w:lvl>
  </w:abstractNum>
  <w:abstractNum w:abstractNumId="110">
    <w:nsid w:val="CA6B462"/>
    <w:multiLevelType w:val="hybridMultilevel"/>
    <w:lvl w:ilvl="0">
      <w:lvlJc w:val="left"/>
      <w:lvlText w:val="*"/>
      <w:numFmt w:val="bullet"/>
      <w:start w:val="1"/>
    </w:lvl>
  </w:abstractNum>
  <w:abstractNum w:abstractNumId="111">
    <w:nsid w:val="763CB680"/>
    <w:multiLevelType w:val="hybridMultilevel"/>
    <w:lvl w:ilvl="0">
      <w:lvlJc w:val="left"/>
      <w:lvlText w:val="(%1)"/>
      <w:numFmt w:val="decimal"/>
      <w:start w:val="1"/>
    </w:lvl>
  </w:abstractNum>
  <w:abstractNum w:abstractNumId="112">
    <w:nsid w:val="15B71329"/>
    <w:multiLevelType w:val="hybridMultilevel"/>
    <w:lvl w:ilvl="0">
      <w:lvlJc w:val="left"/>
      <w:lvlText w:val="(%1)"/>
      <w:numFmt w:val="decimal"/>
      <w:start w:val="4"/>
    </w:lvl>
  </w:abstractNum>
  <w:abstractNum w:abstractNumId="113">
    <w:nsid w:val="3DA97044"/>
    <w:multiLevelType w:val="hybridMultilevel"/>
    <w:lvl w:ilvl="0">
      <w:lvlJc w:val="left"/>
      <w:lvlText w:val="•"/>
      <w:numFmt w:val="bullet"/>
      <w:start w:val="1"/>
    </w:lvl>
  </w:abstractNum>
  <w:abstractNum w:abstractNumId="114">
    <w:nsid w:val="1CDCE2DE"/>
    <w:multiLevelType w:val="hybridMultilevel"/>
    <w:lvl w:ilvl="0">
      <w:lvlJc w:val="left"/>
      <w:lvlText w:val="•"/>
      <w:numFmt w:val="bullet"/>
      <w:start w:val="1"/>
    </w:lvl>
  </w:abstractNum>
  <w:abstractNum w:abstractNumId="115">
    <w:nsid w:val="69D3947C"/>
    <w:multiLevelType w:val="hybridMultilevel"/>
    <w:lvl w:ilvl="0">
      <w:lvlJc w:val="left"/>
      <w:lvlText w:val="•"/>
      <w:numFmt w:val="bullet"/>
      <w:start w:val="1"/>
    </w:lvl>
  </w:abstractNum>
  <w:abstractNum w:abstractNumId="116">
    <w:nsid w:val="2539DFA5"/>
    <w:multiLevelType w:val="hybridMultilevel"/>
    <w:lvl w:ilvl="0">
      <w:lvlJc w:val="left"/>
      <w:lvlText w:val="(%1)"/>
      <w:numFmt w:val="lowerRoman"/>
      <w:start w:val="2"/>
    </w:lvl>
  </w:abstractNum>
  <w:abstractNum w:abstractNumId="117">
    <w:nsid w:val="2DB88089"/>
    <w:multiLevelType w:val="hybridMultilevel"/>
    <w:lvl w:ilvl="0">
      <w:lvlJc w:val="left"/>
      <w:lvlText w:val="•"/>
      <w:numFmt w:val="bullet"/>
      <w:start w:val="1"/>
    </w:lvl>
  </w:abstractNum>
  <w:abstractNum w:abstractNumId="118">
    <w:nsid w:val="706B674E"/>
    <w:multiLevelType w:val="hybridMultilevel"/>
    <w:lvl w:ilvl="0">
      <w:lvlJc w:val="left"/>
      <w:lvlText w:val="•"/>
      <w:numFmt w:val="bullet"/>
      <w:start w:val="1"/>
    </w:lvl>
  </w:abstractNum>
  <w:abstractNum w:abstractNumId="119">
    <w:nsid w:val="2C106A57"/>
    <w:multiLevelType w:val="hybridMultilevel"/>
    <w:lvl w:ilvl="0">
      <w:lvlJc w:val="left"/>
      <w:lvlText w:val="•"/>
      <w:numFmt w:val="bullet"/>
      <w:start w:val="1"/>
    </w:lvl>
  </w:abstractNum>
  <w:abstractNum w:abstractNumId="120">
    <w:nsid w:val="684EED59"/>
    <w:multiLevelType w:val="hybridMultilevel"/>
    <w:lvl w:ilvl="0">
      <w:lvlJc w:val="left"/>
      <w:lvlText w:val="•"/>
      <w:numFmt w:val="bullet"/>
      <w:start w:val="1"/>
    </w:lvl>
  </w:abstractNum>
  <w:abstractNum w:abstractNumId="121">
    <w:nsid w:val="545EE5D3"/>
    <w:multiLevelType w:val="hybridMultilevel"/>
    <w:lvl w:ilvl="0">
      <w:lvlJc w:val="left"/>
      <w:lvlText w:val="(%1)"/>
      <w:numFmt w:val="decimal"/>
      <w:start w:val="1"/>
    </w:lvl>
  </w:abstractNum>
  <w:abstractNum w:abstractNumId="122">
    <w:nsid w:val="4A66051"/>
    <w:multiLevelType w:val="hybridMultilevel"/>
    <w:lvl w:ilvl="0">
      <w:lvlJc w:val="left"/>
      <w:lvlText w:val="%1"/>
      <w:numFmt w:val="lowerLetter"/>
      <w:start w:val="1"/>
    </w:lvl>
    <w:lvl w:ilvl="1">
      <w:lvlJc w:val="left"/>
      <w:lvlText w:val="(%2)"/>
      <w:numFmt w:val="lowerLetter"/>
      <w:start w:val="1"/>
    </w:lvl>
  </w:abstractNum>
  <w:abstractNum w:abstractNumId="123">
    <w:nsid w:val="20F4BDAD"/>
    <w:multiLevelType w:val="hybridMultilevel"/>
    <w:lvl w:ilvl="0">
      <w:lvlJc w:val="left"/>
      <w:lvlText w:val="(%1)"/>
      <w:numFmt w:val="lowerLetter"/>
      <w:start w:val="9"/>
    </w:lvl>
    <w:lvl w:ilvl="1">
      <w:lvlJc w:val="left"/>
      <w:lvlText w:val="(%2)"/>
      <w:numFmt w:val="lowerLetter"/>
      <w:start w:val="4"/>
    </w:lvl>
  </w:abstractNum>
  <w:abstractNum w:abstractNumId="124">
    <w:nsid w:val="639DEFAC"/>
    <w:multiLevelType w:val="hybridMultilevel"/>
    <w:lvl w:ilvl="0">
      <w:lvlJc w:val="left"/>
      <w:lvlText w:val="(%1)"/>
      <w:numFmt w:val="lowerLetter"/>
      <w:start w:val="5"/>
    </w:lvl>
  </w:abstractNum>
  <w:abstractNum w:abstractNumId="125">
    <w:nsid w:val="501F9786"/>
    <w:multiLevelType w:val="hybridMultilevel"/>
    <w:lvl w:ilvl="0">
      <w:lvlJc w:val="left"/>
      <w:lvlText w:val="(%1)"/>
      <w:numFmt w:val="lowerLetter"/>
      <w:start w:val="1"/>
    </w:lvl>
  </w:abstractNum>
  <w:abstractNum w:abstractNumId="126">
    <w:nsid w:val="6B057295"/>
    <w:multiLevelType w:val="hybridMultilevel"/>
    <w:lvl w:ilvl="0">
      <w:lvlJc w:val="left"/>
      <w:lvlText w:val="(%1)"/>
      <w:numFmt w:val="lowerLetter"/>
      <w:start w:val="4"/>
    </w:lvl>
  </w:abstractNum>
  <w:abstractNum w:abstractNumId="127">
    <w:nsid w:val="2771AC80"/>
    <w:multiLevelType w:val="hybridMultilevel"/>
    <w:lvl w:ilvl="0">
      <w:lvlJc w:val="left"/>
      <w:lvlText w:val="(%1)"/>
      <w:numFmt w:val="lowerLetter"/>
      <w:start w:val="1"/>
    </w:lvl>
  </w:abstractNum>
  <w:abstractNum w:abstractNumId="128">
    <w:nsid w:val="1C4A08EC"/>
    <w:multiLevelType w:val="hybridMultilevel"/>
    <w:lvl w:ilvl="0">
      <w:lvlJc w:val="left"/>
      <w:lvlText w:val="(%1)"/>
      <w:numFmt w:val="lowerLetter"/>
      <w:start w:val="1"/>
    </w:lvl>
  </w:abstractNum>
  <w:abstractNum w:abstractNumId="129">
    <w:nsid w:val="1958BD17"/>
    <w:multiLevelType w:val="hybridMultilevel"/>
    <w:lvl w:ilvl="0">
      <w:lvlJc w:val="left"/>
      <w:lvlText w:val="•"/>
      <w:numFmt w:val="bullet"/>
      <w:start w:val="1"/>
    </w:lvl>
  </w:abstractNum>
  <w:abstractNum w:abstractNumId="130">
    <w:nsid w:val="4E647FE4"/>
    <w:multiLevelType w:val="hybridMultilevel"/>
    <w:lvl w:ilvl="0">
      <w:lvlJc w:val="left"/>
      <w:lvlText w:val="(%1)"/>
      <w:numFmt w:val="lowerRoman"/>
      <w:start w:val="1"/>
    </w:lvl>
  </w:abstractNum>
  <w:abstractNum w:abstractNumId="131">
    <w:nsid w:val="E0BB885"/>
    <w:multiLevelType w:val="hybridMultilevel"/>
    <w:lvl w:ilvl="0">
      <w:lvlJc w:val="left"/>
      <w:lvlText w:val="(%1)"/>
      <w:numFmt w:val="lowerRoman"/>
      <w:start w:val="1"/>
    </w:lvl>
  </w:abstractNum>
  <w:abstractNum w:abstractNumId="132">
    <w:nsid w:val="565976F1"/>
    <w:multiLevelType w:val="hybridMultilevel"/>
    <w:lvl w:ilvl="0">
      <w:lvlJc w:val="left"/>
      <w:lvlText w:val="(%1)"/>
      <w:numFmt w:val="lowerRoman"/>
      <w:start w:val="1"/>
    </w:lvl>
  </w:abstractNum>
  <w:abstractNum w:abstractNumId="133">
    <w:nsid w:val="64212B8C"/>
    <w:multiLevelType w:val="hybridMultilevel"/>
    <w:lvl w:ilvl="0">
      <w:lvlJc w:val="left"/>
      <w:lvlText w:val="%1)"/>
      <w:numFmt w:val="lowerLetter"/>
      <w:start w:val="1"/>
    </w:lvl>
  </w:abstractNum>
  <w:abstractNum w:abstractNumId="134">
    <w:nsid w:val="5C17530C"/>
    <w:multiLevelType w:val="hybridMultilevel"/>
    <w:lvl w:ilvl="0">
      <w:lvlJc w:val="left"/>
      <w:lvlText w:val="%1)"/>
      <w:numFmt w:val="lowerLetter"/>
      <w:start w:val="2"/>
    </w:lvl>
  </w:abstractNum>
  <w:abstractNum w:abstractNumId="135">
    <w:nsid w:val="19A52566"/>
    <w:multiLevelType w:val="hybridMultilevel"/>
    <w:lvl w:ilvl="0">
      <w:lvlJc w:val="left"/>
      <w:lvlText w:val="•"/>
      <w:numFmt w:val="bullet"/>
      <w:start w:val="1"/>
    </w:lvl>
  </w:abstractNum>
  <w:abstractNum w:abstractNumId="136">
    <w:nsid w:val="335A1DF1"/>
    <w:multiLevelType w:val="hybridMultilevel"/>
    <w:lvl w:ilvl="0">
      <w:lvlJc w:val="left"/>
      <w:lvlText w:val="(%1)"/>
      <w:numFmt w:val="decimal"/>
      <w:start w:val="1"/>
    </w:lvl>
  </w:abstractNum>
  <w:abstractNum w:abstractNumId="137">
    <w:nsid w:val="28677B7C"/>
    <w:multiLevelType w:val="hybridMultilevel"/>
    <w:lvl w:ilvl="0">
      <w:lvlJc w:val="left"/>
      <w:lvlText w:val="(%1)"/>
      <w:numFmt w:val="decimal"/>
      <w:start w:val="1"/>
    </w:lvl>
  </w:abstractNum>
  <w:abstractNum w:abstractNumId="138">
    <w:nsid w:val="378D97C0"/>
    <w:multiLevelType w:val="hybridMultilevel"/>
    <w:lvl w:ilvl="0">
      <w:lvlJc w:val="left"/>
      <w:lvlText w:val="(%1)"/>
      <w:numFmt w:val="decimal"/>
      <w:start w:val="1"/>
    </w:lvl>
  </w:abstractNum>
  <w:abstractNum w:abstractNumId="139">
    <w:nsid w:val="1D91467C"/>
    <w:multiLevelType w:val="hybridMultilevel"/>
    <w:lvl w:ilvl="0">
      <w:lvlJc w:val="left"/>
      <w:lvlText w:val="%1."/>
      <w:numFmt w:val="decimal"/>
      <w:start w:val="2"/>
    </w:lvl>
  </w:abstractNum>
  <w:abstractNum w:abstractNumId="140">
    <w:nsid w:val="316032BB"/>
    <w:multiLevelType w:val="hybridMultilevel"/>
    <w:lvl w:ilvl="0">
      <w:lvlJc w:val="left"/>
      <w:lvlText w:val="$"/>
      <w:numFmt w:val="bullet"/>
      <w:start w:val="1"/>
    </w:lvl>
  </w:abstractNum>
  <w:abstractNum w:abstractNumId="141">
    <w:nsid w:val="44344C22"/>
    <w:multiLevelType w:val="hybridMultilevel"/>
    <w:lvl w:ilvl="0">
      <w:lvlJc w:val="left"/>
      <w:lvlText w:val="$"/>
      <w:numFmt w:val="bullet"/>
      <w:start w:val="1"/>
    </w:lvl>
  </w:abstractNum>
  <w:abstractNum w:abstractNumId="142">
    <w:nsid w:val="13CDFCFC"/>
    <w:multiLevelType w:val="hybridMultilevel"/>
    <w:lvl w:ilvl="0">
      <w:lvlJc w:val="left"/>
      <w:lvlText w:val="%1."/>
      <w:numFmt w:val="decimal"/>
      <w:start w:val="4"/>
    </w:lvl>
  </w:abstractNum>
  <w:abstractNum w:abstractNumId="143">
    <w:nsid w:val="471745E4"/>
    <w:multiLevelType w:val="hybridMultilevel"/>
    <w:lvl w:ilvl="0">
      <w:lvlJc w:val="left"/>
      <w:lvlText w:val="(%1)"/>
      <w:numFmt w:val="decimal"/>
      <w:start w:val="1"/>
    </w:lvl>
  </w:abstractNum>
  <w:abstractNum w:abstractNumId="144">
    <w:nsid w:val="1DDBC66"/>
    <w:multiLevelType w:val="hybridMultilevel"/>
    <w:lvl w:ilvl="0">
      <w:lvlJc w:val="left"/>
      <w:lvlText w:val="(%1)"/>
      <w:numFmt w:val="decimal"/>
      <w:start w:val="1"/>
    </w:lvl>
  </w:abstractNum>
  <w:abstractNum w:abstractNumId="145">
    <w:nsid w:val="30AADFDA"/>
    <w:multiLevelType w:val="hybridMultilevel"/>
    <w:lvl w:ilvl="0">
      <w:lvlJc w:val="left"/>
      <w:lvlText w:val="(%1)"/>
      <w:numFmt w:val="decimal"/>
      <w:start w:val="1"/>
    </w:lvl>
  </w:abstractNum>
  <w:abstractNum w:abstractNumId="146">
    <w:nsid w:val="30EADA61"/>
    <w:multiLevelType w:val="hybridMultilevel"/>
    <w:lvl w:ilvl="0">
      <w:lvlJc w:val="left"/>
      <w:lvlText w:val="(%1)"/>
      <w:numFmt w:val="decimal"/>
      <w:start w:val="1"/>
    </w:lvl>
  </w:abstractNum>
  <w:abstractNum w:abstractNumId="147">
    <w:nsid w:val="27179C0B"/>
    <w:multiLevelType w:val="hybridMultilevel"/>
    <w:lvl w:ilvl="0">
      <w:lvlJc w:val="left"/>
      <w:lvlText w:val="(%1)"/>
      <w:numFmt w:val="decimal"/>
      <w:start w:val="1"/>
    </w:lvl>
  </w:abstractNum>
  <w:abstractNum w:abstractNumId="148">
    <w:nsid w:val="5E636063"/>
    <w:multiLevelType w:val="hybridMultilevel"/>
    <w:lvl w:ilvl="0">
      <w:lvlJc w:val="left"/>
      <w:lvlText w:val="%1."/>
      <w:numFmt w:val="decimal"/>
      <w:start w:val="2"/>
    </w:lvl>
  </w:abstractNum>
  <w:abstractNum w:abstractNumId="149">
    <w:nsid w:val="215641AF"/>
    <w:multiLevelType w:val="hybridMultilevel"/>
    <w:lvl w:ilvl="0">
      <w:lvlJc w:val="left"/>
      <w:lvlText w:val="%1."/>
      <w:numFmt w:val="decimal"/>
      <w:start w:val="4"/>
    </w:lvl>
  </w:abstractNum>
  <w:abstractNum w:abstractNumId="150">
    <w:nsid w:val="53280662"/>
    <w:multiLevelType w:val="hybridMultilevel"/>
    <w:lvl w:ilvl="0">
      <w:lvlJc w:val="left"/>
      <w:lvlText w:val="%1."/>
      <w:numFmt w:val="decimal"/>
      <w:start w:val="7"/>
    </w:lvl>
  </w:abstractNum>
  <w:abstractNum w:abstractNumId="151">
    <w:nsid w:val="46B24DBC"/>
    <w:multiLevelType w:val="hybridMultilevel"/>
    <w:lvl w:ilvl="0">
      <w:lvlJc w:val="left"/>
      <w:lvlText w:val="(%1)"/>
      <w:numFmt w:val="decimal"/>
      <w:start w:val="1"/>
    </w:lvl>
  </w:abstractNum>
  <w:abstractNum w:abstractNumId="152">
    <w:nsid w:val="75B52783"/>
    <w:multiLevelType w:val="hybridMultilevel"/>
    <w:lvl w:ilvl="0">
      <w:lvlJc w:val="left"/>
      <w:lvlText w:val="%1."/>
      <w:numFmt w:val="decimal"/>
      <w:start w:val="1"/>
    </w:lvl>
  </w:abstractNum>
  <w:abstractNum w:abstractNumId="153">
    <w:nsid w:val="57CE66B4"/>
    <w:multiLevelType w:val="hybridMultilevel"/>
    <w:lvl w:ilvl="0">
      <w:lvlJc w:val="left"/>
      <w:lvlText w:val="%1."/>
      <w:numFmt w:val="decimal"/>
      <w:start w:val="3"/>
    </w:lvl>
  </w:abstractNum>
  <w:abstractNum w:abstractNumId="154">
    <w:nsid w:val="67A70B69"/>
    <w:multiLevelType w:val="hybridMultilevel"/>
    <w:lvl w:ilvl="0">
      <w:lvlJc w:val="left"/>
      <w:lvlText w:val="%1."/>
      <w:numFmt w:val="decimal"/>
      <w:start w:val="4"/>
    </w:lvl>
  </w:abstractNum>
  <w:abstractNum w:abstractNumId="155">
    <w:nsid w:val="5953172F"/>
    <w:multiLevelType w:val="hybridMultilevel"/>
    <w:lvl w:ilvl="0">
      <w:lvlJc w:val="left"/>
      <w:lvlText w:val="(%1)"/>
      <w:numFmt w:val="lowerLetter"/>
      <w:start w:val="1"/>
    </w:lvl>
    <w:lvl w:ilvl="1">
      <w:lvlJc w:val="left"/>
      <w:lvlText w:val="(%2)"/>
      <w:numFmt w:val="decimal"/>
      <w:start w:val="1"/>
    </w:lvl>
  </w:abstractNum>
  <w:abstractNum w:abstractNumId="156">
    <w:nsid w:val="27EDFE3A"/>
    <w:multiLevelType w:val="hybridMultilevel"/>
    <w:lvl w:ilvl="0">
      <w:lvlJc w:val="left"/>
      <w:lvlText w:val=" "/>
      <w:numFmt w:val="bullet"/>
      <w:start w:val="1"/>
    </w:lvl>
  </w:abstractNum>
  <w:abstractNum w:abstractNumId="157">
    <w:nsid w:val="52AC7DFF"/>
    <w:multiLevelType w:val="hybridMultilevel"/>
    <w:lvl w:ilvl="0">
      <w:lvlJc w:val="left"/>
      <w:lvlText w:val=" "/>
      <w:numFmt w:val="bullet"/>
      <w:start w:val="1"/>
    </w:lvl>
  </w:abstractNum>
  <w:abstractNum w:abstractNumId="158">
    <w:nsid w:val="C4C3AF"/>
    <w:multiLevelType w:val="hybridMultilevel"/>
    <w:lvl w:ilvl="0">
      <w:lvlJc w:val="left"/>
      <w:lvlText w:val=" "/>
      <w:numFmt w:val="bullet"/>
      <w:start w:val="1"/>
    </w:lvl>
  </w:abstractNum>
  <w:abstractNum w:abstractNumId="159">
    <w:nsid w:val="44380727"/>
    <w:multiLevelType w:val="hybridMultilevel"/>
    <w:lvl w:ilvl="0">
      <w:lvlJc w:val="left"/>
      <w:lvlText w:val=" "/>
      <w:numFmt w:val="bullet"/>
      <w:start w:val="1"/>
    </w:lvl>
  </w:abstractNum>
  <w:abstractNum w:abstractNumId="160">
    <w:nsid w:val="6C053B16"/>
    <w:multiLevelType w:val="hybridMultilevel"/>
    <w:lvl w:ilvl="0">
      <w:lvlJc w:val="left"/>
      <w:lvlText w:val=" "/>
      <w:numFmt w:val="bullet"/>
      <w:start w:val="1"/>
    </w:lvl>
  </w:abstractNum>
  <w:abstractNum w:abstractNumId="161">
    <w:nsid w:val="4F294393"/>
    <w:multiLevelType w:val="hybridMultilevel"/>
    <w:lvl w:ilvl="0">
      <w:lvlJc w:val="left"/>
      <w:lvlText w:val="#"/>
      <w:numFmt w:val="bullet"/>
      <w:start w:val="1"/>
    </w:lvl>
  </w:abstractNum>
  <w:abstractNum w:abstractNumId="162">
    <w:nsid w:val="5243BFAC"/>
    <w:multiLevelType w:val="hybridMultilevel"/>
    <w:lvl w:ilvl="0">
      <w:lvlJc w:val="left"/>
      <w:lvlText w:val="†"/>
      <w:numFmt w:val="bullet"/>
      <w:start w:val="1"/>
    </w:lvl>
  </w:abstractNum>
  <w:abstractNum w:abstractNumId="163">
    <w:nsid w:val="425EB207"/>
    <w:multiLevelType w:val="hybridMultilevel"/>
    <w:lvl w:ilvl="0">
      <w:lvlJc w:val="left"/>
      <w:lvlText w:val="^"/>
      <w:numFmt w:val="bullet"/>
      <w:start w:val="1"/>
    </w:lvl>
  </w:abstractNum>
  <w:abstractNum w:abstractNumId="164">
    <w:nsid w:val="334A6F1F"/>
    <w:multiLevelType w:val="hybridMultilevel"/>
    <w:lvl w:ilvl="0">
      <w:lvlJc w:val="left"/>
      <w:lvlText w:val="%1."/>
      <w:numFmt w:val="decimal"/>
      <w:start w:val="1"/>
    </w:lvl>
    <w:lvl w:ilvl="1">
      <w:lvlJc w:val="left"/>
      <w:lvlText w:val="(%2)"/>
      <w:numFmt w:val="lowerLetter"/>
      <w:start w:val="1"/>
    </w:lvl>
  </w:abstractNum>
  <w:abstractNum w:abstractNumId="165">
    <w:nsid w:val="2E5B12B8"/>
    <w:multiLevelType w:val="hybridMultilevel"/>
    <w:lvl w:ilvl="0">
      <w:lvlJc w:val="left"/>
      <w:lvlText w:val="(%1)"/>
      <w:numFmt w:val="lowerLetter"/>
      <w:start w:val="3"/>
    </w:lvl>
  </w:abstractNum>
  <w:abstractNum w:abstractNumId="166">
    <w:nsid w:val="5C03D76D"/>
    <w:multiLevelType w:val="hybridMultilevel"/>
    <w:lvl w:ilvl="0">
      <w:lvlJc w:val="left"/>
      <w:lvlText w:val="(%1)"/>
      <w:numFmt w:val="lowerLetter"/>
      <w:start w:val="7"/>
    </w:lvl>
  </w:abstractNum>
  <w:abstractNum w:abstractNumId="167">
    <w:nsid w:val="66A48D11"/>
    <w:multiLevelType w:val="hybridMultilevel"/>
    <w:lvl w:ilvl="0">
      <w:lvlJc w:val="left"/>
      <w:lvlText w:val="§"/>
      <w:numFmt w:val="bullet"/>
      <w:start w:val="1"/>
    </w:lvl>
    <w:lvl w:ilvl="1">
      <w:lvlJc w:val="left"/>
      <w:lvlText w:val="(%2)"/>
      <w:numFmt w:val="lowerLetter"/>
      <w:start w:val="12"/>
    </w:lvl>
  </w:abstractNum>
  <w:abstractNum w:abstractNumId="168">
    <w:nsid w:val="56C28E34"/>
    <w:multiLevelType w:val="hybridMultilevel"/>
    <w:lvl w:ilvl="0">
      <w:lvlJc w:val="left"/>
      <w:lvlText w:val="§"/>
      <w:numFmt w:val="bullet"/>
      <w:start w:val="1"/>
    </w:lvl>
    <w:lvl w:ilvl="1">
      <w:lvlJc w:val="left"/>
      <w:lvlText w:val="(%2)"/>
      <w:numFmt w:val="lowerLetter"/>
      <w:start w:val="15"/>
    </w:lvl>
  </w:abstractNum>
  <w:abstractNum w:abstractNumId="169">
    <w:nsid w:val="13916F2D"/>
    <w:multiLevelType w:val="hybridMultilevel"/>
    <w:lvl w:ilvl="0">
      <w:lvlJc w:val="left"/>
      <w:lvlText w:val="(%1)"/>
      <w:numFmt w:val="lowerLetter"/>
      <w:start w:val="16"/>
    </w:lvl>
    <w:lvl w:ilvl="1">
      <w:lvlJc w:val="left"/>
      <w:lvlText w:val="(%2)"/>
      <w:numFmt w:val="upperLetter"/>
      <w:start w:val="1"/>
    </w:lvl>
  </w:abstractNum>
  <w:abstractNum w:abstractNumId="170">
    <w:nsid w:val="435D38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71">
    <w:nsid w:val="822C0EF"/>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72">
    <w:nsid w:val="57C5BB4F"/>
    <w:multiLevelType w:val="hybridMultilevel"/>
    <w:lvl w:ilvl="0">
      <w:lvlJc w:val="left"/>
      <w:lvlText w:val="(%1)"/>
      <w:numFmt w:val="lowerLetter"/>
      <w:start w:val="21"/>
    </w:lvl>
    <w:lvl w:ilvl="1">
      <w:lvlJc w:val="left"/>
      <w:lvlText w:val="%2"/>
      <w:numFmt w:val="lowerRoman"/>
      <w:start w:val="1"/>
    </w:lvl>
    <w:lvl w:ilvl="2">
      <w:lvlJc w:val="left"/>
      <w:lvlText w:val="%3"/>
      <w:numFmt w:val="upperLetter"/>
      <w:start w:val="1"/>
    </w:lvl>
  </w:abstractNum>
  <w:abstractNum w:abstractNumId="173">
    <w:nsid w:val="1803D089"/>
    <w:multiLevelType w:val="hybridMultilevel"/>
    <w:lvl w:ilvl="0">
      <w:lvlJc w:val="left"/>
      <w:lvlText w:val="%1"/>
      <w:numFmt w:val="lowerLetter"/>
      <w:start w:val="1"/>
    </w:lvl>
    <w:lvl w:ilvl="1">
      <w:lvlJc w:val="left"/>
      <w:lvlText w:val="(%2)"/>
      <w:numFmt w:val="lowerLetter"/>
      <w:start w:val="22"/>
    </w:lvl>
  </w:abstractNum>
  <w:abstractNum w:abstractNumId="174">
    <w:nsid w:val="4F3A06D4"/>
    <w:multiLevelType w:val="hybridMultilevel"/>
    <w:lvl w:ilvl="0">
      <w:lvlJc w:val="left"/>
      <w:lvlText w:val="(%1)"/>
      <w:numFmt w:val="lowerLetter"/>
      <w:start w:val="61"/>
    </w:lvl>
    <w:lvl w:ilvl="1">
      <w:lvlJc w:val="left"/>
      <w:lvlText w:val="%2"/>
      <w:numFmt w:val="lowerLetter"/>
      <w:start w:val="1"/>
    </w:lvl>
  </w:abstractNum>
  <w:abstractNum w:abstractNumId="175">
    <w:nsid w:val="59A377B6"/>
    <w:multiLevelType w:val="hybridMultilevel"/>
    <w:lvl w:ilvl="0">
      <w:lvlJc w:val="left"/>
      <w:lvlText w:val="(%1)"/>
      <w:numFmt w:val="lowerLetter"/>
      <w:start w:val="25"/>
    </w:lvl>
  </w:abstractNum>
  <w:abstractNum w:abstractNumId="176">
    <w:nsid w:val="48AEB063"/>
    <w:multiLevelType w:val="hybridMultilevel"/>
    <w:lvl w:ilvl="0">
      <w:lvlJc w:val="left"/>
      <w:lvlText w:val="(%1)"/>
      <w:numFmt w:val="lowerLetter"/>
      <w:start w:val="61"/>
    </w:lvl>
    <w:lvl w:ilvl="1">
      <w:lvlJc w:val="left"/>
      <w:lvlText w:val="(%2)"/>
      <w:numFmt w:val="lowerLetter"/>
      <w:start w:val="27"/>
    </w:lvl>
  </w:abstractNum>
  <w:abstractNum w:abstractNumId="177">
    <w:nsid w:val="24E135"/>
    <w:multiLevelType w:val="hybridMultilevel"/>
    <w:lvl w:ilvl="0">
      <w:lvlJc w:val="left"/>
      <w:lvlText w:val="(%1)"/>
      <w:numFmt w:val="lowerLetter"/>
      <w:start w:val="35"/>
    </w:lvl>
    <w:lvl w:ilvl="1">
      <w:lvlJc w:val="left"/>
      <w:lvlText w:val="(%2)"/>
      <w:numFmt w:val="lowerLetter"/>
      <w:start w:val="29"/>
    </w:lvl>
  </w:abstractNum>
  <w:abstractNum w:abstractNumId="178">
    <w:nsid w:val="BB13C1"/>
    <w:multiLevelType w:val="hybridMultilevel"/>
    <w:lvl w:ilvl="0">
      <w:lvlJc w:val="left"/>
      <w:lvlText w:val="(%1)"/>
      <w:numFmt w:val="lowerLetter"/>
      <w:start w:val="30"/>
    </w:lvl>
  </w:abstractNum>
  <w:abstractNum w:abstractNumId="179">
    <w:nsid w:val="271210C7"/>
    <w:multiLevelType w:val="hybridMultilevel"/>
    <w:lvl w:ilvl="0">
      <w:lvlJc w:val="left"/>
      <w:lvlText w:val="%1"/>
      <w:numFmt w:val="lowerRoman"/>
      <w:start w:val="1"/>
    </w:lvl>
    <w:lvl w:ilvl="1">
      <w:lvlJc w:val="left"/>
      <w:lvlText w:val="(%2)"/>
      <w:numFmt w:val="lowerLetter"/>
      <w:start w:val="33"/>
    </w:lvl>
  </w:abstractNum>
  <w:abstractNum w:abstractNumId="180">
    <w:nsid w:val="217B22E4"/>
    <w:multiLevelType w:val="hybridMultilevel"/>
    <w:lvl w:ilvl="0">
      <w:lvlJc w:val="left"/>
      <w:lvlText w:val="(%1)"/>
      <w:numFmt w:val="lowerRoman"/>
      <w:start w:val="1"/>
    </w:lvl>
    <w:lvl w:ilvl="1">
      <w:lvlJc w:val="left"/>
      <w:lvlText w:val="(%2)"/>
      <w:numFmt w:val="lowerLetter"/>
      <w:start w:val="35"/>
    </w:lvl>
  </w:abstractNum>
  <w:abstractNum w:abstractNumId="181">
    <w:nsid w:val="53E31A24"/>
    <w:multiLevelType w:val="hybridMultilevel"/>
    <w:lvl w:ilvl="0">
      <w:lvlJc w:val="left"/>
      <w:lvlText w:val="(%1)"/>
      <w:numFmt w:val="lowerLetter"/>
      <w:start w:val="36"/>
    </w:lvl>
  </w:abstractNum>
  <w:abstractNum w:abstractNumId="182">
    <w:nsid w:val="6DC45E83"/>
    <w:multiLevelType w:val="hybridMultilevel"/>
    <w:lvl w:ilvl="0">
      <w:lvlJc w:val="left"/>
      <w:lvlText w:val="(%1)"/>
      <w:numFmt w:val="lowerLetter"/>
      <w:start w:val="40"/>
    </w:lvl>
  </w:abstractNum>
  <w:abstractNum w:abstractNumId="183">
    <w:nsid w:val="17304A67"/>
    <w:multiLevelType w:val="hybridMultilevel"/>
    <w:lvl w:ilvl="0">
      <w:lvlJc w:val="left"/>
      <w:lvlText w:val="%1"/>
      <w:numFmt w:val="decimal"/>
      <w:start w:val="1"/>
    </w:lvl>
    <w:lvl w:ilvl="1">
      <w:lvlJc w:val="left"/>
      <w:lvlText w:val="(%2)"/>
      <w:numFmt w:val="lowerLetter"/>
      <w:start w:val="41"/>
    </w:lvl>
  </w:abstractNum>
  <w:abstractNum w:abstractNumId="184">
    <w:nsid w:val="2BB180D8"/>
    <w:multiLevelType w:val="hybridMultilevel"/>
    <w:lvl w:ilvl="0">
      <w:lvlJc w:val="left"/>
      <w:lvlText w:val="%1."/>
      <w:numFmt w:val="decimal"/>
      <w:start w:val="2"/>
    </w:lvl>
    <w:lvl w:ilvl="1">
      <w:lvlJc w:val="left"/>
      <w:lvlText w:val="%2"/>
      <w:numFmt w:val="lowerLetter"/>
      <w:start w:val="1"/>
    </w:lvl>
  </w:abstractNum>
  <w:abstractNum w:abstractNumId="185">
    <w:nsid w:val="556B69ED"/>
    <w:multiLevelType w:val="hybridMultilevel"/>
    <w:lvl w:ilvl="0">
      <w:lvlJc w:val="left"/>
      <w:lvlText w:val="%1."/>
      <w:numFmt w:val="decimal"/>
      <w:start w:val="3"/>
    </w:lvl>
  </w:abstractNum>
  <w:abstractNum w:abstractNumId="186">
    <w:nsid w:val="70836196"/>
    <w:multiLevelType w:val="hybridMultilevel"/>
    <w:lvl w:ilvl="0">
      <w:lvlJc w:val="left"/>
      <w:lvlText w:val="%1."/>
      <w:numFmt w:val="decimal"/>
      <w:start w:val="4"/>
    </w:lvl>
  </w:abstractNum>
  <w:abstractNum w:abstractNumId="187">
    <w:nsid w:val="539F7F12"/>
    <w:multiLevelType w:val="hybridMultilevel"/>
    <w:lvl w:ilvl="0">
      <w:lvlJc w:val="left"/>
      <w:lvlText w:val="%1."/>
      <w:numFmt w:val="decimal"/>
      <w:start w:val="5"/>
    </w:lvl>
  </w:abstractNum>
  <w:abstractNum w:abstractNumId="188">
    <w:nsid w:val="2817E7EC"/>
    <w:multiLevelType w:val="hybridMultilevel"/>
    <w:lvl w:ilvl="0">
      <w:lvlJc w:val="left"/>
      <w:lvlText w:val="(%1)"/>
      <w:numFmt w:val="lowerLetter"/>
      <w:start w:val="1"/>
    </w:lvl>
    <w:lvl w:ilvl="1">
      <w:lvlJc w:val="left"/>
      <w:lvlText w:val="(%2)"/>
      <w:numFmt w:val="lowerRoman"/>
      <w:start w:val="1"/>
    </w:lvl>
  </w:abstractNum>
  <w:abstractNum w:abstractNumId="189">
    <w:nsid w:val="71482545"/>
    <w:multiLevelType w:val="hybridMultilevel"/>
    <w:lvl w:ilvl="0">
      <w:lvlJc w:val="left"/>
      <w:lvlText w:val="(%1)"/>
      <w:numFmt w:val="lowerLetter"/>
      <w:start w:val="2"/>
    </w:lvl>
  </w:abstractNum>
  <w:abstractNum w:abstractNumId="190">
    <w:nsid w:val="17D78639"/>
    <w:multiLevelType w:val="hybridMultilevel"/>
    <w:lvl w:ilvl="0">
      <w:lvlJc w:val="left"/>
      <w:lvlText w:val="(%1)"/>
      <w:numFmt w:val="lowerLetter"/>
      <w:start w:val="3"/>
    </w:lvl>
  </w:abstractNum>
  <w:abstractNum w:abstractNumId="191">
    <w:nsid w:val="141D2302"/>
    <w:multiLevelType w:val="hybridMultilevel"/>
    <w:lvl w:ilvl="0">
      <w:lvlJc w:val="left"/>
      <w:lvlText w:val="(%1)"/>
      <w:numFmt w:val="lowerLetter"/>
      <w:start w:val="5"/>
    </w:lvl>
  </w:abstractNum>
  <w:abstractNum w:abstractNumId="192">
    <w:nsid w:val="407168D8"/>
    <w:multiLevelType w:val="hybridMultilevel"/>
    <w:lvl w:ilvl="0">
      <w:lvlJc w:val="left"/>
      <w:lvlText w:val="(%1)"/>
      <w:numFmt w:val="lowerLetter"/>
      <w:start w:val="6"/>
    </w:lvl>
    <w:lvl w:ilvl="1">
      <w:lvlJc w:val="left"/>
      <w:lvlText w:val="(%2)"/>
      <w:numFmt w:val="lowerRoman"/>
      <w:start w:val="1"/>
    </w:lvl>
  </w:abstractNum>
  <w:abstractNum w:abstractNumId="193">
    <w:nsid w:val="6A1B45E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194">
    <w:nsid w:val="567BD50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95">
    <w:nsid w:val="73BBD7F8"/>
    <w:multiLevelType w:val="hybridMultilevel"/>
    <w:lvl w:ilvl="0">
      <w:lvlJc w:val="left"/>
      <w:lvlText w:val="(%1)"/>
      <w:numFmt w:val="lowerLetter"/>
      <w:start w:val="6"/>
    </w:lvl>
  </w:abstractNum>
  <w:abstractNum w:abstractNumId="196">
    <w:nsid w:val="1876589D"/>
    <w:multiLevelType w:val="hybridMultilevel"/>
    <w:lvl w:ilvl="0">
      <w:lvlJc w:val="left"/>
      <w:lvlText w:val="(%1)"/>
      <w:numFmt w:val="lowerRoman"/>
      <w:start w:val="1"/>
    </w:lvl>
  </w:abstractNum>
  <w:abstractNum w:abstractNumId="197">
    <w:nsid w:val="327FAC77"/>
    <w:multiLevelType w:val="hybridMultilevel"/>
    <w:lvl w:ilvl="0">
      <w:lvlJc w:val="left"/>
      <w:lvlText w:val="(%1)"/>
      <w:numFmt w:val="lowerLetter"/>
      <w:start w:val="10"/>
    </w:lvl>
  </w:abstractNum>
  <w:abstractNum w:abstractNumId="198">
    <w:nsid w:val="5A606509"/>
    <w:multiLevelType w:val="hybridMultilevel"/>
    <w:lvl w:ilvl="0">
      <w:lvlJc w:val="left"/>
      <w:lvlText w:val="(%1)"/>
      <w:numFmt w:val="decimal"/>
      <w:start w:val="1"/>
    </w:lvl>
  </w:abstractNum>
  <w:abstractNum w:abstractNumId="199">
    <w:nsid w:val="6F38E6D1"/>
    <w:multiLevelType w:val="hybridMultilevel"/>
    <w:lvl w:ilvl="0">
      <w:lvlJc w:val="left"/>
      <w:lvlText w:val="(%1)"/>
      <w:numFmt w:val="lowerRoman"/>
      <w:start w:val="2"/>
    </w:lvl>
  </w:abstractNum>
  <w:abstractNum w:abstractNumId="200">
    <w:nsid w:val="46111BA5"/>
    <w:multiLevelType w:val="hybridMultilevel"/>
    <w:lvl w:ilvl="0">
      <w:lvlJc w:val="left"/>
      <w:lvlText w:val="%1."/>
      <w:numFmt w:val="decimal"/>
      <w:start w:val="7"/>
    </w:lvl>
  </w:abstractNum>
  <w:abstractNum w:abstractNumId="201">
    <w:nsid w:val="5E963896"/>
    <w:multiLevelType w:val="hybridMultilevel"/>
    <w:lvl w:ilvl="0">
      <w:lvlJc w:val="left"/>
      <w:lvlText w:val="(%1)"/>
      <w:numFmt w:val="lowerLetter"/>
      <w:start w:val="2"/>
    </w:lvl>
  </w:abstractNum>
  <w:abstractNum w:abstractNumId="202">
    <w:nsid w:val="775BA7C1"/>
    <w:multiLevelType w:val="hybridMultilevel"/>
    <w:lvl w:ilvl="0">
      <w:lvlJc w:val="left"/>
      <w:lvlText w:val="(%1)"/>
      <w:numFmt w:val="lowerLetter"/>
      <w:start w:val="4"/>
    </w:lvl>
  </w:abstractNum>
  <w:abstractNum w:abstractNumId="203">
    <w:nsid w:val="1DD6D6F4"/>
    <w:multiLevelType w:val="hybridMultilevel"/>
    <w:lvl w:ilvl="0">
      <w:lvlJc w:val="left"/>
      <w:lvlText w:val="%1"/>
      <w:numFmt w:val="lowerLetter"/>
      <w:start w:val="1"/>
    </w:lvl>
    <w:lvl w:ilvl="1">
      <w:lvlJc w:val="left"/>
      <w:lvlText w:val="(%2)"/>
      <w:numFmt w:val="lowerLetter"/>
      <w:start w:val="5"/>
    </w:lvl>
  </w:abstractNum>
  <w:abstractNum w:abstractNumId="204">
    <w:nsid w:val="769A091F"/>
    <w:multiLevelType w:val="hybridMultilevel"/>
    <w:lvl w:ilvl="0">
      <w:lvlJc w:val="left"/>
      <w:lvlText w:val="(%1)"/>
      <w:numFmt w:val="lowerLetter"/>
      <w:start w:val="35"/>
    </w:lvl>
    <w:lvl w:ilvl="1">
      <w:lvlJc w:val="left"/>
      <w:lvlText w:val="%2"/>
      <w:numFmt w:val="lowerLetter"/>
      <w:start w:val="1"/>
    </w:lvl>
  </w:abstractNum>
  <w:abstractNum w:abstractNumId="205">
    <w:nsid w:val="4695AE95"/>
    <w:multiLevelType w:val="hybridMultilevel"/>
    <w:lvl w:ilvl="0">
      <w:lvlJc w:val="left"/>
      <w:lvlText w:val="%1."/>
      <w:numFmt w:val="decimal"/>
      <w:start w:val="9"/>
    </w:lvl>
  </w:abstractNum>
  <w:abstractNum w:abstractNumId="206">
    <w:nsid w:val="777A4EAA"/>
    <w:multiLevelType w:val="hybridMultilevel"/>
    <w:lvl w:ilvl="0">
      <w:lvlJc w:val="left"/>
      <w:lvlText w:val="%1."/>
      <w:numFmt w:val="decimal"/>
      <w:start w:val="11"/>
    </w:lvl>
    <w:lvl w:ilvl="1">
      <w:lvlJc w:val="left"/>
      <w:lvlText w:val="(%2)"/>
      <w:numFmt w:val="lowerLetter"/>
      <w:start w:val="2"/>
    </w:lvl>
  </w:abstractNum>
  <w:abstractNum w:abstractNumId="207">
    <w:nsid w:val="3F48B982"/>
    <w:multiLevelType w:val="hybridMultilevel"/>
    <w:lvl w:ilvl="0">
      <w:lvlJc w:val="left"/>
      <w:lvlText w:val="%1."/>
      <w:numFmt w:val="decimal"/>
      <w:start w:val="13"/>
    </w:lvl>
  </w:abstractNum>
  <w:abstractNum w:abstractNumId="208">
    <w:nsid w:val="46BA8FCA"/>
    <w:multiLevelType w:val="hybridMultilevel"/>
    <w:lvl w:ilvl="0">
      <w:lvlJc w:val="left"/>
      <w:lvlText w:val="%1."/>
      <w:numFmt w:val="decimal"/>
      <w:start w:val="1"/>
    </w:lvl>
  </w:abstractNum>
  <w:abstractNum w:abstractNumId="209">
    <w:nsid w:val="7835626C"/>
    <w:multiLevelType w:val="hybridMultilevel"/>
    <w:lvl w:ilvl="0">
      <w:lvlJc w:val="left"/>
      <w:lvlText w:val="%1."/>
      <w:numFmt w:val="decimal"/>
      <w:start w:val="1"/>
    </w:lvl>
  </w:abstractNum>
  <w:abstractNum w:abstractNumId="210">
    <w:nsid w:val="665ACA49"/>
    <w:multiLevelType w:val="hybridMultilevel"/>
    <w:lvl w:ilvl="0">
      <w:lvlJc w:val="left"/>
      <w:lvlText w:val="%1."/>
      <w:numFmt w:val="decimal"/>
      <w:start w:val="1"/>
    </w:lvl>
  </w:abstractNum>
  <w:abstractNum w:abstractNumId="211">
    <w:nsid w:val="6835B2AE"/>
    <w:multiLevelType w:val="hybridMultilevel"/>
    <w:lvl w:ilvl="0">
      <w:lvlJc w:val="left"/>
      <w:lvlText w:val="%1"/>
      <w:numFmt w:val="lowerLetter"/>
      <w:start w:val="1"/>
    </w:lvl>
    <w:lvl w:ilvl="1">
      <w:lvlJc w:val="left"/>
      <w:lvlText w:val="(%2)"/>
      <w:numFmt w:val="lowerLetter"/>
      <w:start w:val="1"/>
    </w:lvl>
  </w:abstractNum>
  <w:abstractNum w:abstractNumId="212">
    <w:nsid w:val="4C187C90"/>
    <w:multiLevelType w:val="hybridMultilevel"/>
    <w:lvl w:ilvl="0">
      <w:lvlJc w:val="left"/>
      <w:lvlText w:val="(%1)"/>
      <w:numFmt w:val="lowerLetter"/>
      <w:start w:val="61"/>
    </w:lvl>
    <w:lvl w:ilvl="1">
      <w:lvlJc w:val="left"/>
      <w:lvlText w:val="(%2)"/>
      <w:numFmt w:val="lowerLetter"/>
      <w:start w:val="3"/>
    </w:lvl>
  </w:abstractNum>
  <w:abstractNum w:abstractNumId="213">
    <w:nsid w:val="541F28CD"/>
    <w:multiLevelType w:val="hybridMultilevel"/>
    <w:lvl w:ilvl="0">
      <w:lvlJc w:val="left"/>
      <w:lvlText w:val="(%1)"/>
      <w:numFmt w:val="upperLetter"/>
      <w:start w:val="1"/>
    </w:lvl>
    <w:lvl w:ilvl="1">
      <w:lvlJc w:val="left"/>
      <w:lvlText w:val="(%2)"/>
      <w:numFmt w:val="lowerLetter"/>
      <w:start w:val="5"/>
    </w:lvl>
  </w:abstractNum>
  <w:abstractNum w:abstractNumId="214">
    <w:nsid w:val="7F65FD16"/>
    <w:multiLevelType w:val="hybridMultilevel"/>
    <w:lvl w:ilvl="0">
      <w:lvlJc w:val="left"/>
      <w:lvlText w:val="(%1)"/>
      <w:numFmt w:val="lowerLetter"/>
      <w:start w:val="9"/>
    </w:lvl>
  </w:abstractNum>
  <w:abstractNum w:abstractNumId="215">
    <w:nsid w:val="77C9FD68"/>
    <w:multiLevelType w:val="hybridMultilevel"/>
    <w:lvl w:ilvl="0">
      <w:lvlJc w:val="left"/>
      <w:lvlText w:val="%1."/>
      <w:numFmt w:val="decimal"/>
      <w:start w:val="1"/>
    </w:lvl>
  </w:abstractNum>
  <w:abstractNum w:abstractNumId="216">
    <w:nsid w:val="298A92BA"/>
    <w:multiLevelType w:val="hybridMultilevel"/>
    <w:lvl w:ilvl="0">
      <w:lvlJc w:val="left"/>
      <w:lvlText w:val="(%1)"/>
      <w:numFmt w:val="lowerRoman"/>
      <w:start w:val="2"/>
    </w:lvl>
  </w:abstractNum>
  <w:abstractNum w:abstractNumId="217">
    <w:nsid w:val="6FE95EAC"/>
    <w:multiLevelType w:val="hybridMultilevel"/>
    <w:lvl w:ilvl="0">
      <w:lvlJc w:val="left"/>
      <w:lvlText w:val="(%1)"/>
      <w:numFmt w:val="lowerRoman"/>
      <w:start w:val="2"/>
    </w:lvl>
  </w:abstractNum>
  <w:abstractNum w:abstractNumId="218">
    <w:nsid w:val="4B697C7A"/>
    <w:multiLevelType w:val="hybridMultilevel"/>
    <w:lvl w:ilvl="0">
      <w:lvlJc w:val="left"/>
      <w:lvlText w:val="(%1)"/>
      <w:numFmt w:val="lowerRoman"/>
      <w:start w:val="2"/>
    </w:lvl>
  </w:abstractNum>
  <w:abstractNum w:abstractNumId="219">
    <w:nsid w:val="51A27AA6"/>
    <w:multiLevelType w:val="hybridMultilevel"/>
    <w:lvl w:ilvl="0">
      <w:lvlJc w:val="left"/>
      <w:lvlText w:val="☐"/>
      <w:numFmt w:val="bullet"/>
      <w:start w:val="1"/>
    </w:lvl>
  </w:abstractNum>
  <w:abstractNum w:abstractNumId="220">
    <w:nsid w:val="613183F2"/>
    <w:multiLevelType w:val="hybridMultilevel"/>
    <w:lvl w:ilvl="0">
      <w:lvlJc w:val="left"/>
      <w:lvlText w:val="☐"/>
      <w:numFmt w:val="bullet"/>
      <w:start w:val="1"/>
    </w:lvl>
  </w:abstractNum>
  <w:abstractNum w:abstractNumId="221">
    <w:nsid w:val="634102B4"/>
    <w:multiLevelType w:val="hybridMultilevel"/>
    <w:lvl w:ilvl="0">
      <w:lvlJc w:val="left"/>
      <w:lvlText w:val="☐"/>
      <w:numFmt w:val="bullet"/>
      <w:start w:val="1"/>
    </w:lvl>
  </w:abstractNum>
  <w:abstractNum w:abstractNumId="222">
    <w:nsid w:val="65BF9DA8"/>
    <w:multiLevelType w:val="hybridMultilevel"/>
    <w:lvl w:ilvl="0">
      <w:lvlJc w:val="left"/>
      <w:lvlText w:val="☐"/>
      <w:numFmt w:val="bullet"/>
      <w:start w:val="1"/>
    </w:lvl>
  </w:abstractNum>
  <w:abstractNum w:abstractNumId="223">
    <w:nsid w:val="21A2ECCA"/>
    <w:multiLevelType w:val="hybridMultilevel"/>
    <w:lvl w:ilvl="0">
      <w:lvlJc w:val="left"/>
      <w:lvlText w:val="☐"/>
      <w:numFmt w:val="bullet"/>
      <w:start w:val="1"/>
    </w:lvl>
  </w:abstractNum>
  <w:abstractNum w:abstractNumId="224">
    <w:nsid w:val="4D5C4899"/>
    <w:multiLevelType w:val="hybridMultilevel"/>
    <w:lvl w:ilvl="0">
      <w:lvlJc w:val="left"/>
      <w:lvlText w:val="%1."/>
      <w:numFmt w:val="decimal"/>
      <w:start w:val="1"/>
    </w:lvl>
  </w:abstractNum>
  <w:abstractNum w:abstractNumId="225">
    <w:nsid w:val="3C3B72B2"/>
    <w:multiLevelType w:val="hybridMultilevel"/>
    <w:lvl w:ilvl="0">
      <w:lvlJc w:val="left"/>
      <w:lvlText w:val="%1."/>
      <w:numFmt w:val="decimal"/>
      <w:start w:val="7"/>
    </w:lvl>
  </w:abstractNum>
  <w:abstractNum w:abstractNumId="226">
    <w:nsid w:val="155EC4C2"/>
    <w:multiLevelType w:val="hybridMultilevel"/>
    <w:lvl w:ilvl="0">
      <w:lvlJc w:val="left"/>
      <w:lvlText w:val="%1."/>
      <w:numFmt w:val="decimal"/>
      <w:start w:val="13"/>
    </w:lvl>
  </w:abstractNum>
  <w:abstractNum w:abstractNumId="227">
    <w:nsid w:val="65D2A137"/>
    <w:multiLevelType w:val="hybridMultilevel"/>
    <w:lvl w:ilvl="0">
      <w:lvlJc w:val="left"/>
      <w:lvlText w:val="•"/>
      <w:numFmt w:val="bullet"/>
      <w:start w:val="1"/>
    </w:lvl>
  </w:abstractNum>
  <w:abstractNum w:abstractNumId="228">
    <w:nsid w:val="6EBB1F2A"/>
    <w:multiLevelType w:val="hybridMultilevel"/>
    <w:lvl w:ilvl="0">
      <w:lvlJc w:val="left"/>
      <w:lvlText w:val="•"/>
      <w:numFmt w:val="bullet"/>
      <w:start w:val="1"/>
    </w:lvl>
  </w:abstractNum>
  <w:abstractNum w:abstractNumId="229">
    <w:nsid w:val="6FBF29CB"/>
    <w:multiLevelType w:val="hybridMultilevel"/>
    <w:lvl w:ilvl="0">
      <w:lvlJc w:val="left"/>
      <w:lvlText w:val="•"/>
      <w:numFmt w:val="bullet"/>
      <w:start w:val="1"/>
    </w:lvl>
  </w:abstractNum>
  <w:abstractNum w:abstractNumId="230">
    <w:nsid w:val="550B8808"/>
    <w:multiLevelType w:val="hybridMultilevel"/>
    <w:lvl w:ilvl="0">
      <w:lvlJc w:val="left"/>
      <w:lvlText w:val="•"/>
      <w:numFmt w:val="bullet"/>
      <w:start w:val="1"/>
    </w:lvl>
  </w:abstractNum>
  <w:abstractNum w:abstractNumId="231">
    <w:nsid w:val="34CC3ACF"/>
    <w:multiLevelType w:val="hybridMultilevel"/>
    <w:lvl w:ilvl="0">
      <w:lvlJc w:val="left"/>
      <w:lvlText w:val="•"/>
      <w:numFmt w:val="bullet"/>
      <w:start w:val="1"/>
    </w:lvl>
  </w:abstractNum>
  <w:abstractNum w:abstractNumId="232">
    <w:nsid w:val="4E556261"/>
    <w:multiLevelType w:val="hybridMultilevel"/>
    <w:lvl w:ilvl="0">
      <w:lvlJc w:val="left"/>
      <w:lvlText w:val="1"/>
      <w:numFmt w:val="bullet"/>
      <w:start w:val="1"/>
    </w:lvl>
  </w:abstractNum>
  <w:abstractNum w:abstractNumId="233">
    <w:nsid w:val="4C672FC9"/>
    <w:multiLevelType w:val="hybridMultilevel"/>
    <w:lvl w:ilvl="0">
      <w:lvlJc w:val="left"/>
      <w:lvlText w:val="(%1)"/>
      <w:numFmt w:val="lowerLetter"/>
      <w:start w:val="2"/>
    </w:lvl>
  </w:abstractNum>
  <w:abstractNum w:abstractNumId="234">
    <w:nsid w:val="52A311C3"/>
    <w:multiLevelType w:val="hybridMultilevel"/>
    <w:lvl w:ilvl="0">
      <w:lvlJc w:val="left"/>
      <w:lvlText w:val="•"/>
      <w:numFmt w:val="bullet"/>
      <w:start w:val="1"/>
    </w:lvl>
    <w:lvl w:ilvl="1">
      <w:lvlJc w:val="left"/>
      <w:lvlText w:val="•"/>
      <w:numFmt w:val="bullet"/>
      <w:start w:val="1"/>
    </w:lvl>
  </w:abstractNum>
  <w:abstractNum w:abstractNumId="235">
    <w:nsid w:val="44EF6B80"/>
    <w:multiLevelType w:val="hybridMultilevel"/>
    <w:lvl w:ilvl="0">
      <w:lvlJc w:val="left"/>
      <w:lvlText w:val="•"/>
      <w:numFmt w:val="bullet"/>
      <w:start w:val="1"/>
    </w:lvl>
  </w:abstractNum>
  <w:abstractNum w:abstractNumId="236">
    <w:nsid w:val="12FCDE5E"/>
    <w:multiLevelType w:val="hybridMultilevel"/>
    <w:lvl w:ilvl="0">
      <w:lvlJc w:val="left"/>
      <w:lvlText w:val="2"/>
      <w:numFmt w:val="bullet"/>
      <w:start w:val="1"/>
    </w:lvl>
  </w:abstractNum>
  <w:abstractNum w:abstractNumId="237">
    <w:nsid w:val="4A1D606E"/>
    <w:multiLevelType w:val="hybridMultilevel"/>
    <w:lvl w:ilvl="0">
      <w:lvlJc w:val="left"/>
      <w:lvlText w:val="3"/>
      <w:numFmt w:val="bullet"/>
      <w:start w:val="1"/>
    </w:lvl>
  </w:abstractNum>
  <w:abstractNum w:abstractNumId="238">
    <w:nsid w:val="4382503"/>
    <w:multiLevelType w:val="hybridMultilevel"/>
    <w:lvl w:ilvl="0">
      <w:lvlJc w:val="left"/>
      <w:lvlText w:val="(%1)"/>
      <w:numFmt w:val="lowerRoman"/>
      <w:start w:val="2"/>
    </w:lvl>
  </w:abstractNum>
  <w:abstractNum w:abstractNumId="239">
    <w:nsid w:val="59B76E28"/>
    <w:multiLevelType w:val="hybridMultilevel"/>
    <w:lvl w:ilvl="0">
      <w:lvlJc w:val="left"/>
      <w:lvlText w:val="(%1)"/>
      <w:numFmt w:val="lowerLetter"/>
      <w:start w:val="1"/>
    </w:lvl>
  </w:abstractNum>
  <w:abstractNum w:abstractNumId="240">
    <w:nsid w:val="4252C2DA"/>
    <w:multiLevelType w:val="hybridMultilevel"/>
    <w:lvl w:ilvl="0">
      <w:lvlJc w:val="left"/>
      <w:lvlText w:val="☐"/>
      <w:numFmt w:val="bullet"/>
      <w:start w:val="1"/>
    </w:lvl>
  </w:abstractNum>
  <w:abstractNum w:abstractNumId="241">
    <w:nsid w:val="6A92EF4C"/>
    <w:multiLevelType w:val="hybridMultilevel"/>
    <w:lvl w:ilvl="0">
      <w:lvlJc w:val="left"/>
      <w:lvlText w:val="☐"/>
      <w:numFmt w:val="bullet"/>
      <w:start w:val="1"/>
    </w:lvl>
  </w:abstractNum>
  <w:abstractNum w:abstractNumId="242">
    <w:nsid w:val="41ED20D7"/>
    <w:multiLevelType w:val="hybridMultilevel"/>
    <w:lvl w:ilvl="0">
      <w:lvlJc w:val="left"/>
      <w:lvlText w:val="%1."/>
      <w:numFmt w:val="decimal"/>
      <w:start w:val="1"/>
    </w:lvl>
  </w:abstractNum>
  <w:abstractNum w:abstractNumId="243">
    <w:nsid w:val="E6B3F6A"/>
    <w:multiLevelType w:val="hybridMultilevel"/>
    <w:lvl w:ilvl="0">
      <w:lvlJc w:val="left"/>
      <w:lvlText w:val="%1."/>
      <w:numFmt w:val="decimal"/>
      <w:start w:val="7"/>
    </w:lvl>
  </w:abstractNum>
  <w:abstractNum w:abstractNumId="244">
    <w:nsid w:val="3EB21819"/>
    <w:multiLevelType w:val="hybridMultilevel"/>
    <w:lvl w:ilvl="0">
      <w:lvlJc w:val="left"/>
      <w:lvlText w:val="•"/>
      <w:numFmt w:val="bullet"/>
      <w:start w:val="1"/>
    </w:lvl>
  </w:abstractNum>
  <w:abstractNum w:abstractNumId="245">
    <w:nsid w:val="41531DED"/>
    <w:multiLevelType w:val="hybridMultilevel"/>
    <w:lvl w:ilvl="0">
      <w:lvlJc w:val="left"/>
      <w:lvlText w:val="•"/>
      <w:numFmt w:val="bullet"/>
      <w:start w:val="1"/>
    </w:lvl>
  </w:abstractNum>
  <w:abstractNum w:abstractNumId="246">
    <w:nsid w:val="6353CD2"/>
    <w:multiLevelType w:val="hybridMultilevel"/>
    <w:lvl w:ilvl="0">
      <w:lvlJc w:val="left"/>
      <w:lvlText w:val="•"/>
      <w:numFmt w:val="bullet"/>
      <w:start w:val="1"/>
    </w:lvl>
  </w:abstractNum>
  <w:abstractNum w:abstractNumId="247">
    <w:nsid w:val="683CAAD3"/>
    <w:multiLevelType w:val="hybridMultilevel"/>
    <w:lvl w:ilvl="0">
      <w:lvlJc w:val="left"/>
      <w:lvlText w:val="•"/>
      <w:numFmt w:val="bullet"/>
      <w:start w:val="1"/>
    </w:lvl>
  </w:abstractNum>
  <w:abstractNum w:abstractNumId="248">
    <w:nsid w:val="313C7C99"/>
    <w:multiLevelType w:val="hybridMultilevel"/>
    <w:lvl w:ilvl="0">
      <w:lvlJc w:val="left"/>
      <w:lvlText w:val="•"/>
      <w:numFmt w:val="bullet"/>
      <w:start w:val="1"/>
    </w:lvl>
  </w:abstractNum>
  <w:abstractNum w:abstractNumId="249">
    <w:nsid w:val="519EB94C"/>
    <w:multiLevelType w:val="hybridMultilevel"/>
    <w:lvl w:ilvl="0">
      <w:lvlJc w:val="left"/>
      <w:lvlText w:val="1"/>
      <w:numFmt w:val="bullet"/>
      <w:start w:val="1"/>
    </w:lvl>
  </w:abstractNum>
  <w:abstractNum w:abstractNumId="250">
    <w:nsid w:val="39DF2579"/>
    <w:multiLevelType w:val="hybridMultilevel"/>
    <w:lvl w:ilvl="0">
      <w:lvlJc w:val="left"/>
      <w:lvlText w:val="(%1)"/>
      <w:numFmt w:val="lowerLetter"/>
      <w:start w:val="2"/>
    </w:lvl>
  </w:abstractNum>
  <w:abstractNum w:abstractNumId="251">
    <w:nsid w:val="126E008B"/>
    <w:multiLevelType w:val="hybridMultilevel"/>
    <w:lvl w:ilvl="0">
      <w:lvlJc w:val="left"/>
      <w:lvlText w:val="•"/>
      <w:numFmt w:val="bullet"/>
      <w:start w:val="1"/>
    </w:lvl>
    <w:lvl w:ilvl="1">
      <w:lvlJc w:val="left"/>
      <w:lvlText w:val="•"/>
      <w:numFmt w:val="bullet"/>
      <w:start w:val="1"/>
    </w:lvl>
  </w:abstractNum>
  <w:abstractNum w:abstractNumId="252">
    <w:nsid w:val="34DFBC00"/>
    <w:multiLevelType w:val="hybridMultilevel"/>
    <w:lvl w:ilvl="0">
      <w:lvlJc w:val="left"/>
      <w:lvlText w:val="•"/>
      <w:numFmt w:val="bullet"/>
      <w:start w:val="1"/>
    </w:lvl>
  </w:abstractNum>
  <w:abstractNum w:abstractNumId="253">
    <w:nsid w:val="1F9EC322"/>
    <w:multiLevelType w:val="hybridMultilevel"/>
    <w:lvl w:ilvl="0">
      <w:lvlJc w:val="left"/>
      <w:lvlText w:val="2"/>
      <w:numFmt w:val="bullet"/>
      <w:start w:val="1"/>
    </w:lvl>
  </w:abstractNum>
  <w:abstractNum w:abstractNumId="254">
    <w:nsid w:val="3410ED56"/>
    <w:multiLevelType w:val="hybridMultilevel"/>
    <w:lvl w:ilvl="0">
      <w:lvlJc w:val="left"/>
      <w:lvlText w:val="3"/>
      <w:numFmt w:val="bullet"/>
      <w:start w:val="1"/>
    </w:lvl>
  </w:abstractNum>
  <w:abstractNum w:abstractNumId="255">
    <w:nsid w:val="23C049A"/>
    <w:multiLevelType w:val="hybridMultilevel"/>
    <w:lvl w:ilvl="0">
      <w:lvlJc w:val="left"/>
      <w:lvlText w:val="(%1)"/>
      <w:numFmt w:val="lowerLetter"/>
      <w:start w:val="4"/>
    </w:lvl>
  </w:abstractNum>
  <w:abstractNum w:abstractNumId="256">
    <w:nsid w:val="5BDA35D4"/>
    <w:multiLevelType w:val="hybridMultilevel"/>
    <w:lvl w:ilvl="0">
      <w:lvlJc w:val="left"/>
      <w:lvlText w:val="(%1)"/>
      <w:numFmt w:val="lowerRoman"/>
      <w:start w:val="2"/>
    </w:lvl>
  </w:abstractNum>
  <w:abstractNum w:abstractNumId="257">
    <w:nsid w:val="496FB218"/>
    <w:multiLevelType w:val="hybridMultilevel"/>
    <w:lvl w:ilvl="0">
      <w:lvlJc w:val="left"/>
      <w:lvlText w:val="(%1)"/>
      <w:numFmt w:val="lowerRoman"/>
      <w:start w:val="2"/>
    </w:lvl>
  </w:abstractNum>
  <w:abstractNum w:abstractNumId="258">
    <w:nsid w:val="680EA5D1"/>
    <w:multiLevelType w:val="hybridMultilevel"/>
    <w:lvl w:ilvl="0">
      <w:lvlJc w:val="left"/>
      <w:lvlText w:val="(%1)"/>
      <w:numFmt w:val="lowerLetter"/>
      <w:start w:val="11"/>
    </w:lvl>
  </w:abstractNum>
  <w:abstractNum w:abstractNumId="259">
    <w:nsid w:val="4A9554FE"/>
    <w:multiLevelType w:val="hybridMultilevel"/>
    <w:lvl w:ilvl="0">
      <w:lvlJc w:val="left"/>
      <w:lvlText w:val="(%1)"/>
      <w:numFmt w:val="decimal"/>
      <w:start w:val="1"/>
    </w:lvl>
  </w:abstractNum>
  <w:abstractNum w:abstractNumId="260">
    <w:nsid w:val="392EDBE4"/>
    <w:multiLevelType w:val="hybridMultilevel"/>
    <w:lvl w:ilvl="0">
      <w:lvlJc w:val="left"/>
      <w:lvlText w:val="(%1)"/>
      <w:numFmt w:val="decimal"/>
      <w:start w:val="3"/>
    </w:lvl>
  </w:abstractNum>
  <w:abstractNum w:abstractNumId="261">
    <w:nsid w:val="3D1A2DD9"/>
    <w:multiLevelType w:val="hybridMultilevel"/>
    <w:lvl w:ilvl="0">
      <w:lvlJc w:val="left"/>
      <w:lvlText w:val="(%1)"/>
      <w:numFmt w:val="decimal"/>
      <w:start w:val="5"/>
    </w:lvl>
  </w:abstractNum>
  <w:abstractNum w:abstractNumId="262">
    <w:nsid w:val="7F618FCD"/>
    <w:multiLevelType w:val="hybridMultilevel"/>
    <w:lvl w:ilvl="0">
      <w:lvlJc w:val="left"/>
      <w:lvlText w:val="(%1)"/>
      <w:numFmt w:val="decimal"/>
      <w:start w:val="6"/>
    </w:lvl>
  </w:abstractNum>
  <w:abstractNum w:abstractNumId="263">
    <w:nsid w:val="7843E45"/>
    <w:multiLevelType w:val="hybridMultilevel"/>
    <w:lvl w:ilvl="0">
      <w:lvlJc w:val="left"/>
      <w:lvlText w:val="(%1)"/>
      <w:numFmt w:val="decimal"/>
      <w:start w:val="7"/>
    </w:lvl>
  </w:abstractNum>
  <w:abstractNum w:abstractNumId="264">
    <w:nsid w:val="9815DA3"/>
    <w:multiLevelType w:val="hybridMultilevel"/>
    <w:lvl w:ilvl="0">
      <w:lvlJc w:val="left"/>
      <w:lvlText w:val="(%1)"/>
      <w:numFmt w:val="lowerLetter"/>
      <w:start w:val="1"/>
    </w:lvl>
  </w:abstractNum>
  <w:abstractNum w:abstractNumId="265">
    <w:nsid w:val="5204A191"/>
    <w:multiLevelType w:val="hybridMultilevel"/>
    <w:lvl w:ilvl="0">
      <w:lvlJc w:val="left"/>
      <w:lvlText w:val="%1"/>
      <w:numFmt w:val="lowerLetter"/>
      <w:start w:val="1"/>
    </w:lvl>
    <w:lvl w:ilvl="1">
      <w:lvlJc w:val="left"/>
      <w:lvlText w:val="(%2)"/>
      <w:numFmt w:val="lowerRoman"/>
      <w:start w:val="1"/>
    </w:lvl>
  </w:abstractNum>
  <w:abstractNum w:abstractNumId="266">
    <w:nsid w:val="4C73A9C6"/>
    <w:multiLevelType w:val="hybridMultilevel"/>
    <w:lvl w:ilvl="0">
      <w:lvlJc w:val="left"/>
      <w:lvlText w:val="(%1)"/>
      <w:numFmt w:val="lowerLetter"/>
      <w:start w:val="4"/>
    </w:lvl>
    <w:lvl w:ilvl="1">
      <w:lvlJc w:val="left"/>
      <w:lvlText w:val="%2"/>
      <w:numFmt w:val="lowerRoman"/>
      <w:start w:val="1"/>
    </w:lvl>
  </w:abstractNum>
  <w:abstractNum w:abstractNumId="267">
    <w:nsid w:val="1C7E3C01"/>
    <w:multiLevelType w:val="hybridMultilevel"/>
    <w:lvl w:ilvl="0">
      <w:lvlJc w:val="left"/>
      <w:lvlText w:val="(%1)"/>
      <w:numFmt w:val="upperLetter"/>
      <w:start w:val="2"/>
    </w:lvl>
  </w:abstractNum>
  <w:abstractNum w:abstractNumId="268">
    <w:nsid w:val="1C2201FF"/>
    <w:multiLevelType w:val="hybridMultilevel"/>
    <w:lvl w:ilvl="0">
      <w:lvlJc w:val="left"/>
      <w:lvlText w:val="(%1)"/>
      <w:numFmt w:val="lowerLetter"/>
      <w:start w:val="1"/>
    </w:lvl>
  </w:abstractNum>
  <w:abstractNum w:abstractNumId="269">
    <w:nsid w:val="50ABCEC9"/>
    <w:multiLevelType w:val="hybridMultilevel"/>
    <w:lvl w:ilvl="0">
      <w:lvlJc w:val="left"/>
      <w:lvlText w:val="(%1)"/>
      <w:numFmt w:val="lowerLetter"/>
      <w:start w:val="1"/>
    </w:lvl>
  </w:abstractNum>
  <w:abstractNum w:abstractNumId="270">
    <w:nsid w:val="7635AA2A"/>
    <w:multiLevelType w:val="hybridMultilevel"/>
    <w:lvl w:ilvl="0">
      <w:lvlJc w:val="left"/>
      <w:lvlText w:val="%1"/>
      <w:numFmt w:val="lowerLetter"/>
      <w:start w:val="1"/>
    </w:lvl>
    <w:lvl w:ilvl="1">
      <w:lvlJc w:val="left"/>
      <w:lvlText w:val="(%2)"/>
      <w:numFmt w:val="lowerLetter"/>
      <w:start w:val="2"/>
    </w:lvl>
  </w:abstractNum>
  <w:abstractNum w:abstractNumId="271">
    <w:nsid w:val="5E74C4D9"/>
    <w:multiLevelType w:val="hybridMultilevel"/>
    <w:lvl w:ilvl="0">
      <w:lvlJc w:val="left"/>
      <w:lvlText w:val="(%1)"/>
      <w:numFmt w:val="lowerLetter"/>
      <w:start w:val="35"/>
    </w:lvl>
    <w:lvl w:ilvl="1">
      <w:lvlJc w:val="left"/>
      <w:lvlText w:val="%2"/>
      <w:numFmt w:val="lowerLetter"/>
      <w:start w:val="1"/>
    </w:lvl>
  </w:abstractNum>
  <w:abstractNum w:abstractNumId="272">
    <w:nsid w:val="3B3EBE15"/>
    <w:multiLevelType w:val="hybridMultilevel"/>
    <w:lvl w:ilvl="0">
      <w:lvlJc w:val="left"/>
      <w:lvlText w:val="(%1)"/>
      <w:numFmt w:val="lowerLetter"/>
      <w:start w:val="22"/>
    </w:lvl>
    <w:lvl w:ilvl="1">
      <w:lvlJc w:val="left"/>
      <w:lvlText w:val="%2"/>
      <w:numFmt w:val="lowerLetter"/>
      <w:start w:val="1"/>
    </w:lvl>
  </w:abstractNum>
  <w:abstractNum w:abstractNumId="273">
    <w:nsid w:val="3822CB01"/>
    <w:multiLevelType w:val="hybridMultilevel"/>
    <w:lvl w:ilvl="0">
      <w:lvlJc w:val="left"/>
      <w:lvlText w:val="(%1)"/>
      <w:numFmt w:val="lowerLetter"/>
      <w:start w:val="1"/>
    </w:lvl>
  </w:abstractNum>
  <w:abstractNum w:abstractNumId="274">
    <w:nsid w:val="6CE00443"/>
    <w:multiLevelType w:val="hybridMultilevel"/>
    <w:lvl w:ilvl="0">
      <w:lvlJc w:val="left"/>
      <w:lvlText w:val="(%1)"/>
      <w:numFmt w:val="lowerLetter"/>
      <w:start w:val="1"/>
    </w:lvl>
  </w:abstractNum>
  <w:abstractNum w:abstractNumId="275">
    <w:nsid w:val="79F0D62F"/>
    <w:multiLevelType w:val="hybridMultilevel"/>
    <w:lvl w:ilvl="0">
      <w:lvlJc w:val="left"/>
      <w:lvlText w:val="(%1)"/>
      <w:numFmt w:val="lowerLetter"/>
      <w:start w:val="1"/>
    </w:lvl>
  </w:abstractNum>
  <w:abstractNum w:abstractNumId="276">
    <w:nsid w:val="7975E8EE"/>
    <w:multiLevelType w:val="hybridMultilevel"/>
    <w:lvl w:ilvl="0">
      <w:lvlJc w:val="left"/>
      <w:lvlText w:val="(%1)"/>
      <w:numFmt w:val="lowerLetter"/>
      <w:start w:val="1"/>
    </w:lvl>
  </w:abstractNum>
  <w:abstractNum w:abstractNumId="277">
    <w:nsid w:val="73154115"/>
    <w:multiLevelType w:val="hybridMultilevel"/>
    <w:lvl w:ilvl="0">
      <w:lvlJc w:val="left"/>
      <w:lvlText w:val="(%1)"/>
      <w:numFmt w:val="lowerLetter"/>
      <w:start w:val="3"/>
    </w:lvl>
  </w:abstractNum>
  <w:abstractNum w:abstractNumId="278">
    <w:nsid w:val="622D8102"/>
    <w:multiLevelType w:val="hybridMultilevel"/>
    <w:lvl w:ilvl="0">
      <w:lvlJc w:val="left"/>
      <w:lvlText w:val="(%1)"/>
      <w:numFmt w:val="lowerLetter"/>
      <w:start w:val="1"/>
    </w:lvl>
  </w:abstractNum>
  <w:abstractNum w:abstractNumId="279">
    <w:nsid w:val="2AB26587"/>
    <w:multiLevelType w:val="hybridMultilevel"/>
    <w:lvl w:ilvl="0">
      <w:lvlJc w:val="left"/>
      <w:lvlText w:val="%1"/>
      <w:numFmt w:val="lowerLetter"/>
      <w:start w:val="1"/>
    </w:lvl>
    <w:lvl w:ilvl="1">
      <w:lvlJc w:val="left"/>
      <w:lvlText w:val="(%2)"/>
      <w:numFmt w:val="lowerLetter"/>
      <w:start w:val="1"/>
    </w:lvl>
  </w:abstractNum>
  <w:abstractNum w:abstractNumId="280">
    <w:nsid w:val="44B3FA61"/>
    <w:multiLevelType w:val="hybridMultilevel"/>
    <w:lvl w:ilvl="0">
      <w:lvlJc w:val="left"/>
      <w:lvlText w:val="(%1)"/>
      <w:numFmt w:val="lowerLetter"/>
      <w:start w:val="35"/>
    </w:lvl>
    <w:lvl w:ilvl="1">
      <w:lvlJc w:val="left"/>
      <w:lvlText w:val="%2"/>
      <w:numFmt w:val="lowerLetter"/>
      <w:start w:val="1"/>
    </w:lvl>
  </w:abstractNum>
  <w:abstractNum w:abstractNumId="281">
    <w:nsid w:val="1C0CA67C"/>
    <w:multiLevelType w:val="hybridMultilevel"/>
    <w:lvl w:ilvl="0">
      <w:lvlJc w:val="left"/>
      <w:lvlText w:val="(%1)"/>
      <w:numFmt w:val="lowerLetter"/>
      <w:start w:val="3"/>
    </w:lvl>
  </w:abstractNum>
  <w:abstractNum w:abstractNumId="282">
    <w:nsid w:val="3D206613"/>
    <w:multiLevelType w:val="hybridMultilevel"/>
    <w:lvl w:ilvl="0">
      <w:lvlJc w:val="left"/>
      <w:lvlText w:val="(%1)"/>
      <w:numFmt w:val="lowerRoman"/>
      <w:start w:val="7"/>
    </w:lvl>
  </w:abstractNum>
  <w:abstractNum w:abstractNumId="283">
    <w:nsid w:val="7993B662"/>
    <w:multiLevelType w:val="hybridMultilevel"/>
    <w:lvl w:ilvl="0">
      <w:lvlJc w:val="left"/>
      <w:lvlText w:val="(%1)"/>
      <w:numFmt w:val="lowerLetter"/>
      <w:start w:val="1"/>
    </w:lvl>
  </w:abstractNum>
  <w:abstractNum w:abstractNumId="284">
    <w:nsid w:val="3BAB699E"/>
    <w:multiLevelType w:val="hybridMultilevel"/>
    <w:lvl w:ilvl="0">
      <w:lvlJc w:val="left"/>
      <w:lvlText w:val="(%1)"/>
      <w:numFmt w:val="lowerLetter"/>
      <w:start w:val="2"/>
    </w:lvl>
  </w:abstractNum>
  <w:abstractNum w:abstractNumId="285">
    <w:nsid w:val="71315369"/>
    <w:multiLevelType w:val="hybridMultilevel"/>
    <w:lvl w:ilvl="0">
      <w:lvlJc w:val="left"/>
      <w:lvlText w:val="(%1)"/>
      <w:numFmt w:val="lowerLetter"/>
      <w:start w:val="1"/>
    </w:lvl>
  </w:abstractNum>
  <w:abstractNum w:abstractNumId="286">
    <w:nsid w:val="7BCFBAFC"/>
    <w:multiLevelType w:val="hybridMultilevel"/>
    <w:lvl w:ilvl="0">
      <w:lvlJc w:val="left"/>
      <w:lvlText w:val="(%1)"/>
      <w:numFmt w:val="lowerLetter"/>
      <w:start w:val="24"/>
    </w:lvl>
  </w:abstractNum>
  <w:abstractNum w:abstractNumId="287">
    <w:nsid w:val="17859F72"/>
    <w:multiLevelType w:val="hybridMultilevel"/>
    <w:lvl w:ilvl="0">
      <w:lvlJc w:val="left"/>
      <w:lvlText w:val="(%1)"/>
      <w:numFmt w:val="lowerLetter"/>
      <w:start w:val="1"/>
    </w:lvl>
  </w:abstractNum>
  <w:abstractNum w:abstractNumId="288">
    <w:nsid w:val="3AA10581"/>
    <w:multiLevelType w:val="hybridMultilevel"/>
    <w:lvl w:ilvl="0">
      <w:lvlJc w:val="left"/>
      <w:lvlText w:val="(%1)"/>
      <w:numFmt w:val="lowerLetter"/>
      <w:start w:val="2"/>
    </w:lvl>
  </w:abstractNum>
  <w:abstractNum w:abstractNumId="289">
    <w:nsid w:val="63DE60CD"/>
    <w:multiLevelType w:val="hybridMultilevel"/>
    <w:lvl w:ilvl="0">
      <w:lvlJc w:val="left"/>
      <w:lvlText w:val="(%1)"/>
      <w:numFmt w:val="lowerLetter"/>
      <w:start w:val="1"/>
    </w:lvl>
  </w:abstractNum>
  <w:abstractNum w:abstractNumId="290">
    <w:nsid w:val="621AF471"/>
    <w:multiLevelType w:val="hybridMultilevel"/>
    <w:lvl w:ilvl="0">
      <w:lvlJc w:val="left"/>
      <w:lvlText w:val="(%1)"/>
      <w:numFmt w:val="lowerLetter"/>
      <w:start w:val="1"/>
    </w:lvl>
  </w:abstractNum>
  <w:abstractNum w:abstractNumId="291">
    <w:nsid w:val="73CFE165"/>
    <w:multiLevelType w:val="hybridMultilevel"/>
    <w:lvl w:ilvl="0">
      <w:lvlJc w:val="left"/>
      <w:lvlText w:val="(%1)"/>
      <w:numFmt w:val="lowerLetter"/>
      <w:start w:val="3"/>
    </w:lvl>
  </w:abstractNum>
  <w:abstractNum w:abstractNumId="292">
    <w:nsid w:val="20F88EA6"/>
    <w:multiLevelType w:val="hybridMultilevel"/>
    <w:lvl w:ilvl="0">
      <w:lvlJc w:val="left"/>
      <w:lvlText w:val="(%1)"/>
      <w:numFmt w:val="lowerLetter"/>
      <w:start w:val="2"/>
    </w:lvl>
  </w:abstractNum>
  <w:abstractNum w:abstractNumId="293">
    <w:nsid w:val="617C843E"/>
    <w:multiLevelType w:val="hybridMultilevel"/>
    <w:lvl w:ilvl="0">
      <w:lvlJc w:val="left"/>
      <w:lvlText w:val="%1"/>
      <w:numFmt w:val="lowerLetter"/>
      <w:start w:val="1"/>
    </w:lvl>
    <w:lvl w:ilvl="1">
      <w:lvlJc w:val="left"/>
      <w:lvlText w:val="(%2)"/>
      <w:numFmt w:val="lowerLetter"/>
      <w:start w:val="1"/>
    </w:lvl>
  </w:abstractNum>
  <w:abstractNum w:abstractNumId="294">
    <w:nsid w:val="7B541FAB"/>
    <w:multiLevelType w:val="hybridMultilevel"/>
    <w:lvl w:ilvl="0">
      <w:lvlJc w:val="left"/>
      <w:lvlText w:val="(%1)"/>
      <w:numFmt w:val="lowerLetter"/>
      <w:start w:val="35"/>
    </w:lvl>
    <w:lvl w:ilvl="1">
      <w:lvlJc w:val="left"/>
      <w:lvlText w:val="%2"/>
      <w:numFmt w:val="lowerLetter"/>
      <w:start w:val="1"/>
    </w:lvl>
  </w:abstractNum>
  <w:abstractNum w:abstractNumId="295">
    <w:nsid w:val="2A79EC49"/>
    <w:multiLevelType w:val="hybridMultilevel"/>
    <w:lvl w:ilvl="0">
      <w:lvlJc w:val="left"/>
      <w:lvlText w:val="(%1)"/>
      <w:numFmt w:val="lowerLetter"/>
      <w:start w:val="1"/>
    </w:lvl>
  </w:abstractNum>
  <w:abstractNum w:abstractNumId="296">
    <w:nsid w:val="338125CF"/>
    <w:multiLevelType w:val="hybridMultilevel"/>
    <w:lvl w:ilvl="0">
      <w:lvlJc w:val="left"/>
      <w:lvlText w:val="(%1)"/>
      <w:numFmt w:val="lowerLetter"/>
      <w:start w:val="3"/>
    </w:lvl>
  </w:abstractNum>
  <w:abstractNum w:abstractNumId="297">
    <w:nsid w:val="47C7C971"/>
    <w:multiLevelType w:val="hybridMultilevel"/>
    <w:lvl w:ilvl="0">
      <w:lvlJc w:val="left"/>
      <w:lvlText w:val="%1"/>
      <w:numFmt w:val="lowerLetter"/>
      <w:start w:val="1"/>
    </w:lvl>
    <w:lvl w:ilvl="1">
      <w:lvlJc w:val="left"/>
      <w:lvlText w:val="(%2)"/>
      <w:numFmt w:val="lowerLetter"/>
      <w:start w:val="1"/>
    </w:lvl>
  </w:abstractNum>
  <w:abstractNum w:abstractNumId="298">
    <w:nsid w:val="46F8284B"/>
    <w:multiLevelType w:val="hybridMultilevel"/>
    <w:lvl w:ilvl="0">
      <w:lvlJc w:val="left"/>
      <w:lvlText w:val="(%1)"/>
      <w:numFmt w:val="lowerLetter"/>
      <w:start w:val="35"/>
    </w:lvl>
    <w:lvl w:ilvl="1">
      <w:lvlJc w:val="left"/>
      <w:lvlText w:val="(%2)"/>
      <w:numFmt w:val="lowerLetter"/>
      <w:start w:val="2"/>
    </w:lvl>
  </w:abstractNum>
  <w:abstractNum w:abstractNumId="299">
    <w:nsid w:val="4FA327CE"/>
    <w:multiLevelType w:val="hybridMultilevel"/>
    <w:lvl w:ilvl="0">
      <w:lvlJc w:val="left"/>
      <w:lvlText w:val="(%1)"/>
      <w:numFmt w:val="lowerLetter"/>
      <w:start w:val="1"/>
    </w:lvl>
    <w:lvl w:ilvl="1">
      <w:lvlJc w:val="left"/>
      <w:lvlText w:val="(%2)"/>
      <w:numFmt w:val="lowerRoman"/>
      <w:start w:val="1"/>
    </w:lvl>
  </w:abstractNum>
  <w:abstractNum w:abstractNumId="300">
    <w:nsid w:val="1873983A"/>
    <w:multiLevelType w:val="hybridMultilevel"/>
    <w:lvl w:ilvl="0">
      <w:lvlJc w:val="left"/>
      <w:lvlText w:val="(%1)"/>
      <w:numFmt w:val="lowerLetter"/>
      <w:start w:val="4"/>
    </w:lvl>
  </w:abstractNum>
  <w:abstractNum w:abstractNumId="301">
    <w:nsid w:val="3D2DD275"/>
    <w:multiLevelType w:val="hybridMultilevel"/>
    <w:lvl w:ilvl="0">
      <w:lvlJc w:val="left"/>
      <w:lvlText w:val="(%1)"/>
      <w:numFmt w:val="lowerLetter"/>
      <w:start w:val="1"/>
    </w:lvl>
  </w:abstractNum>
  <w:abstractNum w:abstractNumId="302">
    <w:nsid w:val="2E17ECA7"/>
    <w:multiLevelType w:val="hybridMultilevel"/>
    <w:lvl w:ilvl="0">
      <w:lvlJc w:val="left"/>
      <w:lvlText w:val="(%1)"/>
      <w:numFmt w:val="lowerLetter"/>
      <w:start w:val="2"/>
    </w:lvl>
    <w:lvl w:ilvl="1">
      <w:lvlJc w:val="left"/>
      <w:lvlText w:val="(%2)"/>
      <w:numFmt w:val="lowerRoman"/>
      <w:start w:val="1"/>
    </w:lvl>
  </w:abstractNum>
  <w:abstractNum w:abstractNumId="303">
    <w:nsid w:val="53B2564F"/>
    <w:multiLevelType w:val="hybridMultilevel"/>
    <w:lvl w:ilvl="0">
      <w:lvlJc w:val="left"/>
      <w:lvlText w:val="(%1)"/>
      <w:numFmt w:val="lowerLetter"/>
      <w:start w:val="3"/>
    </w:lvl>
  </w:abstractNum>
  <w:abstractNum w:abstractNumId="304">
    <w:nsid w:val="75509D76"/>
    <w:multiLevelType w:val="hybridMultilevel"/>
    <w:lvl w:ilvl="0">
      <w:lvlJc w:val="left"/>
      <w:lvlText w:val="(%1)"/>
      <w:numFmt w:val="lowerLetter"/>
      <w:start w:val="1"/>
    </w:lvl>
  </w:abstractNum>
  <w:abstractNum w:abstractNumId="305">
    <w:nsid w:val="1AF7F0EA"/>
    <w:multiLevelType w:val="hybridMultilevel"/>
    <w:lvl w:ilvl="0">
      <w:lvlJc w:val="left"/>
      <w:lvlText w:val="•"/>
      <w:numFmt w:val="bullet"/>
      <w:start w:val="1"/>
    </w:lvl>
  </w:abstractNum>
  <w:abstractNum w:abstractNumId="306">
    <w:nsid w:val="4DA32C7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jpe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506" Type="http://schemas.openxmlformats.org/officeDocument/2006/relationships/image" Target="media/image487.png"/><Relationship Id="rId507" Type="http://schemas.openxmlformats.org/officeDocument/2006/relationships/image" Target="media/image488.png"/><Relationship Id="rId508" Type="http://schemas.openxmlformats.org/officeDocument/2006/relationships/image" Target="media/image489.png"/><Relationship Id="rId509" Type="http://schemas.openxmlformats.org/officeDocument/2006/relationships/image" Target="media/image490.png"/><Relationship Id="rId523" Type="http://schemas.openxmlformats.org/officeDocument/2006/relationships/image" Target="media/image491.png"/><Relationship Id="rId537" Type="http://schemas.openxmlformats.org/officeDocument/2006/relationships/image" Target="media/image492.png"/><Relationship Id="rId538" Type="http://schemas.openxmlformats.org/officeDocument/2006/relationships/image" Target="media/image493.png"/><Relationship Id="rId539" Type="http://schemas.openxmlformats.org/officeDocument/2006/relationships/image" Target="media/image494.png"/><Relationship Id="rId540" Type="http://schemas.openxmlformats.org/officeDocument/2006/relationships/image" Target="media/image495.png"/><Relationship Id="rId541" Type="http://schemas.openxmlformats.org/officeDocument/2006/relationships/image" Target="media/image496.png"/><Relationship Id="rId542" Type="http://schemas.openxmlformats.org/officeDocument/2006/relationships/image" Target="media/image497.png"/><Relationship Id="rId543" Type="http://schemas.openxmlformats.org/officeDocument/2006/relationships/image" Target="media/image498.png"/><Relationship Id="rId544" Type="http://schemas.openxmlformats.org/officeDocument/2006/relationships/image" Target="media/image499.png"/><Relationship Id="rId545" Type="http://schemas.openxmlformats.org/officeDocument/2006/relationships/image" Target="media/image500.png"/><Relationship Id="rId546" Type="http://schemas.openxmlformats.org/officeDocument/2006/relationships/image" Target="media/image501.png"/><Relationship Id="rId547" Type="http://schemas.openxmlformats.org/officeDocument/2006/relationships/image" Target="media/image502.png"/><Relationship Id="rId548" Type="http://schemas.openxmlformats.org/officeDocument/2006/relationships/image" Target="media/image503.png"/><Relationship Id="rId549" Type="http://schemas.openxmlformats.org/officeDocument/2006/relationships/image" Target="media/image504.png"/><Relationship Id="rId550" Type="http://schemas.openxmlformats.org/officeDocument/2006/relationships/image" Target="media/image505.png"/><Relationship Id="rId551" Type="http://schemas.openxmlformats.org/officeDocument/2006/relationships/image" Target="media/image506.png"/><Relationship Id="rId552" Type="http://schemas.openxmlformats.org/officeDocument/2006/relationships/image" Target="media/image507.png"/><Relationship Id="rId553" Type="http://schemas.openxmlformats.org/officeDocument/2006/relationships/image" Target="media/image508.png"/><Relationship Id="rId554" Type="http://schemas.openxmlformats.org/officeDocument/2006/relationships/image" Target="media/image509.png"/><Relationship Id="rId555" Type="http://schemas.openxmlformats.org/officeDocument/2006/relationships/image" Target="media/image510.png"/><Relationship Id="rId556" Type="http://schemas.openxmlformats.org/officeDocument/2006/relationships/image" Target="media/image511.png"/><Relationship Id="rId557" Type="http://schemas.openxmlformats.org/officeDocument/2006/relationships/image" Target="media/image512.png"/><Relationship Id="rId558" Type="http://schemas.openxmlformats.org/officeDocument/2006/relationships/image" Target="media/image513.png"/><Relationship Id="rId559" Type="http://schemas.openxmlformats.org/officeDocument/2006/relationships/image" Target="media/image514.png"/><Relationship Id="rId560" Type="http://schemas.openxmlformats.org/officeDocument/2006/relationships/image" Target="media/image515.png"/><Relationship Id="rId561" Type="http://schemas.openxmlformats.org/officeDocument/2006/relationships/image" Target="media/image516.png"/><Relationship Id="rId562" Type="http://schemas.openxmlformats.org/officeDocument/2006/relationships/image" Target="media/image517.png"/><Relationship Id="rId563" Type="http://schemas.openxmlformats.org/officeDocument/2006/relationships/image" Target="media/image518.png"/><Relationship Id="rId564" Type="http://schemas.openxmlformats.org/officeDocument/2006/relationships/image" Target="media/image519.png"/><Relationship Id="rId565" Type="http://schemas.openxmlformats.org/officeDocument/2006/relationships/image" Target="media/image520.png"/><Relationship Id="rId566" Type="http://schemas.openxmlformats.org/officeDocument/2006/relationships/image" Target="media/image521.png"/><Relationship Id="rId567" Type="http://schemas.openxmlformats.org/officeDocument/2006/relationships/image" Target="media/image522.png"/><Relationship Id="rId568" Type="http://schemas.openxmlformats.org/officeDocument/2006/relationships/image" Target="media/image523.png"/><Relationship Id="rId569" Type="http://schemas.openxmlformats.org/officeDocument/2006/relationships/image" Target="media/image524.png"/><Relationship Id="rId570" Type="http://schemas.openxmlformats.org/officeDocument/2006/relationships/image" Target="media/image525.png"/><Relationship Id="rId571" Type="http://schemas.openxmlformats.org/officeDocument/2006/relationships/image" Target="media/image526.png"/><Relationship Id="rId572" Type="http://schemas.openxmlformats.org/officeDocument/2006/relationships/image" Target="media/image527.png"/><Relationship Id="rId573" Type="http://schemas.openxmlformats.org/officeDocument/2006/relationships/image" Target="media/image528.png"/><Relationship Id="rId574" Type="http://schemas.openxmlformats.org/officeDocument/2006/relationships/image" Target="media/image529.png"/><Relationship Id="rId575" Type="http://schemas.openxmlformats.org/officeDocument/2006/relationships/image" Target="media/image530.png"/><Relationship Id="rId576" Type="http://schemas.openxmlformats.org/officeDocument/2006/relationships/image" Target="media/image531.png"/><Relationship Id="rId577" Type="http://schemas.openxmlformats.org/officeDocument/2006/relationships/image" Target="media/image532.png"/><Relationship Id="rId578" Type="http://schemas.openxmlformats.org/officeDocument/2006/relationships/image" Target="media/image533.png"/><Relationship Id="rId579" Type="http://schemas.openxmlformats.org/officeDocument/2006/relationships/image" Target="media/image534.png"/><Relationship Id="rId580" Type="http://schemas.openxmlformats.org/officeDocument/2006/relationships/image" Target="media/image535.png"/><Relationship Id="rId581" Type="http://schemas.openxmlformats.org/officeDocument/2006/relationships/image" Target="media/image536.png"/><Relationship Id="rId582" Type="http://schemas.openxmlformats.org/officeDocument/2006/relationships/image" Target="media/image537.png"/><Relationship Id="rId583" Type="http://schemas.openxmlformats.org/officeDocument/2006/relationships/image" Target="media/image538.png"/><Relationship Id="rId584" Type="http://schemas.openxmlformats.org/officeDocument/2006/relationships/image" Target="media/image539.png"/><Relationship Id="rId585" Type="http://schemas.openxmlformats.org/officeDocument/2006/relationships/image" Target="media/image540.png"/><Relationship Id="rId586" Type="http://schemas.openxmlformats.org/officeDocument/2006/relationships/image" Target="media/image541.png"/><Relationship Id="rId587" Type="http://schemas.openxmlformats.org/officeDocument/2006/relationships/image" Target="media/image542.png"/><Relationship Id="rId588" Type="http://schemas.openxmlformats.org/officeDocument/2006/relationships/image" Target="media/image543.png"/><Relationship Id="rId589" Type="http://schemas.openxmlformats.org/officeDocument/2006/relationships/image" Target="media/image544.png"/><Relationship Id="rId590" Type="http://schemas.openxmlformats.org/officeDocument/2006/relationships/image" Target="media/image545.png"/><Relationship Id="rId591" Type="http://schemas.openxmlformats.org/officeDocument/2006/relationships/image" Target="media/image546.png"/><Relationship Id="rId592" Type="http://schemas.openxmlformats.org/officeDocument/2006/relationships/image" Target="media/image547.png"/><Relationship Id="rId593" Type="http://schemas.openxmlformats.org/officeDocument/2006/relationships/image" Target="media/image548.png"/><Relationship Id="rId594" Type="http://schemas.openxmlformats.org/officeDocument/2006/relationships/image" Target="media/image549.png"/><Relationship Id="rId595" Type="http://schemas.openxmlformats.org/officeDocument/2006/relationships/image" Target="media/image550.png"/><Relationship Id="rId596" Type="http://schemas.openxmlformats.org/officeDocument/2006/relationships/image" Target="media/image551.png"/><Relationship Id="rId597" Type="http://schemas.openxmlformats.org/officeDocument/2006/relationships/image" Target="media/image552.png"/><Relationship Id="rId598" Type="http://schemas.openxmlformats.org/officeDocument/2006/relationships/image" Target="media/image553.png"/><Relationship Id="rId599" Type="http://schemas.openxmlformats.org/officeDocument/2006/relationships/image" Target="media/image554.jpeg"/><Relationship Id="rId600" Type="http://schemas.openxmlformats.org/officeDocument/2006/relationships/image" Target="media/image555.png"/><Relationship Id="rId601" Type="http://schemas.openxmlformats.org/officeDocument/2006/relationships/image" Target="media/image556.jpeg"/><Relationship Id="rId602" Type="http://schemas.openxmlformats.org/officeDocument/2006/relationships/image" Target="media/image557.png"/><Relationship Id="rId603" Type="http://schemas.openxmlformats.org/officeDocument/2006/relationships/image" Target="media/image558.png"/><Relationship Id="rId604" Type="http://schemas.openxmlformats.org/officeDocument/2006/relationships/image" Target="media/image559.png"/><Relationship Id="rId605" Type="http://schemas.openxmlformats.org/officeDocument/2006/relationships/image" Target="media/image560.png"/><Relationship Id="rId606" Type="http://schemas.openxmlformats.org/officeDocument/2006/relationships/image" Target="media/image561.png"/><Relationship Id="rId607" Type="http://schemas.openxmlformats.org/officeDocument/2006/relationships/image" Target="media/image562.png"/><Relationship Id="rId608" Type="http://schemas.openxmlformats.org/officeDocument/2006/relationships/image" Target="media/image563.png"/><Relationship Id="rId609" Type="http://schemas.openxmlformats.org/officeDocument/2006/relationships/image" Target="media/image564.png"/><Relationship Id="rId610" Type="http://schemas.openxmlformats.org/officeDocument/2006/relationships/image" Target="media/image565.png"/><Relationship Id="rId611" Type="http://schemas.openxmlformats.org/officeDocument/2006/relationships/image" Target="media/image566.png"/><Relationship Id="rId612" Type="http://schemas.openxmlformats.org/officeDocument/2006/relationships/image" Target="media/image567.png"/><Relationship Id="rId613" Type="http://schemas.openxmlformats.org/officeDocument/2006/relationships/image" Target="media/image568.png"/><Relationship Id="rId614" Type="http://schemas.openxmlformats.org/officeDocument/2006/relationships/image" Target="media/image569.png"/><Relationship Id="rId615" Type="http://schemas.openxmlformats.org/officeDocument/2006/relationships/image" Target="media/image570.png"/><Relationship Id="rId616" Type="http://schemas.openxmlformats.org/officeDocument/2006/relationships/image" Target="media/image571.png"/><Relationship Id="rId617" Type="http://schemas.openxmlformats.org/officeDocument/2006/relationships/image" Target="media/image572.png"/><Relationship Id="rId618" Type="http://schemas.openxmlformats.org/officeDocument/2006/relationships/image" Target="media/image573.png"/><Relationship Id="rId619" Type="http://schemas.openxmlformats.org/officeDocument/2006/relationships/image" Target="media/image574.png"/><Relationship Id="rId620" Type="http://schemas.openxmlformats.org/officeDocument/2006/relationships/image" Target="media/image575.png"/><Relationship Id="rId621" Type="http://schemas.openxmlformats.org/officeDocument/2006/relationships/image" Target="media/image576.png"/><Relationship Id="rId622" Type="http://schemas.openxmlformats.org/officeDocument/2006/relationships/image" Target="media/image577.png"/><Relationship Id="rId623" Type="http://schemas.openxmlformats.org/officeDocument/2006/relationships/image" Target="media/image578.png"/><Relationship Id="rId624" Type="http://schemas.openxmlformats.org/officeDocument/2006/relationships/image" Target="media/image579.png"/><Relationship Id="rId625" Type="http://schemas.openxmlformats.org/officeDocument/2006/relationships/image" Target="media/image580.png"/><Relationship Id="rId626" Type="http://schemas.openxmlformats.org/officeDocument/2006/relationships/image" Target="media/image581.png"/><Relationship Id="rId627" Type="http://schemas.openxmlformats.org/officeDocument/2006/relationships/image" Target="media/image582.png"/><Relationship Id="rId628" Type="http://schemas.openxmlformats.org/officeDocument/2006/relationships/image" Target="media/image583.png"/><Relationship Id="rId629" Type="http://schemas.openxmlformats.org/officeDocument/2006/relationships/image" Target="media/image584.png"/><Relationship Id="rId630" Type="http://schemas.openxmlformats.org/officeDocument/2006/relationships/image" Target="media/image585.png"/><Relationship Id="rId631" Type="http://schemas.openxmlformats.org/officeDocument/2006/relationships/image" Target="media/image586.png"/><Relationship Id="rId632" Type="http://schemas.openxmlformats.org/officeDocument/2006/relationships/image" Target="media/image587.png"/><Relationship Id="rId633" Type="http://schemas.openxmlformats.org/officeDocument/2006/relationships/image" Target="media/image588.png"/><Relationship Id="rId634" Type="http://schemas.openxmlformats.org/officeDocument/2006/relationships/image" Target="media/image589.png"/><Relationship Id="rId635" Type="http://schemas.openxmlformats.org/officeDocument/2006/relationships/image" Target="media/image590.png"/><Relationship Id="rId636" Type="http://schemas.openxmlformats.org/officeDocument/2006/relationships/image" Target="media/image591.png"/><Relationship Id="rId637" Type="http://schemas.openxmlformats.org/officeDocument/2006/relationships/image" Target="media/image592.png"/><Relationship Id="rId638" Type="http://schemas.openxmlformats.org/officeDocument/2006/relationships/image" Target="media/image593.png"/><Relationship Id="rId639" Type="http://schemas.openxmlformats.org/officeDocument/2006/relationships/image" Target="media/image594.png"/><Relationship Id="rId640" Type="http://schemas.openxmlformats.org/officeDocument/2006/relationships/image" Target="media/image595.png"/><Relationship Id="rId641" Type="http://schemas.openxmlformats.org/officeDocument/2006/relationships/image" Target="media/image596.png"/><Relationship Id="rId642" Type="http://schemas.openxmlformats.org/officeDocument/2006/relationships/image" Target="media/image597.png"/><Relationship Id="rId643" Type="http://schemas.openxmlformats.org/officeDocument/2006/relationships/image" Target="media/image598.png"/><Relationship Id="rId644" Type="http://schemas.openxmlformats.org/officeDocument/2006/relationships/image" Target="media/image599.png"/><Relationship Id="rId645" Type="http://schemas.openxmlformats.org/officeDocument/2006/relationships/image" Target="media/image600.png"/><Relationship Id="rId646" Type="http://schemas.openxmlformats.org/officeDocument/2006/relationships/image" Target="media/image601.png"/><Relationship Id="rId647" Type="http://schemas.openxmlformats.org/officeDocument/2006/relationships/image" Target="media/image602.png"/><Relationship Id="rId648" Type="http://schemas.openxmlformats.org/officeDocument/2006/relationships/image" Target="media/image603.png"/><Relationship Id="rId649" Type="http://schemas.openxmlformats.org/officeDocument/2006/relationships/image" Target="media/image604.png"/><Relationship Id="rId650" Type="http://schemas.openxmlformats.org/officeDocument/2006/relationships/image" Target="media/image605.png"/><Relationship Id="rId651" Type="http://schemas.openxmlformats.org/officeDocument/2006/relationships/image" Target="media/image606.png"/><Relationship Id="rId652" Type="http://schemas.openxmlformats.org/officeDocument/2006/relationships/image" Target="media/image607.png"/><Relationship Id="rId653" Type="http://schemas.openxmlformats.org/officeDocument/2006/relationships/image" Target="media/image608.png"/><Relationship Id="rId654" Type="http://schemas.openxmlformats.org/officeDocument/2006/relationships/image" Target="media/image609.png"/><Relationship Id="rId655" Type="http://schemas.openxmlformats.org/officeDocument/2006/relationships/image" Target="media/image610.png"/><Relationship Id="rId656" Type="http://schemas.openxmlformats.org/officeDocument/2006/relationships/image" Target="media/image611.png"/><Relationship Id="rId657" Type="http://schemas.openxmlformats.org/officeDocument/2006/relationships/image" Target="media/image612.png"/><Relationship Id="rId658" Type="http://schemas.openxmlformats.org/officeDocument/2006/relationships/image" Target="media/image613.png"/><Relationship Id="rId659" Type="http://schemas.openxmlformats.org/officeDocument/2006/relationships/image" Target="media/image614.png"/><Relationship Id="rId660" Type="http://schemas.openxmlformats.org/officeDocument/2006/relationships/image" Target="media/image615.png"/><Relationship Id="rId661" Type="http://schemas.openxmlformats.org/officeDocument/2006/relationships/image" Target="media/image616.png"/><Relationship Id="rId662" Type="http://schemas.openxmlformats.org/officeDocument/2006/relationships/image" Target="media/image617.png"/><Relationship Id="rId663" Type="http://schemas.openxmlformats.org/officeDocument/2006/relationships/image" Target="media/image618.png"/><Relationship Id="rId664" Type="http://schemas.openxmlformats.org/officeDocument/2006/relationships/image" Target="media/image619.png"/><Relationship Id="rId665" Type="http://schemas.openxmlformats.org/officeDocument/2006/relationships/image" Target="media/image620.png"/><Relationship Id="rId666" Type="http://schemas.openxmlformats.org/officeDocument/2006/relationships/image" Target="media/image621.png"/><Relationship Id="rId667" Type="http://schemas.openxmlformats.org/officeDocument/2006/relationships/image" Target="media/image622.png"/><Relationship Id="rId668" Type="http://schemas.openxmlformats.org/officeDocument/2006/relationships/image" Target="media/image623.png"/><Relationship Id="rId669" Type="http://schemas.openxmlformats.org/officeDocument/2006/relationships/image" Target="media/image624.png"/><Relationship Id="rId670" Type="http://schemas.openxmlformats.org/officeDocument/2006/relationships/image" Target="media/image625.png"/><Relationship Id="rId671" Type="http://schemas.openxmlformats.org/officeDocument/2006/relationships/image" Target="media/image626.png"/><Relationship Id="rId672" Type="http://schemas.openxmlformats.org/officeDocument/2006/relationships/image" Target="media/image627.png"/><Relationship Id="rId673" Type="http://schemas.openxmlformats.org/officeDocument/2006/relationships/image" Target="media/image628.png"/><Relationship Id="rId674" Type="http://schemas.openxmlformats.org/officeDocument/2006/relationships/image" Target="media/image629.png"/><Relationship Id="rId675" Type="http://schemas.openxmlformats.org/officeDocument/2006/relationships/image" Target="media/image630.png"/><Relationship Id="rId676" Type="http://schemas.openxmlformats.org/officeDocument/2006/relationships/image" Target="media/image631.png"/><Relationship Id="rId677" Type="http://schemas.openxmlformats.org/officeDocument/2006/relationships/image" Target="media/image632.png"/><Relationship Id="rId678" Type="http://schemas.openxmlformats.org/officeDocument/2006/relationships/image" Target="media/image633.png"/><Relationship Id="rId679" Type="http://schemas.openxmlformats.org/officeDocument/2006/relationships/image" Target="media/image634.png"/><Relationship Id="rId680" Type="http://schemas.openxmlformats.org/officeDocument/2006/relationships/image" Target="media/image635.png"/><Relationship Id="rId681" Type="http://schemas.openxmlformats.org/officeDocument/2006/relationships/image" Target="media/image636.png"/><Relationship Id="rId682" Type="http://schemas.openxmlformats.org/officeDocument/2006/relationships/image" Target="media/image637.png"/><Relationship Id="rId683" Type="http://schemas.openxmlformats.org/officeDocument/2006/relationships/image" Target="media/image638.png"/><Relationship Id="rId684" Type="http://schemas.openxmlformats.org/officeDocument/2006/relationships/image" Target="media/image639.png"/><Relationship Id="rId685" Type="http://schemas.openxmlformats.org/officeDocument/2006/relationships/image" Target="media/image640.png"/><Relationship Id="rId686" Type="http://schemas.openxmlformats.org/officeDocument/2006/relationships/image" Target="media/image641.png"/><Relationship Id="rId687" Type="http://schemas.openxmlformats.org/officeDocument/2006/relationships/image" Target="media/image642.png"/><Relationship Id="rId688" Type="http://schemas.openxmlformats.org/officeDocument/2006/relationships/image" Target="media/image643.png"/><Relationship Id="rId689" Type="http://schemas.openxmlformats.org/officeDocument/2006/relationships/image" Target="media/image644.png"/><Relationship Id="rId690" Type="http://schemas.openxmlformats.org/officeDocument/2006/relationships/image" Target="media/image645.png"/><Relationship Id="rId691" Type="http://schemas.openxmlformats.org/officeDocument/2006/relationships/image" Target="media/image646.png"/><Relationship Id="rId692" Type="http://schemas.openxmlformats.org/officeDocument/2006/relationships/image" Target="media/image647.png"/><Relationship Id="rId693" Type="http://schemas.openxmlformats.org/officeDocument/2006/relationships/image" Target="media/image648.png"/><Relationship Id="rId694" Type="http://schemas.openxmlformats.org/officeDocument/2006/relationships/image" Target="media/image649.png"/><Relationship Id="rId695" Type="http://schemas.openxmlformats.org/officeDocument/2006/relationships/image" Target="media/image650.png"/><Relationship Id="rId696" Type="http://schemas.openxmlformats.org/officeDocument/2006/relationships/image" Target="media/image651.png"/><Relationship Id="rId697" Type="http://schemas.openxmlformats.org/officeDocument/2006/relationships/image" Target="media/image652.png"/><Relationship Id="rId698" Type="http://schemas.openxmlformats.org/officeDocument/2006/relationships/image" Target="media/image653.png"/><Relationship Id="rId699" Type="http://schemas.openxmlformats.org/officeDocument/2006/relationships/image" Target="media/image654.png"/><Relationship Id="rId700" Type="http://schemas.openxmlformats.org/officeDocument/2006/relationships/image" Target="media/image655.png"/><Relationship Id="rId701" Type="http://schemas.openxmlformats.org/officeDocument/2006/relationships/image" Target="media/image656.png"/><Relationship Id="rId702" Type="http://schemas.openxmlformats.org/officeDocument/2006/relationships/image" Target="media/image657.png"/><Relationship Id="rId703" Type="http://schemas.openxmlformats.org/officeDocument/2006/relationships/image" Target="media/image658.png"/><Relationship Id="rId704" Type="http://schemas.openxmlformats.org/officeDocument/2006/relationships/image" Target="media/image659.png"/><Relationship Id="rId705" Type="http://schemas.openxmlformats.org/officeDocument/2006/relationships/image" Target="media/image660.png"/><Relationship Id="rId706" Type="http://schemas.openxmlformats.org/officeDocument/2006/relationships/image" Target="media/image661.png"/><Relationship Id="rId707" Type="http://schemas.openxmlformats.org/officeDocument/2006/relationships/image" Target="media/image662.png"/><Relationship Id="rId708" Type="http://schemas.openxmlformats.org/officeDocument/2006/relationships/image" Target="media/image663.png"/><Relationship Id="rId709" Type="http://schemas.openxmlformats.org/officeDocument/2006/relationships/image" Target="media/image664.png"/><Relationship Id="rId710" Type="http://schemas.openxmlformats.org/officeDocument/2006/relationships/image" Target="media/image665.png"/><Relationship Id="rId711" Type="http://schemas.openxmlformats.org/officeDocument/2006/relationships/image" Target="media/image666.png"/><Relationship Id="rId712" Type="http://schemas.openxmlformats.org/officeDocument/2006/relationships/image" Target="media/image667.png"/><Relationship Id="rId713" Type="http://schemas.openxmlformats.org/officeDocument/2006/relationships/image" Target="media/image668.png"/><Relationship Id="rId714" Type="http://schemas.openxmlformats.org/officeDocument/2006/relationships/image" Target="media/image669.png"/><Relationship Id="rId715" Type="http://schemas.openxmlformats.org/officeDocument/2006/relationships/image" Target="media/image670.png"/><Relationship Id="rId716" Type="http://schemas.openxmlformats.org/officeDocument/2006/relationships/image" Target="media/image671.png"/><Relationship Id="rId717" Type="http://schemas.openxmlformats.org/officeDocument/2006/relationships/image" Target="media/image672.png"/><Relationship Id="rId718" Type="http://schemas.openxmlformats.org/officeDocument/2006/relationships/image" Target="media/image673.png"/><Relationship Id="rId719" Type="http://schemas.openxmlformats.org/officeDocument/2006/relationships/image" Target="media/image674.png"/><Relationship Id="rId720" Type="http://schemas.openxmlformats.org/officeDocument/2006/relationships/image" Target="media/image675.png"/><Relationship Id="rId721" Type="http://schemas.openxmlformats.org/officeDocument/2006/relationships/image" Target="media/image676.png"/><Relationship Id="rId722" Type="http://schemas.openxmlformats.org/officeDocument/2006/relationships/image" Target="media/image677.png"/><Relationship Id="rId723" Type="http://schemas.openxmlformats.org/officeDocument/2006/relationships/image" Target="media/image678.png"/><Relationship Id="rId724" Type="http://schemas.openxmlformats.org/officeDocument/2006/relationships/image" Target="media/image679.png"/><Relationship Id="rId725" Type="http://schemas.openxmlformats.org/officeDocument/2006/relationships/image" Target="media/image680.png"/><Relationship Id="rId726" Type="http://schemas.openxmlformats.org/officeDocument/2006/relationships/image" Target="media/image681.png"/><Relationship Id="rId727" Type="http://schemas.openxmlformats.org/officeDocument/2006/relationships/image" Target="media/image682.png"/><Relationship Id="rId728" Type="http://schemas.openxmlformats.org/officeDocument/2006/relationships/image" Target="media/image683.png"/><Relationship Id="rId729" Type="http://schemas.openxmlformats.org/officeDocument/2006/relationships/image" Target="media/image684.png"/><Relationship Id="rId730" Type="http://schemas.openxmlformats.org/officeDocument/2006/relationships/image" Target="media/image685.png"/><Relationship Id="rId731" Type="http://schemas.openxmlformats.org/officeDocument/2006/relationships/image" Target="media/image686.png"/><Relationship Id="rId732" Type="http://schemas.openxmlformats.org/officeDocument/2006/relationships/image" Target="media/image687.png"/><Relationship Id="rId733" Type="http://schemas.openxmlformats.org/officeDocument/2006/relationships/image" Target="media/image688.png"/><Relationship Id="rId734" Type="http://schemas.openxmlformats.org/officeDocument/2006/relationships/image" Target="media/image689.png"/><Relationship Id="rId735" Type="http://schemas.openxmlformats.org/officeDocument/2006/relationships/image" Target="media/image690.png"/><Relationship Id="rId736" Type="http://schemas.openxmlformats.org/officeDocument/2006/relationships/image" Target="media/image691.png"/><Relationship Id="rId737" Type="http://schemas.openxmlformats.org/officeDocument/2006/relationships/image" Target="media/image692.png"/><Relationship Id="rId738" Type="http://schemas.openxmlformats.org/officeDocument/2006/relationships/image" Target="media/image693.png"/><Relationship Id="rId739" Type="http://schemas.openxmlformats.org/officeDocument/2006/relationships/image" Target="media/image694.png"/><Relationship Id="rId740" Type="http://schemas.openxmlformats.org/officeDocument/2006/relationships/image" Target="media/image695.png"/><Relationship Id="rId741" Type="http://schemas.openxmlformats.org/officeDocument/2006/relationships/image" Target="media/image696.png"/><Relationship Id="rId742" Type="http://schemas.openxmlformats.org/officeDocument/2006/relationships/image" Target="media/image697.png"/><Relationship Id="rId743" Type="http://schemas.openxmlformats.org/officeDocument/2006/relationships/image" Target="media/image698.png"/><Relationship Id="rId744" Type="http://schemas.openxmlformats.org/officeDocument/2006/relationships/image" Target="media/image699.png"/><Relationship Id="rId745" Type="http://schemas.openxmlformats.org/officeDocument/2006/relationships/image" Target="media/image700.png"/><Relationship Id="rId746" Type="http://schemas.openxmlformats.org/officeDocument/2006/relationships/image" Target="media/image701.png"/><Relationship Id="rId747" Type="http://schemas.openxmlformats.org/officeDocument/2006/relationships/image" Target="media/image702.png"/><Relationship Id="rId748" Type="http://schemas.openxmlformats.org/officeDocument/2006/relationships/image" Target="media/image703.png"/><Relationship Id="rId749" Type="http://schemas.openxmlformats.org/officeDocument/2006/relationships/image" Target="media/image704.png"/><Relationship Id="rId750" Type="http://schemas.openxmlformats.org/officeDocument/2006/relationships/image" Target="media/image705.png"/><Relationship Id="rId751" Type="http://schemas.openxmlformats.org/officeDocument/2006/relationships/image" Target="media/image706.png"/><Relationship Id="rId752" Type="http://schemas.openxmlformats.org/officeDocument/2006/relationships/image" Target="media/image707.png"/><Relationship Id="rId753" Type="http://schemas.openxmlformats.org/officeDocument/2006/relationships/image" Target="media/image708.png"/><Relationship Id="rId754" Type="http://schemas.openxmlformats.org/officeDocument/2006/relationships/image" Target="media/image709.jpeg"/><Relationship Id="rId755" Type="http://schemas.openxmlformats.org/officeDocument/2006/relationships/image" Target="media/image710.png"/><Relationship Id="rId494" Type="http://schemas.openxmlformats.org/officeDocument/2006/relationships/hyperlink" Target="http://www.sec.gov/Archives/edgar/data/0001611115/000119312525116907/d785770dex31a.htm" TargetMode="External"/><Relationship Id="rId495" Type="http://schemas.openxmlformats.org/officeDocument/2006/relationships/hyperlink" Target="http://www.sec.gov/Archives/edgar/data/0001611115/000119312525116907/d785770dex31b.htm" TargetMode="External"/><Relationship Id="rId496" Type="http://schemas.openxmlformats.org/officeDocument/2006/relationships/hyperlink" Target="http://www.sec.gov/Archives/edgar/data/0001611115/000119312525116907/d785770dex32.htm" TargetMode="External"/><Relationship Id="rId497" Type="http://schemas.openxmlformats.org/officeDocument/2006/relationships/hyperlink" Target="http://www.sec.gov/Archives/edgar/data/0001611115/000119312525116907/d785770dex33.htm" TargetMode="External"/><Relationship Id="rId498" Type="http://schemas.openxmlformats.org/officeDocument/2006/relationships/hyperlink" Target="http://www.sec.gov/Archives/edgar/data/0001611115/000119312525116907/d785770dex34.htm" TargetMode="External"/><Relationship Id="rId499" Type="http://schemas.openxmlformats.org/officeDocument/2006/relationships/hyperlink" Target="http://www.sec.gov/Archives/edgar/data/0001611115/000119312525116907/d785770dex42.htm" TargetMode="External"/><Relationship Id="rId500" Type="http://schemas.openxmlformats.org/officeDocument/2006/relationships/hyperlink" Target="http://www.sec.gov/Archives/edgar/data/0001611115/000119312525116907/d785770dex43.htm" TargetMode="External"/><Relationship Id="rId501" Type="http://schemas.openxmlformats.org/officeDocument/2006/relationships/hyperlink" Target="http://www.sec.gov/Archives/edgar/data/0001611115/000119312525116907/d785770dex45.htm" TargetMode="External"/><Relationship Id="rId502" Type="http://schemas.openxmlformats.org/officeDocument/2006/relationships/hyperlink" Target="http://www.sec.gov/Archives/edgar/data/0001611115/000119312525116907/d785770dex46.htm" TargetMode="External"/><Relationship Id="rId503" Type="http://schemas.openxmlformats.org/officeDocument/2006/relationships/hyperlink" Target="http://www.sec.gov/Archives/edgar/data/0001611115/000119312525116907/d785770dex101a.htm" TargetMode="External"/><Relationship Id="rId504" Type="http://schemas.openxmlformats.org/officeDocument/2006/relationships/hyperlink" Target="http://www.sec.gov/Archives/edgar/data/0001611115/000119312525116907/d785770dex101b.htm" TargetMode="External"/><Relationship Id="rId505" Type="http://schemas.openxmlformats.org/officeDocument/2006/relationships/hyperlink" Target="http://www.sec.gov/Archives/edgar/data/0001611115/000119312525116907/d785770dex102a.htm" TargetMode="External"/><Relationship Id="rId510" Type="http://schemas.openxmlformats.org/officeDocument/2006/relationships/hyperlink" Target="http://www.sec.gov/Archives/edgar/data/0001611115/000119312525116907/d785770dex102b.htm" TargetMode="External"/><Relationship Id="rId511" Type="http://schemas.openxmlformats.org/officeDocument/2006/relationships/hyperlink" Target="http://www.sec.gov/Archives/edgar/data/0001611115/000119312525116907/d785770dex102c.htm" TargetMode="External"/><Relationship Id="rId512" Type="http://schemas.openxmlformats.org/officeDocument/2006/relationships/hyperlink" Target="http://www.sec.gov/Archives/edgar/data/0001611115/000119312525116907/d785770dex102d.htm" TargetMode="External"/><Relationship Id="rId513" Type="http://schemas.openxmlformats.org/officeDocument/2006/relationships/hyperlink" Target="http://www.sec.gov/Archives/edgar/data/0001611115/000119312525116907/d785770dex102e.htm" TargetMode="External"/><Relationship Id="rId514" Type="http://schemas.openxmlformats.org/officeDocument/2006/relationships/hyperlink" Target="http://www.sec.gov/Archives/edgar/data/0001611115/000119312525116907/d785770dex103a.htm" TargetMode="External"/><Relationship Id="rId515" Type="http://schemas.openxmlformats.org/officeDocument/2006/relationships/hyperlink" Target="http://www.sec.gov/Archives/edgar/data/0001611115/000119312525116907/d785770dex103b.htm" TargetMode="External"/><Relationship Id="rId516" Type="http://schemas.openxmlformats.org/officeDocument/2006/relationships/hyperlink" Target="http://www.sec.gov/Archives/edgar/data/0001611115/000119312525116907/d785770dex104a.htm" TargetMode="External"/><Relationship Id="rId517" Type="http://schemas.openxmlformats.org/officeDocument/2006/relationships/hyperlink" Target="http://www.sec.gov/Archives/edgar/data/0001611115/000119312525116907/d785770dex104b.htm" TargetMode="External"/><Relationship Id="rId518" Type="http://schemas.openxmlformats.org/officeDocument/2006/relationships/hyperlink" Target="http://www.sec.gov/Archives/edgar/data/0001611115/000119312525116907/d785770dex104c.htm" TargetMode="External"/><Relationship Id="rId519" Type="http://schemas.openxmlformats.org/officeDocument/2006/relationships/hyperlink" Target="http://www.sec.gov/Archives/edgar/data/0001611115/000119312525116907/d785770dex105a.htm" TargetMode="External"/><Relationship Id="rId520" Type="http://schemas.openxmlformats.org/officeDocument/2006/relationships/hyperlink" Target="http://www.sec.gov/Archives/edgar/data/0001611115/000119312525116907/d785770dex105b.htm" TargetMode="External"/><Relationship Id="rId521" Type="http://schemas.openxmlformats.org/officeDocument/2006/relationships/hyperlink" Target="http://www.sec.gov/Archives/edgar/data/0001611115/000119312525116907/d785770dex105c.htm" TargetMode="External"/><Relationship Id="rId522" Type="http://schemas.openxmlformats.org/officeDocument/2006/relationships/hyperlink" Target="http://www.sec.gov/Archives/edgar/data/0001611115/000119312525116907/d785770dex106.htm" TargetMode="External"/><Relationship Id="rId524" Type="http://schemas.openxmlformats.org/officeDocument/2006/relationships/hyperlink" Target="http://www.sec.gov/Archives/edgar/data/0001611115/000119312525116907/d785770dex107a.htm" TargetMode="External"/><Relationship Id="rId525" Type="http://schemas.openxmlformats.org/officeDocument/2006/relationships/hyperlink" Target="http://www.sec.gov/Archives/edgar/data/0001611115/000119312525116907/d785770dex107b.htm" TargetMode="External"/><Relationship Id="rId526" Type="http://schemas.openxmlformats.org/officeDocument/2006/relationships/hyperlink" Target="http://www.sec.gov/Archives/edgar/data/0001611115/000119312525116907/d785770dex107c.htm" TargetMode="External"/><Relationship Id="rId527" Type="http://schemas.openxmlformats.org/officeDocument/2006/relationships/hyperlink" Target="http://www.sec.gov/Archives/edgar/data/0001611115/000119312525116907/d785770dex107d.htm" TargetMode="External"/><Relationship Id="rId528" Type="http://schemas.openxmlformats.org/officeDocument/2006/relationships/hyperlink" Target="http://www.sec.gov/Archives/edgar/data/0001611115/000119312525116907/d785770dex108a.htm" TargetMode="External"/><Relationship Id="rId529" Type="http://schemas.openxmlformats.org/officeDocument/2006/relationships/hyperlink" Target="http://www.sec.gov/Archives/edgar/data/0001611115/000119312525116907/d785770dex109b.htm" TargetMode="External"/><Relationship Id="rId530" Type="http://schemas.openxmlformats.org/officeDocument/2006/relationships/hyperlink" Target="http://www.sec.gov/Archives/edgar/data/0001611115/000119312525116907/d785770dex1011.htm" TargetMode="External"/><Relationship Id="rId531" Type="http://schemas.openxmlformats.org/officeDocument/2006/relationships/hyperlink" Target="http://www.sec.gov/Archives/edgar/data/0001611115/000119312525116907/d785770dex1012.htm" TargetMode="External"/><Relationship Id="rId532" Type="http://schemas.openxmlformats.org/officeDocument/2006/relationships/hyperlink" Target="http://www.sec.gov/Archives/edgar/data/0001611115/000119312525116907/d785770dex1013.htm" TargetMode="External"/><Relationship Id="rId533" Type="http://schemas.openxmlformats.org/officeDocument/2006/relationships/hyperlink" Target="http://www.sec.gov/Archives/edgar/data/0001611115/000119312525116907/d785770dex1014.htm" TargetMode="External"/><Relationship Id="rId534" Type="http://schemas.openxmlformats.org/officeDocument/2006/relationships/hyperlink" Target="http://www.sec.gov/Archives/edgar/data/0001611115/000119312525116907/d785770dex1015.htm" TargetMode="External"/><Relationship Id="rId535" Type="http://schemas.openxmlformats.org/officeDocument/2006/relationships/hyperlink" Target="http://www.sec.gov/Archives/edgar/data/0001611115/000119312525116907/d785770dex211.htm" TargetMode="External"/><Relationship Id="rId536" Type="http://schemas.openxmlformats.org/officeDocument/2006/relationships/hyperlink" Target="http://www.sec.gov/Archives/edgar/data/0001611115/000119312525116907/d785770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2025-05-29T05:21:26Z</dcterms:created>
  <dcterms:modified xsi:type="dcterms:W3CDTF">2025-05-29T05:21:26Z</dcterms:modified>
</cp:coreProperties>
</file>